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0" w:type="auto"/>
        <w:jc w:val="center"/>
        <w:tblBorders>
          <w:top w:val="thickThinLargeGap" w:sz="6" w:space="0" w:color="808080"/>
          <w:left w:val="thickThinLargeGap" w:sz="6" w:space="0" w:color="808080"/>
          <w:bottom w:val="thickThinLargeGap" w:sz="6" w:space="0" w:color="808080"/>
          <w:right w:val="thickThinLargeGap" w:sz="6" w:space="0" w:color="808080"/>
        </w:tblBorders>
        <w:tblLayout w:type="fixed"/>
        <w:tblCellMar>
          <w:left w:w="90" w:type="dxa"/>
          <w:right w:w="90" w:type="dxa"/>
        </w:tblCellMar>
        <w:tblLook w:val="0000"/>
      </w:tblPr>
      <w:tblGrid>
        <w:gridCol w:w="9357"/>
      </w:tblGrid>
      <w:tr w:rsidR="00950370" w:rsidTr="009E7A3D">
        <w:tblPrEx>
          <w:tblCellMar>
            <w:top w:w="0" w:type="dxa"/>
            <w:bottom w:w="0" w:type="dxa"/>
          </w:tblCellMar>
        </w:tblPrEx>
        <w:trPr>
          <w:jc w:val="center"/>
        </w:trPr>
        <w:tc>
          <w:tcPr>
            <w:tcW w:w="9357" w:type="dxa"/>
            <w:tcBorders>
              <w:top w:val="thickThinLargeGap" w:sz="6" w:space="0" w:color="808080"/>
              <w:left w:val="thickThinLargeGap" w:sz="6" w:space="0" w:color="808080"/>
              <w:bottom w:val="thickThinLargeGap" w:sz="6" w:space="0" w:color="808080"/>
              <w:right w:val="thickThinLargeGap" w:sz="6" w:space="0" w:color="808080"/>
            </w:tcBorders>
            <w:vAlign w:val="center"/>
          </w:tcPr>
          <w:p w:rsidR="00950370" w:rsidRDefault="00950370" w:rsidP="009E7A3D">
            <w:pPr>
              <w:pStyle w:val="NormalWeb"/>
              <w:jc w:val="both"/>
            </w:pPr>
            <w:r>
              <w:rPr>
                <w:b/>
              </w:rPr>
              <w:t>CASO PRÁCTICO.-</w:t>
            </w:r>
            <w:r>
              <w:t xml:space="preserve"> Una empresa dispone de una línea </w:t>
            </w:r>
            <w:proofErr w:type="spellStart"/>
            <w:r>
              <w:t>frame</w:t>
            </w:r>
            <w:proofErr w:type="spellEnd"/>
            <w:r>
              <w:t xml:space="preserve"> </w:t>
            </w:r>
            <w:proofErr w:type="spellStart"/>
            <w:r>
              <w:t>relay</w:t>
            </w:r>
            <w:proofErr w:type="spellEnd"/>
            <w:r>
              <w:t xml:space="preserve"> con direcciones públicas contratadas desde la 194.143.17.8 hasta la 194.143.17.15 (la dirección de la red es 194.143.17.8, su dirección de </w:t>
            </w:r>
            <w:proofErr w:type="spellStart"/>
            <w:r>
              <w:t>broadcasting</w:t>
            </w:r>
            <w:proofErr w:type="spellEnd"/>
            <w:r>
              <w:t xml:space="preserve"> 194.143.17.15 y su máscara de red 255.255.255.248). La línea </w:t>
            </w:r>
            <w:proofErr w:type="spellStart"/>
            <w:r>
              <w:t>frame</w:t>
            </w:r>
            <w:proofErr w:type="spellEnd"/>
            <w:r>
              <w:t xml:space="preserve"> </w:t>
            </w:r>
            <w:proofErr w:type="spellStart"/>
            <w:r>
              <w:t>relay</w:t>
            </w:r>
            <w:proofErr w:type="spellEnd"/>
            <w:r>
              <w:t xml:space="preserve"> está conectada a un </w:t>
            </w:r>
            <w:proofErr w:type="spellStart"/>
            <w:r>
              <w:t>router</w:t>
            </w:r>
            <w:proofErr w:type="spellEnd"/>
            <w:r>
              <w:t xml:space="preserve">. Diseñar la red para: </w:t>
            </w:r>
          </w:p>
          <w:p w:rsidR="00950370" w:rsidRDefault="00950370" w:rsidP="00950370">
            <w:pPr>
              <w:pStyle w:val="NormalWeb"/>
              <w:numPr>
                <w:ilvl w:val="0"/>
                <w:numId w:val="1"/>
              </w:numPr>
            </w:pPr>
            <w:r>
              <w:t xml:space="preserve">3 servidores (de correo, web y proxy) </w:t>
            </w:r>
          </w:p>
          <w:p w:rsidR="00950370" w:rsidRDefault="00950370" w:rsidP="00950370">
            <w:pPr>
              <w:pStyle w:val="NormalWeb"/>
              <w:numPr>
                <w:ilvl w:val="0"/>
                <w:numId w:val="1"/>
              </w:numPr>
            </w:pPr>
            <w:r>
              <w:t xml:space="preserve">20 puestos de trabajo </w:t>
            </w:r>
          </w:p>
          <w:p w:rsidR="00950370" w:rsidRDefault="00950370" w:rsidP="009E7A3D">
            <w:pPr>
              <w:pStyle w:val="NormalWeb"/>
              <w:jc w:val="center"/>
            </w:pPr>
            <w:r>
              <w:t> </w:t>
            </w:r>
            <w:r>
              <w:rPr>
                <w:noProof/>
                <w:lang w:val="es-AR" w:eastAsia="es-AR"/>
              </w:rPr>
              <w:drawing>
                <wp:inline distT="0" distB="0" distL="0" distR="0">
                  <wp:extent cx="4762500" cy="5391150"/>
                  <wp:effectExtent l="19050" t="0" r="0" b="0"/>
                  <wp:docPr id="1" name="Imagen 1" descr="C:\WINDOWS\Escritorio\cursos\tcpip\esq2.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WINDOWS\Escritorio\cursos\tcpip\esq2.gif"/>
                          <pic:cNvPicPr>
                            <a:picLocks noChangeAspect="1" noChangeArrowheads="1"/>
                          </pic:cNvPicPr>
                        </pic:nvPicPr>
                        <pic:blipFill>
                          <a:blip r:embed="rId5" cstate="print"/>
                          <a:srcRect/>
                          <a:stretch>
                            <a:fillRect/>
                          </a:stretch>
                        </pic:blipFill>
                        <pic:spPr bwMode="auto">
                          <a:xfrm>
                            <a:off x="0" y="0"/>
                            <a:ext cx="4762500" cy="5391150"/>
                          </a:xfrm>
                          <a:prstGeom prst="rect">
                            <a:avLst/>
                          </a:prstGeom>
                          <a:noFill/>
                          <a:ln w="9525">
                            <a:noFill/>
                            <a:miter lim="800000"/>
                            <a:headEnd/>
                            <a:tailEnd/>
                          </a:ln>
                        </pic:spPr>
                      </pic:pic>
                    </a:graphicData>
                  </a:graphic>
                </wp:inline>
              </w:drawing>
            </w:r>
          </w:p>
          <w:p w:rsidR="00950370" w:rsidRDefault="00950370" w:rsidP="009E7A3D">
            <w:pPr>
              <w:pStyle w:val="NormalWeb"/>
              <w:jc w:val="both"/>
            </w:pPr>
            <w:r>
              <w:t xml:space="preserve">Los 20 puestos de trabajo utilizan direcciones IP privadas y salen a Internet a través del Proxy. En la configuración de red de cada uno de estos 20 ordenadores se indicará la dirección "192.168.1.1" en el cuadro "Puerta de enlace". La </w:t>
            </w:r>
            <w:r>
              <w:rPr>
                <w:i/>
              </w:rPr>
              <w:t>puerta de enlace</w:t>
            </w:r>
            <w:r>
              <w:t xml:space="preserve"> (</w:t>
            </w:r>
            <w:r>
              <w:rPr>
                <w:i/>
              </w:rPr>
              <w:t>puerta de salida</w:t>
            </w:r>
            <w:r>
              <w:t xml:space="preserve"> o </w:t>
            </w:r>
            <w:proofErr w:type="spellStart"/>
            <w:r>
              <w:rPr>
                <w:i/>
              </w:rPr>
              <w:t>gateway</w:t>
            </w:r>
            <w:proofErr w:type="spellEnd"/>
            <w:r>
              <w:t>) es el ordenador de nuestra red que nos permite salir a otras redes. El Proxy tiene dos direcciones IP, una de la red privada y otra de la red pública. Su misión es dar salida a Internet a la red privada, pero no permitir los accesos desde el exterior a la zona privada de la empresa.</w:t>
            </w:r>
          </w:p>
          <w:p w:rsidR="00950370" w:rsidRDefault="00950370" w:rsidP="009E7A3D">
            <w:pPr>
              <w:pStyle w:val="NormalWeb"/>
              <w:jc w:val="both"/>
            </w:pPr>
            <w:r>
              <w:t xml:space="preserve">Los 3 servidores y el </w:t>
            </w:r>
            <w:proofErr w:type="spellStart"/>
            <w:r>
              <w:t>router</w:t>
            </w:r>
            <w:proofErr w:type="spellEnd"/>
            <w:r>
              <w:t xml:space="preserve"> utilizan direcciones IP públicas, para que sean accesibles desde cualquier host de Internet. La puerta de enlace de Proxy, Correo y Web es 194.143.17.9 </w:t>
            </w:r>
            <w:r>
              <w:lastRenderedPageBreak/>
              <w:t>(</w:t>
            </w:r>
            <w:proofErr w:type="spellStart"/>
            <w:r>
              <w:t>Router</w:t>
            </w:r>
            <w:proofErr w:type="spellEnd"/>
            <w:r>
              <w:t>).</w:t>
            </w:r>
          </w:p>
          <w:p w:rsidR="00950370" w:rsidRDefault="00950370" w:rsidP="009E7A3D">
            <w:pPr>
              <w:pStyle w:val="NormalWeb"/>
              <w:jc w:val="both"/>
            </w:pPr>
            <w:r>
              <w:t xml:space="preserve">Obsérvese que la primera y última dirección de todas las redes son direcciones IP especiales que no se pueden utilizar para asignarlas a hosts. La primera es la dirección de la red y la última, la dirección de difusión o </w:t>
            </w:r>
            <w:proofErr w:type="spellStart"/>
            <w:r>
              <w:t>broadcasting</w:t>
            </w:r>
            <w:proofErr w:type="spellEnd"/>
            <w:r>
              <w:t>. La máscara de subred de cada ordenador se ha indicado dentro de su red después de una barra: PC1, PC2</w:t>
            </w:r>
            <w:proofErr w:type="gramStart"/>
            <w:r>
              <w:t>, ...</w:t>
            </w:r>
            <w:proofErr w:type="gramEnd"/>
            <w:r>
              <w:t xml:space="preserve"> , PC20 y Proxy (para su IP 192.168.1.1) tienen la máscara 255.255.255.0 y </w:t>
            </w:r>
            <w:proofErr w:type="spellStart"/>
            <w:r>
              <w:t>Router</w:t>
            </w:r>
            <w:proofErr w:type="spellEnd"/>
            <w:r>
              <w:t>, Web, Correo y Proxy (para su IP 194.143.17.10), la máscara 255.255.255.248. El concepto de máscara de subred se estudia a continuación.</w:t>
            </w:r>
          </w:p>
        </w:tc>
      </w:tr>
    </w:tbl>
    <w:p w:rsidR="00950370" w:rsidRDefault="00950370" w:rsidP="00950370">
      <w:pPr>
        <w:pStyle w:val="NormalWeb"/>
      </w:pPr>
      <w:r>
        <w:lastRenderedPageBreak/>
        <w:t xml:space="preserve">  </w:t>
      </w:r>
      <w:r>
        <w:rPr>
          <w:sz w:val="36"/>
        </w:rPr>
        <w:t>2.3 Máscara de subred</w:t>
      </w:r>
      <w:r>
        <w:t xml:space="preserve"> </w:t>
      </w:r>
    </w:p>
    <w:p w:rsidR="00950370" w:rsidRDefault="00950370" w:rsidP="00950370">
      <w:pPr>
        <w:pStyle w:val="NormalWeb"/>
        <w:jc w:val="both"/>
      </w:pPr>
      <w:r>
        <w:t xml:space="preserve">Una máscara de subred es aquella dirección que enmascarando nuestra dirección IP, nos indica si otra dirección IP pertenece a nuestra subred o no. </w:t>
      </w:r>
    </w:p>
    <w:p w:rsidR="00950370" w:rsidRDefault="00950370" w:rsidP="00950370">
      <w:pPr>
        <w:pStyle w:val="NormalWeb"/>
        <w:jc w:val="both"/>
      </w:pPr>
      <w:r>
        <w:t>La siguiente tabla muestra las máscaras de subred correspondientes a cada clase:</w:t>
      </w:r>
    </w:p>
    <w:tbl>
      <w:tblPr>
        <w:tblW w:w="0" w:type="auto"/>
        <w:jc w:val="center"/>
        <w:tblBorders>
          <w:top w:val="thickThinLargeGap" w:sz="6" w:space="0" w:color="808080"/>
          <w:left w:val="thickThinLargeGap" w:sz="6" w:space="0" w:color="808080"/>
          <w:bottom w:val="thickThinLargeGap" w:sz="6" w:space="0" w:color="808080"/>
          <w:right w:val="thickThinLargeGap" w:sz="6" w:space="0" w:color="808080"/>
        </w:tblBorders>
        <w:tblLayout w:type="fixed"/>
        <w:tblCellMar>
          <w:left w:w="0" w:type="dxa"/>
          <w:right w:w="0" w:type="dxa"/>
        </w:tblCellMar>
        <w:tblLook w:val="0000"/>
      </w:tblPr>
      <w:tblGrid>
        <w:gridCol w:w="1090"/>
        <w:gridCol w:w="3800"/>
      </w:tblGrid>
      <w:tr w:rsidR="00950370" w:rsidTr="009E7A3D">
        <w:tblPrEx>
          <w:tblCellMar>
            <w:top w:w="0" w:type="dxa"/>
            <w:left w:w="0" w:type="dxa"/>
            <w:bottom w:w="0" w:type="dxa"/>
            <w:right w:w="0" w:type="dxa"/>
          </w:tblCellMar>
        </w:tblPrEx>
        <w:trPr>
          <w:jc w:val="center"/>
        </w:trPr>
        <w:tc>
          <w:tcPr>
            <w:tcW w:w="1090" w:type="dxa"/>
            <w:tcBorders>
              <w:top w:val="thickThinLargeGap" w:sz="6" w:space="0" w:color="808080"/>
              <w:left w:val="thickThinLargeGap" w:sz="6" w:space="0" w:color="808080"/>
              <w:bottom w:val="thickThinLargeGap" w:sz="6" w:space="0" w:color="808080"/>
              <w:right w:val="thickThinLargeGap" w:sz="6" w:space="0" w:color="808080"/>
            </w:tcBorders>
            <w:shd w:val="clear" w:color="auto" w:fill="0000FF"/>
            <w:vAlign w:val="center"/>
          </w:tcPr>
          <w:p w:rsidR="00950370" w:rsidRDefault="00950370" w:rsidP="009E7A3D">
            <w:pPr>
              <w:jc w:val="center"/>
            </w:pPr>
            <w:r>
              <w:rPr>
                <w:b/>
                <w:color w:val="0000FF"/>
              </w:rPr>
              <w:t>Clase</w:t>
            </w:r>
          </w:p>
        </w:tc>
        <w:tc>
          <w:tcPr>
            <w:tcW w:w="3800" w:type="dxa"/>
            <w:tcBorders>
              <w:top w:val="thickThinLargeGap" w:sz="6" w:space="0" w:color="808080"/>
              <w:left w:val="thickThinLargeGap" w:sz="6" w:space="0" w:color="808080"/>
              <w:bottom w:val="thickThinLargeGap" w:sz="6" w:space="0" w:color="808080"/>
              <w:right w:val="thickThinLargeGap" w:sz="6" w:space="0" w:color="808080"/>
            </w:tcBorders>
            <w:shd w:val="clear" w:color="auto" w:fill="0000FF"/>
            <w:vAlign w:val="center"/>
          </w:tcPr>
          <w:p w:rsidR="00950370" w:rsidRDefault="00950370" w:rsidP="009E7A3D">
            <w:pPr>
              <w:jc w:val="center"/>
            </w:pPr>
            <w:r>
              <w:rPr>
                <w:b/>
                <w:color w:val="0000FF"/>
              </w:rPr>
              <w:t>Máscara de subred</w:t>
            </w:r>
          </w:p>
        </w:tc>
      </w:tr>
      <w:tr w:rsidR="00950370" w:rsidTr="009E7A3D">
        <w:tblPrEx>
          <w:tblCellMar>
            <w:top w:w="0" w:type="dxa"/>
            <w:left w:w="0" w:type="dxa"/>
            <w:bottom w:w="0" w:type="dxa"/>
            <w:right w:w="0" w:type="dxa"/>
          </w:tblCellMar>
        </w:tblPrEx>
        <w:trPr>
          <w:jc w:val="center"/>
        </w:trPr>
        <w:tc>
          <w:tcPr>
            <w:tcW w:w="1090" w:type="dxa"/>
            <w:tcBorders>
              <w:top w:val="thickThinLargeGap" w:sz="6" w:space="0" w:color="808080"/>
              <w:left w:val="thickThinLargeGap" w:sz="6" w:space="0" w:color="808080"/>
              <w:bottom w:val="thickThinLargeGap" w:sz="6" w:space="0" w:color="808080"/>
              <w:right w:val="thickThinLargeGap" w:sz="6" w:space="0" w:color="808080"/>
            </w:tcBorders>
            <w:shd w:val="clear" w:color="auto" w:fill="0000FF"/>
            <w:vAlign w:val="center"/>
          </w:tcPr>
          <w:p w:rsidR="00950370" w:rsidRDefault="00950370" w:rsidP="009E7A3D">
            <w:pPr>
              <w:jc w:val="center"/>
            </w:pPr>
            <w:r>
              <w:rPr>
                <w:b/>
                <w:color w:val="0000FF"/>
              </w:rPr>
              <w:t>A</w:t>
            </w:r>
          </w:p>
        </w:tc>
        <w:tc>
          <w:tcPr>
            <w:tcW w:w="3800" w:type="dxa"/>
            <w:tcBorders>
              <w:top w:val="thickThinLargeGap" w:sz="6" w:space="0" w:color="808080"/>
              <w:left w:val="thickThinLargeGap" w:sz="6" w:space="0" w:color="808080"/>
              <w:bottom w:val="thickThinLargeGap" w:sz="6" w:space="0" w:color="808080"/>
              <w:right w:val="thickThinLargeGap" w:sz="6" w:space="0" w:color="808080"/>
            </w:tcBorders>
            <w:vAlign w:val="center"/>
          </w:tcPr>
          <w:p w:rsidR="00950370" w:rsidRDefault="00950370" w:rsidP="009E7A3D">
            <w:pPr>
              <w:jc w:val="center"/>
            </w:pPr>
            <w:r>
              <w:t>255.0.0.0</w:t>
            </w:r>
          </w:p>
        </w:tc>
      </w:tr>
      <w:tr w:rsidR="00950370" w:rsidTr="009E7A3D">
        <w:tblPrEx>
          <w:tblCellMar>
            <w:top w:w="0" w:type="dxa"/>
            <w:left w:w="0" w:type="dxa"/>
            <w:bottom w:w="0" w:type="dxa"/>
            <w:right w:w="0" w:type="dxa"/>
          </w:tblCellMar>
        </w:tblPrEx>
        <w:trPr>
          <w:jc w:val="center"/>
        </w:trPr>
        <w:tc>
          <w:tcPr>
            <w:tcW w:w="1090" w:type="dxa"/>
            <w:tcBorders>
              <w:top w:val="thickThinLargeGap" w:sz="6" w:space="0" w:color="808080"/>
              <w:left w:val="thickThinLargeGap" w:sz="6" w:space="0" w:color="808080"/>
              <w:bottom w:val="thickThinLargeGap" w:sz="6" w:space="0" w:color="808080"/>
              <w:right w:val="thickThinLargeGap" w:sz="6" w:space="0" w:color="808080"/>
            </w:tcBorders>
            <w:shd w:val="clear" w:color="auto" w:fill="0000FF"/>
            <w:vAlign w:val="center"/>
          </w:tcPr>
          <w:p w:rsidR="00950370" w:rsidRDefault="00950370" w:rsidP="009E7A3D">
            <w:pPr>
              <w:jc w:val="center"/>
            </w:pPr>
            <w:r>
              <w:rPr>
                <w:b/>
                <w:color w:val="0000FF"/>
              </w:rPr>
              <w:t>B</w:t>
            </w:r>
          </w:p>
        </w:tc>
        <w:tc>
          <w:tcPr>
            <w:tcW w:w="3800" w:type="dxa"/>
            <w:tcBorders>
              <w:top w:val="thickThinLargeGap" w:sz="6" w:space="0" w:color="808080"/>
              <w:left w:val="thickThinLargeGap" w:sz="6" w:space="0" w:color="808080"/>
              <w:bottom w:val="thickThinLargeGap" w:sz="6" w:space="0" w:color="808080"/>
              <w:right w:val="thickThinLargeGap" w:sz="6" w:space="0" w:color="808080"/>
            </w:tcBorders>
            <w:vAlign w:val="center"/>
          </w:tcPr>
          <w:p w:rsidR="00950370" w:rsidRDefault="00950370" w:rsidP="009E7A3D">
            <w:pPr>
              <w:jc w:val="center"/>
            </w:pPr>
            <w:r>
              <w:t>255.255.0.0</w:t>
            </w:r>
          </w:p>
        </w:tc>
      </w:tr>
      <w:tr w:rsidR="00950370" w:rsidTr="009E7A3D">
        <w:tblPrEx>
          <w:tblCellMar>
            <w:top w:w="0" w:type="dxa"/>
            <w:left w:w="0" w:type="dxa"/>
            <w:bottom w:w="0" w:type="dxa"/>
            <w:right w:w="0" w:type="dxa"/>
          </w:tblCellMar>
        </w:tblPrEx>
        <w:trPr>
          <w:jc w:val="center"/>
        </w:trPr>
        <w:tc>
          <w:tcPr>
            <w:tcW w:w="1090" w:type="dxa"/>
            <w:tcBorders>
              <w:top w:val="thickThinLargeGap" w:sz="6" w:space="0" w:color="808080"/>
              <w:left w:val="thickThinLargeGap" w:sz="6" w:space="0" w:color="808080"/>
              <w:bottom w:val="thickThinLargeGap" w:sz="6" w:space="0" w:color="808080"/>
              <w:right w:val="thickThinLargeGap" w:sz="6" w:space="0" w:color="808080"/>
            </w:tcBorders>
            <w:shd w:val="clear" w:color="auto" w:fill="0000FF"/>
            <w:vAlign w:val="center"/>
          </w:tcPr>
          <w:p w:rsidR="00950370" w:rsidRDefault="00950370" w:rsidP="009E7A3D">
            <w:pPr>
              <w:jc w:val="center"/>
            </w:pPr>
            <w:r>
              <w:rPr>
                <w:b/>
                <w:color w:val="0000FF"/>
              </w:rPr>
              <w:t>C</w:t>
            </w:r>
          </w:p>
        </w:tc>
        <w:tc>
          <w:tcPr>
            <w:tcW w:w="3800" w:type="dxa"/>
            <w:tcBorders>
              <w:top w:val="thickThinLargeGap" w:sz="6" w:space="0" w:color="808080"/>
              <w:left w:val="thickThinLargeGap" w:sz="6" w:space="0" w:color="808080"/>
              <w:bottom w:val="thickThinLargeGap" w:sz="6" w:space="0" w:color="808080"/>
              <w:right w:val="thickThinLargeGap" w:sz="6" w:space="0" w:color="808080"/>
            </w:tcBorders>
            <w:vAlign w:val="center"/>
          </w:tcPr>
          <w:p w:rsidR="00950370" w:rsidRDefault="00950370" w:rsidP="009E7A3D">
            <w:pPr>
              <w:jc w:val="center"/>
            </w:pPr>
            <w:r>
              <w:t>255.255.255.0</w:t>
            </w:r>
          </w:p>
        </w:tc>
      </w:tr>
    </w:tbl>
    <w:p w:rsidR="00950370" w:rsidRDefault="00950370" w:rsidP="00950370">
      <w:pPr>
        <w:pStyle w:val="NormalWeb"/>
        <w:jc w:val="both"/>
      </w:pPr>
      <w:r>
        <w:t xml:space="preserve">Si expresamos la máscara de subred de clase A en notación binaria, tenemos: </w:t>
      </w:r>
    </w:p>
    <w:p w:rsidR="00950370" w:rsidRDefault="00950370" w:rsidP="00950370">
      <w:pPr>
        <w:pStyle w:val="NormalWeb"/>
        <w:jc w:val="center"/>
      </w:pPr>
      <w:r>
        <w:t xml:space="preserve">11111111.00000000.00000000.00000000 </w:t>
      </w:r>
    </w:p>
    <w:p w:rsidR="00950370" w:rsidRDefault="00950370" w:rsidP="00950370">
      <w:pPr>
        <w:pStyle w:val="NormalWeb"/>
        <w:jc w:val="both"/>
      </w:pPr>
      <w:r>
        <w:t xml:space="preserve">Los unos indican los bits de la dirección correspondientes a la red y los ceros, los correspondientes al host. Según la máscara anterior, el primer byte (8 bits) es la red y los tres siguientes (24 bits), el host. Por ejemplo, la dirección de clase A 35.120.73.5 pertenece a la red 35.0.0.0. </w:t>
      </w:r>
    </w:p>
    <w:p w:rsidR="00950370" w:rsidRDefault="00950370" w:rsidP="00950370">
      <w:pPr>
        <w:pStyle w:val="NormalWeb"/>
        <w:jc w:val="both"/>
      </w:pPr>
      <w:r>
        <w:t xml:space="preserve">Supongamos una subred con máscara 255.255.0.0, en la que tenemos un ordenador con dirección 148.120.33.110. Si expresamos esta dirección y la de la máscara de subred en binario, tenemos: </w:t>
      </w:r>
    </w:p>
    <w:p w:rsidR="00950370" w:rsidRDefault="00950370" w:rsidP="00950370">
      <w:pPr>
        <w:pStyle w:val="NormalWeb"/>
      </w:pPr>
      <w:r>
        <w:rPr>
          <w:rStyle w:val="TecladoHTML"/>
        </w:rPr>
        <w:t>148.120.33.110 10010100.01111000.00100001.01101110 (dirección de una máquina)</w:t>
      </w:r>
      <w:r>
        <w:rPr>
          <w:rFonts w:ascii="Courier New" w:eastAsia="Courier New" w:hAnsi="Courier New"/>
          <w:sz w:val="20"/>
        </w:rPr>
        <w:br/>
      </w:r>
      <w:r>
        <w:rPr>
          <w:rStyle w:val="TecladoHTML"/>
        </w:rPr>
        <w:t>255.255.0.0    11111111.11111111.00000000.00000000 (dirección de su máscara de red)</w:t>
      </w:r>
      <w:r>
        <w:rPr>
          <w:rFonts w:ascii="Courier New" w:eastAsia="Courier New" w:hAnsi="Courier New"/>
          <w:sz w:val="20"/>
        </w:rPr>
        <w:br/>
      </w:r>
      <w:r>
        <w:rPr>
          <w:rStyle w:val="TecladoHTML"/>
        </w:rPr>
        <w:t>148.120.0.0    10010100.01111000.00000000.00000000 (dirección de su subred)</w:t>
      </w:r>
      <w:r>
        <w:rPr>
          <w:rFonts w:ascii="Courier New" w:eastAsia="Courier New" w:hAnsi="Courier New"/>
          <w:sz w:val="20"/>
        </w:rPr>
        <w:br/>
      </w:r>
      <w:r>
        <w:rPr>
          <w:rStyle w:val="TecladoHTML"/>
        </w:rPr>
        <w:t>               &lt;------RED------&gt; &lt;------HOST-----&gt;</w:t>
      </w:r>
      <w:r>
        <w:t xml:space="preserve"> </w:t>
      </w:r>
    </w:p>
    <w:p w:rsidR="00950370" w:rsidRDefault="00950370" w:rsidP="00950370">
      <w:pPr>
        <w:pStyle w:val="NormalWeb"/>
        <w:jc w:val="both"/>
      </w:pPr>
      <w:r>
        <w:t xml:space="preserve">Al hacer el producto binario de las dos primeras direcciones (donde hay dos 1 en las mismas posiciones ponemos un 1 y en caso contrario, un 0) obtenemos la tercera. </w:t>
      </w:r>
    </w:p>
    <w:p w:rsidR="00950370" w:rsidRDefault="00950370" w:rsidP="00950370">
      <w:pPr>
        <w:pStyle w:val="NormalWeb"/>
        <w:jc w:val="both"/>
      </w:pPr>
      <w:r>
        <w:t xml:space="preserve">Si hacemos lo mismo con otro ordenador, por ejemplo el 148.120.33.89, obtenemos la misma dirección de subred. Esto significa que ambas máquinas se encuentran en la misma subred (la subred 148.120.0.0). </w:t>
      </w:r>
    </w:p>
    <w:p w:rsidR="00950370" w:rsidRDefault="00950370" w:rsidP="00950370">
      <w:pPr>
        <w:pStyle w:val="NormalWeb"/>
      </w:pPr>
      <w:r>
        <w:rPr>
          <w:rStyle w:val="TecladoHTML"/>
        </w:rPr>
        <w:lastRenderedPageBreak/>
        <w:t>148.120.33.89 10010100.01111000.00100001.01011001 (dirección de una máquina)</w:t>
      </w:r>
      <w:r>
        <w:rPr>
          <w:rFonts w:ascii="Courier New" w:eastAsia="Courier New" w:hAnsi="Courier New"/>
          <w:sz w:val="20"/>
        </w:rPr>
        <w:br/>
      </w:r>
      <w:r>
        <w:rPr>
          <w:rStyle w:val="TecladoHTML"/>
        </w:rPr>
        <w:t>255.255.0.0   11111111.11111111.00000000.00000000 (dirección de su máscara de red)</w:t>
      </w:r>
      <w:r>
        <w:rPr>
          <w:rFonts w:ascii="Courier New" w:eastAsia="Courier New" w:hAnsi="Courier New"/>
          <w:sz w:val="20"/>
        </w:rPr>
        <w:br/>
      </w:r>
      <w:r>
        <w:rPr>
          <w:rStyle w:val="TecladoHTML"/>
        </w:rPr>
        <w:t>148.120.0.0   10010100.01111000.00000000.00000000 (dirección de su subred)</w:t>
      </w:r>
      <w:r>
        <w:t xml:space="preserve"> </w:t>
      </w:r>
    </w:p>
    <w:p w:rsidR="00950370" w:rsidRDefault="00950370" w:rsidP="00950370">
      <w:pPr>
        <w:pStyle w:val="NormalWeb"/>
        <w:jc w:val="both"/>
      </w:pPr>
      <w:r>
        <w:t xml:space="preserve">En cambio, si tomamos la 148.115.89.3, observamos que no pertenece a la misma subred que las anteriores. </w:t>
      </w:r>
    </w:p>
    <w:p w:rsidR="00950370" w:rsidRDefault="00950370" w:rsidP="00950370">
      <w:pPr>
        <w:pStyle w:val="NormalWeb"/>
      </w:pPr>
      <w:r>
        <w:rPr>
          <w:rStyle w:val="TecladoHTML"/>
        </w:rPr>
        <w:t>148.115.89.3   10010100.01110011.01011001.00000011 (dirección de una máquina)</w:t>
      </w:r>
      <w:r>
        <w:rPr>
          <w:rFonts w:ascii="Courier New" w:eastAsia="Courier New" w:hAnsi="Courier New"/>
          <w:sz w:val="20"/>
        </w:rPr>
        <w:br/>
      </w:r>
      <w:r>
        <w:rPr>
          <w:rStyle w:val="TecladoHTML"/>
        </w:rPr>
        <w:t>255.255.0.0    11111111.11111111.00000000.00000000 (dirección de su máscara de red)</w:t>
      </w:r>
      <w:r>
        <w:rPr>
          <w:rFonts w:ascii="Courier New" w:eastAsia="Courier New" w:hAnsi="Courier New"/>
          <w:sz w:val="20"/>
        </w:rPr>
        <w:br/>
      </w:r>
      <w:r>
        <w:rPr>
          <w:rStyle w:val="TecladoHTML"/>
        </w:rPr>
        <w:t>148.115.0.0    10010100.01110011.00000000.00000000 (dirección de su subred)</w:t>
      </w:r>
      <w:r>
        <w:t xml:space="preserve"> </w:t>
      </w:r>
    </w:p>
    <w:p w:rsidR="00950370" w:rsidRDefault="00950370" w:rsidP="00950370">
      <w:pPr>
        <w:pStyle w:val="NormalWeb"/>
        <w:ind w:left="720" w:right="720"/>
        <w:jc w:val="both"/>
        <w:rPr>
          <w:sz w:val="22"/>
        </w:rPr>
      </w:pPr>
      <w:r>
        <w:rPr>
          <w:b/>
          <w:i/>
          <w:sz w:val="22"/>
        </w:rPr>
        <w:t xml:space="preserve">Cálculo de la dirección de difusión.-- </w:t>
      </w:r>
      <w:r>
        <w:rPr>
          <w:i/>
          <w:sz w:val="22"/>
        </w:rPr>
        <w:t xml:space="preserve">Ya hemos visto que el producto lógico binario (AND) de una IP y su máscara </w:t>
      </w:r>
      <w:proofErr w:type="gramStart"/>
      <w:r>
        <w:rPr>
          <w:i/>
          <w:sz w:val="22"/>
        </w:rPr>
        <w:t>devuelve</w:t>
      </w:r>
      <w:proofErr w:type="gramEnd"/>
      <w:r>
        <w:rPr>
          <w:i/>
          <w:sz w:val="22"/>
        </w:rPr>
        <w:t xml:space="preserve"> su dirección de red. Para calcular su dirección de difusión, hay que hacer la suma lógica en binario (OR) de la IP con el inverso (NOT) de su máscara.</w:t>
      </w:r>
      <w:r>
        <w:rPr>
          <w:sz w:val="22"/>
        </w:rPr>
        <w:t xml:space="preserve"> </w:t>
      </w:r>
    </w:p>
    <w:p w:rsidR="00950370" w:rsidRDefault="00950370" w:rsidP="00950370">
      <w:pPr>
        <w:pStyle w:val="NormalWeb"/>
        <w:jc w:val="both"/>
      </w:pPr>
      <w:r>
        <w:t xml:space="preserve">En una red de redes TCP/IP no puede haber hosts aislados: todos pertenecen a alguna red y todos tienen una dirección IP y una máscara de subred (si no se especifica se toma la máscara que corresponda a su clase). Mediante esta  máscara un ordenador sabe si otro ordenador se encuentra en su misma subred o en otra distinta. Si pertenece a su misma subred, el mensaje se entregará directamente. En cambio, si los hosts están configurados en redes distintas, el mensaje se enviará a la puerta de salida o </w:t>
      </w:r>
      <w:proofErr w:type="spellStart"/>
      <w:r>
        <w:t>router</w:t>
      </w:r>
      <w:proofErr w:type="spellEnd"/>
      <w:r>
        <w:t xml:space="preserve"> de la red del host origen. Este </w:t>
      </w:r>
      <w:proofErr w:type="spellStart"/>
      <w:r>
        <w:t>router</w:t>
      </w:r>
      <w:proofErr w:type="spellEnd"/>
      <w:r>
        <w:t xml:space="preserve"> pasará el mensaje al siguiente de la cadena y así sucesivamente hasta que se alcance la red del host destino y se complete la entrega del mensaje. </w:t>
      </w:r>
    </w:p>
    <w:p w:rsidR="00950370" w:rsidRDefault="00950370" w:rsidP="00950370">
      <w:pPr>
        <w:pStyle w:val="NormalWeb"/>
      </w:pPr>
      <w:r>
        <w:t xml:space="preserve">  </w:t>
      </w:r>
    </w:p>
    <w:tbl>
      <w:tblPr>
        <w:tblW w:w="0" w:type="auto"/>
        <w:jc w:val="center"/>
        <w:tblBorders>
          <w:top w:val="thickThinLargeGap" w:sz="6" w:space="0" w:color="808080"/>
          <w:left w:val="thickThinLargeGap" w:sz="6" w:space="0" w:color="808080"/>
          <w:bottom w:val="thickThinLargeGap" w:sz="6" w:space="0" w:color="808080"/>
          <w:right w:val="thickThinLargeGap" w:sz="6" w:space="0" w:color="808080"/>
        </w:tblBorders>
        <w:tblLayout w:type="fixed"/>
        <w:tblCellMar>
          <w:left w:w="90" w:type="dxa"/>
          <w:right w:w="90" w:type="dxa"/>
        </w:tblCellMar>
        <w:tblLook w:val="0000"/>
      </w:tblPr>
      <w:tblGrid>
        <w:gridCol w:w="9357"/>
      </w:tblGrid>
      <w:tr w:rsidR="00950370" w:rsidTr="009E7A3D">
        <w:tblPrEx>
          <w:tblCellMar>
            <w:top w:w="0" w:type="dxa"/>
            <w:bottom w:w="0" w:type="dxa"/>
          </w:tblCellMar>
        </w:tblPrEx>
        <w:trPr>
          <w:jc w:val="center"/>
        </w:trPr>
        <w:tc>
          <w:tcPr>
            <w:tcW w:w="9357" w:type="dxa"/>
            <w:tcBorders>
              <w:top w:val="thickThinLargeGap" w:sz="6" w:space="0" w:color="808080"/>
              <w:left w:val="thickThinLargeGap" w:sz="6" w:space="0" w:color="808080"/>
              <w:bottom w:val="thickThinLargeGap" w:sz="6" w:space="0" w:color="808080"/>
              <w:right w:val="thickThinLargeGap" w:sz="6" w:space="0" w:color="808080"/>
            </w:tcBorders>
            <w:vAlign w:val="center"/>
          </w:tcPr>
          <w:p w:rsidR="00950370" w:rsidRDefault="00950370" w:rsidP="009E7A3D">
            <w:pPr>
              <w:pStyle w:val="NormalWeb"/>
            </w:pPr>
            <w:r>
              <w:rPr>
                <w:noProof/>
                <w:sz w:val="20"/>
                <w:lang w:val="es-AR" w:eastAsia="es-AR"/>
              </w:rPr>
              <w:drawing>
                <wp:anchor distT="0" distB="0" distL="47625" distR="47625" simplePos="0" relativeHeight="251660288" behindDoc="0" locked="0" layoutInCell="0" allowOverlap="0">
                  <wp:simplePos x="0" y="0"/>
                  <wp:positionH relativeFrom="column">
                    <wp:posOffset>-880745</wp:posOffset>
                  </wp:positionH>
                  <wp:positionV relativeFrom="paragraph">
                    <wp:posOffset>-4041775</wp:posOffset>
                  </wp:positionV>
                  <wp:extent cx="3028950" cy="3362325"/>
                  <wp:effectExtent l="19050" t="0" r="0" b="0"/>
                  <wp:wrapSquare wrapText="bothSides"/>
                  <wp:docPr id="2" name="Imagen 2" descr="C:\WINDOWS\Escritorio\cursos\tcpip\esq3.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WINDOWS\Escritorio\cursos\tcpip\esq3.gif"/>
                          <pic:cNvPicPr>
                            <a:picLocks noChangeAspect="1" noChangeArrowheads="1"/>
                          </pic:cNvPicPr>
                        </pic:nvPicPr>
                        <pic:blipFill>
                          <a:blip r:embed="rId6" cstate="print"/>
                          <a:srcRect/>
                          <a:stretch>
                            <a:fillRect/>
                          </a:stretch>
                        </pic:blipFill>
                        <pic:spPr bwMode="auto">
                          <a:xfrm>
                            <a:off x="0" y="0"/>
                            <a:ext cx="3028950" cy="3362325"/>
                          </a:xfrm>
                          <a:prstGeom prst="rect">
                            <a:avLst/>
                          </a:prstGeom>
                          <a:noFill/>
                          <a:ln w="9525">
                            <a:noFill/>
                            <a:miter lim="800000"/>
                            <a:headEnd/>
                            <a:tailEnd/>
                          </a:ln>
                        </pic:spPr>
                      </pic:pic>
                    </a:graphicData>
                  </a:graphic>
                </wp:anchor>
              </w:drawing>
            </w:r>
            <w:r>
              <w:rPr>
                <w:b/>
              </w:rPr>
              <w:t>EJEMPLO.-</w:t>
            </w:r>
            <w:r>
              <w:t xml:space="preserve"> Los proveedores de Internet habitualmente disponen de una o más redes públicas para dar acceso a los usuarios que se conectan por módem. El proveedor va cediendo estas direcciones públicas a sus clientes a medida que se conectan y liberándolas según se van desconectando (direcciones dinámicas). Supongamos que cierto ISP (proveedor de servicios de Internet) dispone de la red 63.81.0.0 con máscara 255.255.0.0. Para uso interno utiliza las direcciones que comienzan por 63.81.0 y para ofrecer acceso a Internet a sus usuarios, las direcciones comprendidas entre la 63.81.1.0 hasta la 63.81.1.254 (las direcciones 63.81.0.0 y 63.81.255.255 están reservadas). </w:t>
            </w:r>
          </w:p>
          <w:p w:rsidR="00950370" w:rsidRDefault="00950370" w:rsidP="009E7A3D">
            <w:pPr>
              <w:pStyle w:val="NormalWeb"/>
            </w:pPr>
            <w:r>
              <w:t xml:space="preserve">Si un usuario conectado a la red de este ISP tiene la dirección 63.81.1.1 y quiere transferir un archivo al usuario con IP 63.81.1.2, el primero advertirá que el destinatario se encuentra en su misma subred y el mensaje no saldrá de la red del proveedor (no atravesará el </w:t>
            </w:r>
            <w:proofErr w:type="spellStart"/>
            <w:r>
              <w:t>router</w:t>
            </w:r>
            <w:proofErr w:type="spellEnd"/>
            <w:r>
              <w:t xml:space="preserve">). </w:t>
            </w:r>
          </w:p>
          <w:p w:rsidR="00950370" w:rsidRDefault="00950370" w:rsidP="009E7A3D">
            <w:pPr>
              <w:pStyle w:val="NormalWeb"/>
              <w:jc w:val="center"/>
            </w:pPr>
            <w:r>
              <w:lastRenderedPageBreak/>
              <w:t xml:space="preserve">  </w:t>
            </w:r>
          </w:p>
          <w:p w:rsidR="00950370" w:rsidRDefault="00950370" w:rsidP="009E7A3D">
            <w:pPr>
              <w:pStyle w:val="NormalWeb"/>
            </w:pPr>
            <w:r>
              <w:t xml:space="preserve">  </w:t>
            </w:r>
          </w:p>
        </w:tc>
      </w:tr>
    </w:tbl>
    <w:p w:rsidR="00950370" w:rsidRDefault="00950370" w:rsidP="00950370">
      <w:pPr>
        <w:pStyle w:val="NormalWeb"/>
        <w:jc w:val="both"/>
      </w:pPr>
      <w:r>
        <w:lastRenderedPageBreak/>
        <w:t> </w:t>
      </w:r>
      <w:r>
        <w:br/>
        <w:t xml:space="preserve">Las máscaras 255.0.0.0 (clase A), 255.255.0.0 (clase B) y 255.255.255.0 (clase C) suelen ser suficientes para la mayoría de las redes privadas. Sin embargo, las redes más pequeñas que podemos formar con estas máscaras son de 254 hosts y para el caso de direcciones públicas, su contratación tiene un coste muy alto. Por esta razón suele ser habitual dividir las redes públicas de clase C en subredes más pequeñas. A continuación se muestran las posibles divisiones de una red de clase C. La división de una red en subredes se conoce como </w:t>
      </w:r>
      <w:proofErr w:type="spellStart"/>
      <w:r>
        <w:rPr>
          <w:i/>
        </w:rPr>
        <w:t>subnetting</w:t>
      </w:r>
      <w:proofErr w:type="spellEnd"/>
      <w:r>
        <w:t>.</w:t>
      </w:r>
    </w:p>
    <w:tbl>
      <w:tblPr>
        <w:tblW w:w="0" w:type="auto"/>
        <w:jc w:val="center"/>
        <w:tblBorders>
          <w:top w:val="thickThinLargeGap" w:sz="6" w:space="0" w:color="808080"/>
          <w:left w:val="thickThinLargeGap" w:sz="6" w:space="0" w:color="808080"/>
          <w:bottom w:val="thickThinLargeGap" w:sz="6" w:space="0" w:color="808080"/>
          <w:right w:val="thickThinLargeGap" w:sz="6" w:space="0" w:color="808080"/>
        </w:tblBorders>
        <w:tblLayout w:type="fixed"/>
        <w:tblCellMar>
          <w:left w:w="0" w:type="dxa"/>
          <w:right w:w="0" w:type="dxa"/>
        </w:tblCellMar>
        <w:tblLook w:val="0000"/>
      </w:tblPr>
      <w:tblGrid>
        <w:gridCol w:w="2099"/>
        <w:gridCol w:w="1173"/>
        <w:gridCol w:w="1318"/>
        <w:gridCol w:w="1624"/>
        <w:gridCol w:w="3386"/>
      </w:tblGrid>
      <w:tr w:rsidR="00950370" w:rsidTr="009E7A3D">
        <w:tblPrEx>
          <w:tblCellMar>
            <w:top w:w="0" w:type="dxa"/>
            <w:left w:w="0" w:type="dxa"/>
            <w:bottom w:w="0" w:type="dxa"/>
            <w:right w:w="0" w:type="dxa"/>
          </w:tblCellMar>
        </w:tblPrEx>
        <w:trPr>
          <w:jc w:val="center"/>
        </w:trPr>
        <w:tc>
          <w:tcPr>
            <w:tcW w:w="2099" w:type="dxa"/>
            <w:tcBorders>
              <w:top w:val="thickThinLargeGap" w:sz="6" w:space="0" w:color="808080"/>
              <w:left w:val="thickThinLargeGap" w:sz="6" w:space="0" w:color="808080"/>
              <w:bottom w:val="thickThinLargeGap" w:sz="6" w:space="0" w:color="808080"/>
              <w:right w:val="thickThinLargeGap" w:sz="6" w:space="0" w:color="808080"/>
            </w:tcBorders>
            <w:shd w:val="clear" w:color="auto" w:fill="0000FF"/>
            <w:vAlign w:val="center"/>
          </w:tcPr>
          <w:p w:rsidR="00950370" w:rsidRDefault="00950370" w:rsidP="009E7A3D">
            <w:pPr>
              <w:jc w:val="center"/>
            </w:pPr>
            <w:r>
              <w:br w:type="page"/>
            </w:r>
            <w:r>
              <w:rPr>
                <w:b/>
                <w:color w:val="0000FF"/>
              </w:rPr>
              <w:t>Máscara de subred</w:t>
            </w:r>
          </w:p>
        </w:tc>
        <w:tc>
          <w:tcPr>
            <w:tcW w:w="1173" w:type="dxa"/>
            <w:tcBorders>
              <w:top w:val="thickThinLargeGap" w:sz="6" w:space="0" w:color="808080"/>
              <w:left w:val="thickThinLargeGap" w:sz="6" w:space="0" w:color="808080"/>
              <w:bottom w:val="thickThinLargeGap" w:sz="6" w:space="0" w:color="808080"/>
              <w:right w:val="thickThinLargeGap" w:sz="6" w:space="0" w:color="808080"/>
            </w:tcBorders>
            <w:shd w:val="clear" w:color="auto" w:fill="0000FF"/>
            <w:vAlign w:val="center"/>
          </w:tcPr>
          <w:p w:rsidR="00950370" w:rsidRDefault="00950370" w:rsidP="009E7A3D">
            <w:pPr>
              <w:jc w:val="center"/>
            </w:pPr>
            <w:r>
              <w:rPr>
                <w:b/>
                <w:color w:val="0000FF"/>
              </w:rPr>
              <w:t>Binario</w:t>
            </w:r>
          </w:p>
        </w:tc>
        <w:tc>
          <w:tcPr>
            <w:tcW w:w="1318" w:type="dxa"/>
            <w:tcBorders>
              <w:top w:val="thickThinLargeGap" w:sz="6" w:space="0" w:color="808080"/>
              <w:left w:val="thickThinLargeGap" w:sz="6" w:space="0" w:color="808080"/>
              <w:bottom w:val="thickThinLargeGap" w:sz="6" w:space="0" w:color="808080"/>
              <w:right w:val="thickThinLargeGap" w:sz="6" w:space="0" w:color="808080"/>
            </w:tcBorders>
            <w:shd w:val="clear" w:color="auto" w:fill="0000FF"/>
            <w:vAlign w:val="center"/>
          </w:tcPr>
          <w:p w:rsidR="00950370" w:rsidRDefault="00950370" w:rsidP="009E7A3D">
            <w:pPr>
              <w:jc w:val="center"/>
            </w:pPr>
            <w:r>
              <w:rPr>
                <w:b/>
                <w:color w:val="0000FF"/>
              </w:rPr>
              <w:t>Número de subredes</w:t>
            </w:r>
          </w:p>
        </w:tc>
        <w:tc>
          <w:tcPr>
            <w:tcW w:w="1624" w:type="dxa"/>
            <w:tcBorders>
              <w:top w:val="thickThinLargeGap" w:sz="6" w:space="0" w:color="808080"/>
              <w:left w:val="thickThinLargeGap" w:sz="6" w:space="0" w:color="808080"/>
              <w:bottom w:val="thickThinLargeGap" w:sz="6" w:space="0" w:color="808080"/>
              <w:right w:val="thickThinLargeGap" w:sz="6" w:space="0" w:color="808080"/>
            </w:tcBorders>
            <w:shd w:val="clear" w:color="auto" w:fill="0000FF"/>
            <w:vAlign w:val="center"/>
          </w:tcPr>
          <w:p w:rsidR="00950370" w:rsidRDefault="00950370" w:rsidP="009E7A3D">
            <w:pPr>
              <w:jc w:val="center"/>
            </w:pPr>
            <w:r>
              <w:rPr>
                <w:b/>
                <w:color w:val="0000FF"/>
              </w:rPr>
              <w:t>Núm. de hosts por subred</w:t>
            </w:r>
          </w:p>
        </w:tc>
        <w:tc>
          <w:tcPr>
            <w:tcW w:w="3386" w:type="dxa"/>
            <w:tcBorders>
              <w:top w:val="thickThinLargeGap" w:sz="6" w:space="0" w:color="808080"/>
              <w:left w:val="thickThinLargeGap" w:sz="6" w:space="0" w:color="808080"/>
              <w:bottom w:val="thickThinLargeGap" w:sz="6" w:space="0" w:color="808080"/>
              <w:right w:val="thickThinLargeGap" w:sz="6" w:space="0" w:color="808080"/>
            </w:tcBorders>
            <w:shd w:val="clear" w:color="auto" w:fill="0000FF"/>
            <w:vAlign w:val="center"/>
          </w:tcPr>
          <w:p w:rsidR="00950370" w:rsidRDefault="00950370" w:rsidP="009E7A3D">
            <w:pPr>
              <w:jc w:val="center"/>
            </w:pPr>
            <w:r>
              <w:rPr>
                <w:b/>
                <w:color w:val="0000FF"/>
              </w:rPr>
              <w:t>Ejemplos de subredes (x=</w:t>
            </w:r>
            <w:proofErr w:type="spellStart"/>
            <w:r>
              <w:rPr>
                <w:b/>
                <w:color w:val="0000FF"/>
              </w:rPr>
              <w:t>a.b.c</w:t>
            </w:r>
            <w:proofErr w:type="spellEnd"/>
            <w:r>
              <w:rPr>
                <w:b/>
                <w:color w:val="0000FF"/>
              </w:rPr>
              <w:t xml:space="preserve"> por ejemplo, 192.168.1)</w:t>
            </w:r>
          </w:p>
        </w:tc>
      </w:tr>
      <w:tr w:rsidR="00950370" w:rsidTr="009E7A3D">
        <w:tblPrEx>
          <w:tblCellMar>
            <w:top w:w="0" w:type="dxa"/>
            <w:left w:w="0" w:type="dxa"/>
            <w:bottom w:w="0" w:type="dxa"/>
            <w:right w:w="0" w:type="dxa"/>
          </w:tblCellMar>
        </w:tblPrEx>
        <w:trPr>
          <w:jc w:val="center"/>
        </w:trPr>
        <w:tc>
          <w:tcPr>
            <w:tcW w:w="2099" w:type="dxa"/>
            <w:tcBorders>
              <w:top w:val="thickThinLargeGap" w:sz="6" w:space="0" w:color="808080"/>
              <w:left w:val="thickThinLargeGap" w:sz="6" w:space="0" w:color="808080"/>
              <w:bottom w:val="thickThinLargeGap" w:sz="6" w:space="0" w:color="808080"/>
              <w:right w:val="thickThinLargeGap" w:sz="6" w:space="0" w:color="808080"/>
            </w:tcBorders>
            <w:vAlign w:val="center"/>
          </w:tcPr>
          <w:p w:rsidR="00950370" w:rsidRDefault="00950370" w:rsidP="009E7A3D">
            <w:pPr>
              <w:jc w:val="center"/>
            </w:pPr>
            <w:r>
              <w:t>255.255.255.0</w:t>
            </w:r>
          </w:p>
        </w:tc>
        <w:tc>
          <w:tcPr>
            <w:tcW w:w="117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rsidR="00950370" w:rsidRDefault="00950370" w:rsidP="009E7A3D">
            <w:pPr>
              <w:jc w:val="center"/>
            </w:pPr>
            <w:r>
              <w:t>00000000</w:t>
            </w:r>
          </w:p>
        </w:tc>
        <w:tc>
          <w:tcPr>
            <w:tcW w:w="1318" w:type="dxa"/>
            <w:tcBorders>
              <w:top w:val="thickThinLargeGap" w:sz="6" w:space="0" w:color="808080"/>
              <w:left w:val="thickThinLargeGap" w:sz="6" w:space="0" w:color="808080"/>
              <w:bottom w:val="thickThinLargeGap" w:sz="6" w:space="0" w:color="808080"/>
              <w:right w:val="thickThinLargeGap" w:sz="6" w:space="0" w:color="808080"/>
            </w:tcBorders>
            <w:vAlign w:val="center"/>
          </w:tcPr>
          <w:p w:rsidR="00950370" w:rsidRDefault="00950370" w:rsidP="009E7A3D">
            <w:pPr>
              <w:jc w:val="center"/>
            </w:pPr>
            <w:r>
              <w:t>1</w:t>
            </w:r>
          </w:p>
        </w:tc>
        <w:tc>
          <w:tcPr>
            <w:tcW w:w="1624" w:type="dxa"/>
            <w:tcBorders>
              <w:top w:val="thickThinLargeGap" w:sz="6" w:space="0" w:color="808080"/>
              <w:left w:val="thickThinLargeGap" w:sz="6" w:space="0" w:color="808080"/>
              <w:bottom w:val="thickThinLargeGap" w:sz="6" w:space="0" w:color="808080"/>
              <w:right w:val="thickThinLargeGap" w:sz="6" w:space="0" w:color="808080"/>
            </w:tcBorders>
            <w:vAlign w:val="center"/>
          </w:tcPr>
          <w:p w:rsidR="00950370" w:rsidRDefault="00950370" w:rsidP="009E7A3D">
            <w:pPr>
              <w:jc w:val="center"/>
            </w:pPr>
            <w:r>
              <w:t>254</w:t>
            </w:r>
          </w:p>
        </w:tc>
        <w:tc>
          <w:tcPr>
            <w:tcW w:w="3386" w:type="dxa"/>
            <w:tcBorders>
              <w:top w:val="thickThinLargeGap" w:sz="6" w:space="0" w:color="808080"/>
              <w:left w:val="thickThinLargeGap" w:sz="6" w:space="0" w:color="808080"/>
              <w:bottom w:val="thickThinLargeGap" w:sz="6" w:space="0" w:color="808080"/>
              <w:right w:val="thickThinLargeGap" w:sz="6" w:space="0" w:color="808080"/>
            </w:tcBorders>
            <w:vAlign w:val="center"/>
          </w:tcPr>
          <w:p w:rsidR="00950370" w:rsidRDefault="00950370" w:rsidP="009E7A3D">
            <w:pPr>
              <w:jc w:val="center"/>
            </w:pPr>
            <w:r>
              <w:t>x.0</w:t>
            </w:r>
          </w:p>
        </w:tc>
      </w:tr>
      <w:tr w:rsidR="00950370" w:rsidTr="009E7A3D">
        <w:tblPrEx>
          <w:tblCellMar>
            <w:top w:w="0" w:type="dxa"/>
            <w:left w:w="0" w:type="dxa"/>
            <w:bottom w:w="0" w:type="dxa"/>
            <w:right w:w="0" w:type="dxa"/>
          </w:tblCellMar>
        </w:tblPrEx>
        <w:trPr>
          <w:jc w:val="center"/>
        </w:trPr>
        <w:tc>
          <w:tcPr>
            <w:tcW w:w="2099" w:type="dxa"/>
            <w:tcBorders>
              <w:top w:val="thickThinLargeGap" w:sz="6" w:space="0" w:color="808080"/>
              <w:left w:val="thickThinLargeGap" w:sz="6" w:space="0" w:color="808080"/>
              <w:bottom w:val="thickThinLargeGap" w:sz="6" w:space="0" w:color="808080"/>
              <w:right w:val="thickThinLargeGap" w:sz="6" w:space="0" w:color="808080"/>
            </w:tcBorders>
            <w:vAlign w:val="center"/>
          </w:tcPr>
          <w:p w:rsidR="00950370" w:rsidRDefault="00950370" w:rsidP="009E7A3D">
            <w:pPr>
              <w:jc w:val="center"/>
            </w:pPr>
            <w:r>
              <w:t>255.255.255.128</w:t>
            </w:r>
          </w:p>
        </w:tc>
        <w:tc>
          <w:tcPr>
            <w:tcW w:w="117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rsidR="00950370" w:rsidRDefault="00950370" w:rsidP="009E7A3D">
            <w:pPr>
              <w:jc w:val="center"/>
            </w:pPr>
            <w:r>
              <w:t>10000000</w:t>
            </w:r>
          </w:p>
        </w:tc>
        <w:tc>
          <w:tcPr>
            <w:tcW w:w="1318" w:type="dxa"/>
            <w:tcBorders>
              <w:top w:val="thickThinLargeGap" w:sz="6" w:space="0" w:color="808080"/>
              <w:left w:val="thickThinLargeGap" w:sz="6" w:space="0" w:color="808080"/>
              <w:bottom w:val="thickThinLargeGap" w:sz="6" w:space="0" w:color="808080"/>
              <w:right w:val="thickThinLargeGap" w:sz="6" w:space="0" w:color="808080"/>
            </w:tcBorders>
            <w:vAlign w:val="center"/>
          </w:tcPr>
          <w:p w:rsidR="00950370" w:rsidRDefault="00950370" w:rsidP="009E7A3D">
            <w:pPr>
              <w:jc w:val="center"/>
            </w:pPr>
            <w:r>
              <w:t>2</w:t>
            </w:r>
          </w:p>
        </w:tc>
        <w:tc>
          <w:tcPr>
            <w:tcW w:w="1624" w:type="dxa"/>
            <w:tcBorders>
              <w:top w:val="thickThinLargeGap" w:sz="6" w:space="0" w:color="808080"/>
              <w:left w:val="thickThinLargeGap" w:sz="6" w:space="0" w:color="808080"/>
              <w:bottom w:val="thickThinLargeGap" w:sz="6" w:space="0" w:color="808080"/>
              <w:right w:val="thickThinLargeGap" w:sz="6" w:space="0" w:color="808080"/>
            </w:tcBorders>
            <w:vAlign w:val="center"/>
          </w:tcPr>
          <w:p w:rsidR="00950370" w:rsidRDefault="00950370" w:rsidP="009E7A3D">
            <w:pPr>
              <w:jc w:val="center"/>
            </w:pPr>
            <w:r>
              <w:t>126</w:t>
            </w:r>
          </w:p>
        </w:tc>
        <w:tc>
          <w:tcPr>
            <w:tcW w:w="3386" w:type="dxa"/>
            <w:tcBorders>
              <w:top w:val="thickThinLargeGap" w:sz="6" w:space="0" w:color="808080"/>
              <w:left w:val="thickThinLargeGap" w:sz="6" w:space="0" w:color="808080"/>
              <w:bottom w:val="thickThinLargeGap" w:sz="6" w:space="0" w:color="808080"/>
              <w:right w:val="thickThinLargeGap" w:sz="6" w:space="0" w:color="808080"/>
            </w:tcBorders>
            <w:vAlign w:val="center"/>
          </w:tcPr>
          <w:p w:rsidR="00950370" w:rsidRDefault="00950370" w:rsidP="009E7A3D">
            <w:pPr>
              <w:jc w:val="center"/>
            </w:pPr>
            <w:r>
              <w:t>x.0, x.128</w:t>
            </w:r>
          </w:p>
        </w:tc>
      </w:tr>
      <w:tr w:rsidR="00950370" w:rsidTr="009E7A3D">
        <w:tblPrEx>
          <w:tblCellMar>
            <w:top w:w="0" w:type="dxa"/>
            <w:left w:w="0" w:type="dxa"/>
            <w:bottom w:w="0" w:type="dxa"/>
            <w:right w:w="0" w:type="dxa"/>
          </w:tblCellMar>
        </w:tblPrEx>
        <w:trPr>
          <w:jc w:val="center"/>
        </w:trPr>
        <w:tc>
          <w:tcPr>
            <w:tcW w:w="2099" w:type="dxa"/>
            <w:tcBorders>
              <w:top w:val="thickThinLargeGap" w:sz="6" w:space="0" w:color="808080"/>
              <w:left w:val="thickThinLargeGap" w:sz="6" w:space="0" w:color="808080"/>
              <w:bottom w:val="thickThinLargeGap" w:sz="6" w:space="0" w:color="808080"/>
              <w:right w:val="thickThinLargeGap" w:sz="6" w:space="0" w:color="808080"/>
            </w:tcBorders>
            <w:vAlign w:val="center"/>
          </w:tcPr>
          <w:p w:rsidR="00950370" w:rsidRDefault="00950370" w:rsidP="009E7A3D">
            <w:pPr>
              <w:jc w:val="center"/>
            </w:pPr>
            <w:r>
              <w:t>255.255.255.192</w:t>
            </w:r>
          </w:p>
        </w:tc>
        <w:tc>
          <w:tcPr>
            <w:tcW w:w="117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rsidR="00950370" w:rsidRDefault="00950370" w:rsidP="009E7A3D">
            <w:pPr>
              <w:jc w:val="center"/>
            </w:pPr>
            <w:r>
              <w:t>11000000</w:t>
            </w:r>
          </w:p>
        </w:tc>
        <w:tc>
          <w:tcPr>
            <w:tcW w:w="1318" w:type="dxa"/>
            <w:tcBorders>
              <w:top w:val="thickThinLargeGap" w:sz="6" w:space="0" w:color="808080"/>
              <w:left w:val="thickThinLargeGap" w:sz="6" w:space="0" w:color="808080"/>
              <w:bottom w:val="thickThinLargeGap" w:sz="6" w:space="0" w:color="808080"/>
              <w:right w:val="thickThinLargeGap" w:sz="6" w:space="0" w:color="808080"/>
            </w:tcBorders>
            <w:vAlign w:val="center"/>
          </w:tcPr>
          <w:p w:rsidR="00950370" w:rsidRDefault="00950370" w:rsidP="009E7A3D">
            <w:pPr>
              <w:jc w:val="center"/>
            </w:pPr>
            <w:r>
              <w:t>4</w:t>
            </w:r>
          </w:p>
        </w:tc>
        <w:tc>
          <w:tcPr>
            <w:tcW w:w="1624" w:type="dxa"/>
            <w:tcBorders>
              <w:top w:val="thickThinLargeGap" w:sz="6" w:space="0" w:color="808080"/>
              <w:left w:val="thickThinLargeGap" w:sz="6" w:space="0" w:color="808080"/>
              <w:bottom w:val="thickThinLargeGap" w:sz="6" w:space="0" w:color="808080"/>
              <w:right w:val="thickThinLargeGap" w:sz="6" w:space="0" w:color="808080"/>
            </w:tcBorders>
            <w:vAlign w:val="center"/>
          </w:tcPr>
          <w:p w:rsidR="00950370" w:rsidRDefault="00950370" w:rsidP="009E7A3D">
            <w:pPr>
              <w:jc w:val="center"/>
            </w:pPr>
            <w:r>
              <w:t>62</w:t>
            </w:r>
          </w:p>
        </w:tc>
        <w:tc>
          <w:tcPr>
            <w:tcW w:w="3386" w:type="dxa"/>
            <w:tcBorders>
              <w:top w:val="thickThinLargeGap" w:sz="6" w:space="0" w:color="808080"/>
              <w:left w:val="thickThinLargeGap" w:sz="6" w:space="0" w:color="808080"/>
              <w:bottom w:val="thickThinLargeGap" w:sz="6" w:space="0" w:color="808080"/>
              <w:right w:val="thickThinLargeGap" w:sz="6" w:space="0" w:color="808080"/>
            </w:tcBorders>
            <w:vAlign w:val="center"/>
          </w:tcPr>
          <w:p w:rsidR="00950370" w:rsidRDefault="00950370" w:rsidP="009E7A3D">
            <w:pPr>
              <w:jc w:val="center"/>
            </w:pPr>
            <w:r>
              <w:t>x.0, x.64, x.128, x.192</w:t>
            </w:r>
          </w:p>
        </w:tc>
      </w:tr>
      <w:tr w:rsidR="00950370" w:rsidTr="009E7A3D">
        <w:tblPrEx>
          <w:tblCellMar>
            <w:top w:w="0" w:type="dxa"/>
            <w:left w:w="0" w:type="dxa"/>
            <w:bottom w:w="0" w:type="dxa"/>
            <w:right w:w="0" w:type="dxa"/>
          </w:tblCellMar>
        </w:tblPrEx>
        <w:trPr>
          <w:jc w:val="center"/>
        </w:trPr>
        <w:tc>
          <w:tcPr>
            <w:tcW w:w="2099" w:type="dxa"/>
            <w:tcBorders>
              <w:top w:val="thickThinLargeGap" w:sz="6" w:space="0" w:color="808080"/>
              <w:left w:val="thickThinLargeGap" w:sz="6" w:space="0" w:color="808080"/>
              <w:bottom w:val="thickThinLargeGap" w:sz="6" w:space="0" w:color="808080"/>
              <w:right w:val="thickThinLargeGap" w:sz="6" w:space="0" w:color="808080"/>
            </w:tcBorders>
            <w:vAlign w:val="center"/>
          </w:tcPr>
          <w:p w:rsidR="00950370" w:rsidRDefault="00950370" w:rsidP="009E7A3D">
            <w:pPr>
              <w:jc w:val="center"/>
            </w:pPr>
            <w:r>
              <w:t>255.255.255.224</w:t>
            </w:r>
          </w:p>
        </w:tc>
        <w:tc>
          <w:tcPr>
            <w:tcW w:w="117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rsidR="00950370" w:rsidRDefault="00950370" w:rsidP="009E7A3D">
            <w:pPr>
              <w:jc w:val="center"/>
            </w:pPr>
            <w:r>
              <w:t>11100000</w:t>
            </w:r>
          </w:p>
        </w:tc>
        <w:tc>
          <w:tcPr>
            <w:tcW w:w="1318" w:type="dxa"/>
            <w:tcBorders>
              <w:top w:val="thickThinLargeGap" w:sz="6" w:space="0" w:color="808080"/>
              <w:left w:val="thickThinLargeGap" w:sz="6" w:space="0" w:color="808080"/>
              <w:bottom w:val="thickThinLargeGap" w:sz="6" w:space="0" w:color="808080"/>
              <w:right w:val="thickThinLargeGap" w:sz="6" w:space="0" w:color="808080"/>
            </w:tcBorders>
            <w:vAlign w:val="center"/>
          </w:tcPr>
          <w:p w:rsidR="00950370" w:rsidRDefault="00950370" w:rsidP="009E7A3D">
            <w:pPr>
              <w:jc w:val="center"/>
            </w:pPr>
            <w:r>
              <w:t>8</w:t>
            </w:r>
          </w:p>
        </w:tc>
        <w:tc>
          <w:tcPr>
            <w:tcW w:w="1624" w:type="dxa"/>
            <w:tcBorders>
              <w:top w:val="thickThinLargeGap" w:sz="6" w:space="0" w:color="808080"/>
              <w:left w:val="thickThinLargeGap" w:sz="6" w:space="0" w:color="808080"/>
              <w:bottom w:val="thickThinLargeGap" w:sz="6" w:space="0" w:color="808080"/>
              <w:right w:val="thickThinLargeGap" w:sz="6" w:space="0" w:color="808080"/>
            </w:tcBorders>
            <w:vAlign w:val="center"/>
          </w:tcPr>
          <w:p w:rsidR="00950370" w:rsidRDefault="00950370" w:rsidP="009E7A3D">
            <w:pPr>
              <w:jc w:val="center"/>
            </w:pPr>
            <w:r>
              <w:t>30</w:t>
            </w:r>
          </w:p>
        </w:tc>
        <w:tc>
          <w:tcPr>
            <w:tcW w:w="3386" w:type="dxa"/>
            <w:tcBorders>
              <w:top w:val="thickThinLargeGap" w:sz="6" w:space="0" w:color="808080"/>
              <w:left w:val="thickThinLargeGap" w:sz="6" w:space="0" w:color="808080"/>
              <w:bottom w:val="thickThinLargeGap" w:sz="6" w:space="0" w:color="808080"/>
              <w:right w:val="thickThinLargeGap" w:sz="6" w:space="0" w:color="808080"/>
            </w:tcBorders>
            <w:vAlign w:val="center"/>
          </w:tcPr>
          <w:p w:rsidR="00950370" w:rsidRDefault="00950370" w:rsidP="009E7A3D">
            <w:pPr>
              <w:jc w:val="center"/>
            </w:pPr>
            <w:r>
              <w:t>x.0, x.32, x.64, x.96, x.128, ...</w:t>
            </w:r>
          </w:p>
        </w:tc>
      </w:tr>
      <w:tr w:rsidR="00950370" w:rsidTr="009E7A3D">
        <w:tblPrEx>
          <w:tblCellMar>
            <w:top w:w="0" w:type="dxa"/>
            <w:left w:w="0" w:type="dxa"/>
            <w:bottom w:w="0" w:type="dxa"/>
            <w:right w:w="0" w:type="dxa"/>
          </w:tblCellMar>
        </w:tblPrEx>
        <w:trPr>
          <w:jc w:val="center"/>
        </w:trPr>
        <w:tc>
          <w:tcPr>
            <w:tcW w:w="2099" w:type="dxa"/>
            <w:tcBorders>
              <w:top w:val="thickThinLargeGap" w:sz="6" w:space="0" w:color="808080"/>
              <w:left w:val="thickThinLargeGap" w:sz="6" w:space="0" w:color="808080"/>
              <w:bottom w:val="thickThinLargeGap" w:sz="6" w:space="0" w:color="808080"/>
              <w:right w:val="thickThinLargeGap" w:sz="6" w:space="0" w:color="808080"/>
            </w:tcBorders>
            <w:vAlign w:val="center"/>
          </w:tcPr>
          <w:p w:rsidR="00950370" w:rsidRDefault="00950370" w:rsidP="009E7A3D">
            <w:pPr>
              <w:jc w:val="center"/>
            </w:pPr>
            <w:r>
              <w:t>255.255.255.240</w:t>
            </w:r>
          </w:p>
        </w:tc>
        <w:tc>
          <w:tcPr>
            <w:tcW w:w="117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rsidR="00950370" w:rsidRDefault="00950370" w:rsidP="009E7A3D">
            <w:pPr>
              <w:jc w:val="center"/>
            </w:pPr>
            <w:r>
              <w:t>11110000</w:t>
            </w:r>
          </w:p>
        </w:tc>
        <w:tc>
          <w:tcPr>
            <w:tcW w:w="1318" w:type="dxa"/>
            <w:tcBorders>
              <w:top w:val="thickThinLargeGap" w:sz="6" w:space="0" w:color="808080"/>
              <w:left w:val="thickThinLargeGap" w:sz="6" w:space="0" w:color="808080"/>
              <w:bottom w:val="thickThinLargeGap" w:sz="6" w:space="0" w:color="808080"/>
              <w:right w:val="thickThinLargeGap" w:sz="6" w:space="0" w:color="808080"/>
            </w:tcBorders>
            <w:vAlign w:val="center"/>
          </w:tcPr>
          <w:p w:rsidR="00950370" w:rsidRDefault="00950370" w:rsidP="009E7A3D">
            <w:pPr>
              <w:jc w:val="center"/>
            </w:pPr>
            <w:r>
              <w:t>16</w:t>
            </w:r>
          </w:p>
        </w:tc>
        <w:tc>
          <w:tcPr>
            <w:tcW w:w="1624" w:type="dxa"/>
            <w:tcBorders>
              <w:top w:val="thickThinLargeGap" w:sz="6" w:space="0" w:color="808080"/>
              <w:left w:val="thickThinLargeGap" w:sz="6" w:space="0" w:color="808080"/>
              <w:bottom w:val="thickThinLargeGap" w:sz="6" w:space="0" w:color="808080"/>
              <w:right w:val="thickThinLargeGap" w:sz="6" w:space="0" w:color="808080"/>
            </w:tcBorders>
            <w:vAlign w:val="center"/>
          </w:tcPr>
          <w:p w:rsidR="00950370" w:rsidRDefault="00950370" w:rsidP="009E7A3D">
            <w:pPr>
              <w:jc w:val="center"/>
            </w:pPr>
            <w:r>
              <w:t>14</w:t>
            </w:r>
          </w:p>
        </w:tc>
        <w:tc>
          <w:tcPr>
            <w:tcW w:w="3386" w:type="dxa"/>
            <w:tcBorders>
              <w:top w:val="thickThinLargeGap" w:sz="6" w:space="0" w:color="808080"/>
              <w:left w:val="thickThinLargeGap" w:sz="6" w:space="0" w:color="808080"/>
              <w:bottom w:val="thickThinLargeGap" w:sz="6" w:space="0" w:color="808080"/>
              <w:right w:val="thickThinLargeGap" w:sz="6" w:space="0" w:color="808080"/>
            </w:tcBorders>
            <w:vAlign w:val="center"/>
          </w:tcPr>
          <w:p w:rsidR="00950370" w:rsidRDefault="00950370" w:rsidP="009E7A3D">
            <w:pPr>
              <w:jc w:val="center"/>
            </w:pPr>
            <w:r>
              <w:t>x.0, x.16, x.32, x.48, x.64, ...</w:t>
            </w:r>
          </w:p>
        </w:tc>
      </w:tr>
      <w:tr w:rsidR="00950370" w:rsidTr="009E7A3D">
        <w:tblPrEx>
          <w:tblCellMar>
            <w:top w:w="0" w:type="dxa"/>
            <w:left w:w="0" w:type="dxa"/>
            <w:bottom w:w="0" w:type="dxa"/>
            <w:right w:w="0" w:type="dxa"/>
          </w:tblCellMar>
        </w:tblPrEx>
        <w:trPr>
          <w:jc w:val="center"/>
        </w:trPr>
        <w:tc>
          <w:tcPr>
            <w:tcW w:w="2099" w:type="dxa"/>
            <w:tcBorders>
              <w:top w:val="thickThinLargeGap" w:sz="6" w:space="0" w:color="808080"/>
              <w:left w:val="thickThinLargeGap" w:sz="6" w:space="0" w:color="808080"/>
              <w:bottom w:val="thickThinLargeGap" w:sz="6" w:space="0" w:color="808080"/>
              <w:right w:val="thickThinLargeGap" w:sz="6" w:space="0" w:color="808080"/>
            </w:tcBorders>
            <w:vAlign w:val="center"/>
          </w:tcPr>
          <w:p w:rsidR="00950370" w:rsidRDefault="00950370" w:rsidP="009E7A3D">
            <w:pPr>
              <w:jc w:val="center"/>
            </w:pPr>
            <w:r>
              <w:t>255.255.255.248</w:t>
            </w:r>
          </w:p>
        </w:tc>
        <w:tc>
          <w:tcPr>
            <w:tcW w:w="117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rsidR="00950370" w:rsidRDefault="00950370" w:rsidP="009E7A3D">
            <w:pPr>
              <w:jc w:val="center"/>
            </w:pPr>
            <w:r>
              <w:t>11111000</w:t>
            </w:r>
          </w:p>
        </w:tc>
        <w:tc>
          <w:tcPr>
            <w:tcW w:w="1318" w:type="dxa"/>
            <w:tcBorders>
              <w:top w:val="thickThinLargeGap" w:sz="6" w:space="0" w:color="808080"/>
              <w:left w:val="thickThinLargeGap" w:sz="6" w:space="0" w:color="808080"/>
              <w:bottom w:val="thickThinLargeGap" w:sz="6" w:space="0" w:color="808080"/>
              <w:right w:val="thickThinLargeGap" w:sz="6" w:space="0" w:color="808080"/>
            </w:tcBorders>
            <w:vAlign w:val="center"/>
          </w:tcPr>
          <w:p w:rsidR="00950370" w:rsidRDefault="00950370" w:rsidP="009E7A3D">
            <w:pPr>
              <w:jc w:val="center"/>
            </w:pPr>
            <w:r>
              <w:t>32</w:t>
            </w:r>
          </w:p>
        </w:tc>
        <w:tc>
          <w:tcPr>
            <w:tcW w:w="1624" w:type="dxa"/>
            <w:tcBorders>
              <w:top w:val="thickThinLargeGap" w:sz="6" w:space="0" w:color="808080"/>
              <w:left w:val="thickThinLargeGap" w:sz="6" w:space="0" w:color="808080"/>
              <w:bottom w:val="thickThinLargeGap" w:sz="6" w:space="0" w:color="808080"/>
              <w:right w:val="thickThinLargeGap" w:sz="6" w:space="0" w:color="808080"/>
            </w:tcBorders>
            <w:vAlign w:val="center"/>
          </w:tcPr>
          <w:p w:rsidR="00950370" w:rsidRDefault="00950370" w:rsidP="009E7A3D">
            <w:pPr>
              <w:jc w:val="center"/>
            </w:pPr>
            <w:r>
              <w:t>6</w:t>
            </w:r>
          </w:p>
        </w:tc>
        <w:tc>
          <w:tcPr>
            <w:tcW w:w="3386" w:type="dxa"/>
            <w:tcBorders>
              <w:top w:val="thickThinLargeGap" w:sz="6" w:space="0" w:color="808080"/>
              <w:left w:val="thickThinLargeGap" w:sz="6" w:space="0" w:color="808080"/>
              <w:bottom w:val="thickThinLargeGap" w:sz="6" w:space="0" w:color="808080"/>
              <w:right w:val="thickThinLargeGap" w:sz="6" w:space="0" w:color="808080"/>
            </w:tcBorders>
            <w:vAlign w:val="center"/>
          </w:tcPr>
          <w:p w:rsidR="00950370" w:rsidRDefault="00950370" w:rsidP="009E7A3D">
            <w:pPr>
              <w:jc w:val="center"/>
            </w:pPr>
            <w:r>
              <w:t>x.0, x.8, x.16, x.24, x.32, x.40, ...</w:t>
            </w:r>
          </w:p>
        </w:tc>
      </w:tr>
      <w:tr w:rsidR="00950370" w:rsidTr="009E7A3D">
        <w:tblPrEx>
          <w:tblCellMar>
            <w:top w:w="0" w:type="dxa"/>
            <w:left w:w="0" w:type="dxa"/>
            <w:bottom w:w="0" w:type="dxa"/>
            <w:right w:w="0" w:type="dxa"/>
          </w:tblCellMar>
        </w:tblPrEx>
        <w:trPr>
          <w:jc w:val="center"/>
        </w:trPr>
        <w:tc>
          <w:tcPr>
            <w:tcW w:w="2099" w:type="dxa"/>
            <w:tcBorders>
              <w:top w:val="thickThinLargeGap" w:sz="6" w:space="0" w:color="808080"/>
              <w:left w:val="thickThinLargeGap" w:sz="6" w:space="0" w:color="808080"/>
              <w:bottom w:val="thickThinLargeGap" w:sz="6" w:space="0" w:color="808080"/>
              <w:right w:val="thickThinLargeGap" w:sz="6" w:space="0" w:color="808080"/>
            </w:tcBorders>
            <w:vAlign w:val="center"/>
          </w:tcPr>
          <w:p w:rsidR="00950370" w:rsidRDefault="00950370" w:rsidP="009E7A3D">
            <w:pPr>
              <w:jc w:val="center"/>
            </w:pPr>
            <w:r>
              <w:t>255.255.255.252</w:t>
            </w:r>
          </w:p>
        </w:tc>
        <w:tc>
          <w:tcPr>
            <w:tcW w:w="117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rsidR="00950370" w:rsidRDefault="00950370" w:rsidP="009E7A3D">
            <w:pPr>
              <w:jc w:val="center"/>
            </w:pPr>
            <w:r>
              <w:t>11111100</w:t>
            </w:r>
          </w:p>
        </w:tc>
        <w:tc>
          <w:tcPr>
            <w:tcW w:w="1318" w:type="dxa"/>
            <w:tcBorders>
              <w:top w:val="thickThinLargeGap" w:sz="6" w:space="0" w:color="808080"/>
              <w:left w:val="thickThinLargeGap" w:sz="6" w:space="0" w:color="808080"/>
              <w:bottom w:val="thickThinLargeGap" w:sz="6" w:space="0" w:color="808080"/>
              <w:right w:val="thickThinLargeGap" w:sz="6" w:space="0" w:color="808080"/>
            </w:tcBorders>
            <w:vAlign w:val="center"/>
          </w:tcPr>
          <w:p w:rsidR="00950370" w:rsidRDefault="00950370" w:rsidP="009E7A3D">
            <w:pPr>
              <w:jc w:val="center"/>
            </w:pPr>
            <w:r>
              <w:t>64</w:t>
            </w:r>
          </w:p>
        </w:tc>
        <w:tc>
          <w:tcPr>
            <w:tcW w:w="1624" w:type="dxa"/>
            <w:tcBorders>
              <w:top w:val="thickThinLargeGap" w:sz="6" w:space="0" w:color="808080"/>
              <w:left w:val="thickThinLargeGap" w:sz="6" w:space="0" w:color="808080"/>
              <w:bottom w:val="thickThinLargeGap" w:sz="6" w:space="0" w:color="808080"/>
              <w:right w:val="thickThinLargeGap" w:sz="6" w:space="0" w:color="808080"/>
            </w:tcBorders>
            <w:vAlign w:val="center"/>
          </w:tcPr>
          <w:p w:rsidR="00950370" w:rsidRDefault="00950370" w:rsidP="009E7A3D">
            <w:pPr>
              <w:jc w:val="center"/>
            </w:pPr>
            <w:r>
              <w:t>2</w:t>
            </w:r>
          </w:p>
        </w:tc>
        <w:tc>
          <w:tcPr>
            <w:tcW w:w="3386" w:type="dxa"/>
            <w:tcBorders>
              <w:top w:val="thickThinLargeGap" w:sz="6" w:space="0" w:color="808080"/>
              <w:left w:val="thickThinLargeGap" w:sz="6" w:space="0" w:color="808080"/>
              <w:bottom w:val="thickThinLargeGap" w:sz="6" w:space="0" w:color="808080"/>
              <w:right w:val="thickThinLargeGap" w:sz="6" w:space="0" w:color="808080"/>
            </w:tcBorders>
            <w:vAlign w:val="center"/>
          </w:tcPr>
          <w:p w:rsidR="00950370" w:rsidRDefault="00950370" w:rsidP="009E7A3D">
            <w:pPr>
              <w:jc w:val="center"/>
            </w:pPr>
            <w:r>
              <w:t>x.0, x.4, x.8, x.12, x.16, x.20, ...</w:t>
            </w:r>
          </w:p>
        </w:tc>
      </w:tr>
      <w:tr w:rsidR="00950370" w:rsidTr="009E7A3D">
        <w:tblPrEx>
          <w:tblCellMar>
            <w:top w:w="0" w:type="dxa"/>
            <w:left w:w="0" w:type="dxa"/>
            <w:bottom w:w="0" w:type="dxa"/>
            <w:right w:w="0" w:type="dxa"/>
          </w:tblCellMar>
        </w:tblPrEx>
        <w:trPr>
          <w:jc w:val="center"/>
        </w:trPr>
        <w:tc>
          <w:tcPr>
            <w:tcW w:w="2099" w:type="dxa"/>
            <w:tcBorders>
              <w:top w:val="thickThinLargeGap" w:sz="6" w:space="0" w:color="808080"/>
              <w:left w:val="thickThinLargeGap" w:sz="6" w:space="0" w:color="808080"/>
              <w:bottom w:val="thickThinLargeGap" w:sz="6" w:space="0" w:color="808080"/>
              <w:right w:val="thickThinLargeGap" w:sz="6" w:space="0" w:color="808080"/>
            </w:tcBorders>
            <w:vAlign w:val="center"/>
          </w:tcPr>
          <w:p w:rsidR="00950370" w:rsidRDefault="00950370" w:rsidP="009E7A3D">
            <w:pPr>
              <w:jc w:val="center"/>
            </w:pPr>
            <w:r>
              <w:t>255.255.255.254</w:t>
            </w:r>
          </w:p>
        </w:tc>
        <w:tc>
          <w:tcPr>
            <w:tcW w:w="117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rsidR="00950370" w:rsidRDefault="00950370" w:rsidP="009E7A3D">
            <w:pPr>
              <w:jc w:val="center"/>
            </w:pPr>
            <w:r>
              <w:t>11111110</w:t>
            </w:r>
          </w:p>
        </w:tc>
        <w:tc>
          <w:tcPr>
            <w:tcW w:w="1318" w:type="dxa"/>
            <w:tcBorders>
              <w:top w:val="thickThinLargeGap" w:sz="6" w:space="0" w:color="808080"/>
              <w:left w:val="thickThinLargeGap" w:sz="6" w:space="0" w:color="808080"/>
              <w:bottom w:val="thickThinLargeGap" w:sz="6" w:space="0" w:color="808080"/>
              <w:right w:val="thickThinLargeGap" w:sz="6" w:space="0" w:color="808080"/>
            </w:tcBorders>
            <w:vAlign w:val="center"/>
          </w:tcPr>
          <w:p w:rsidR="00950370" w:rsidRDefault="00950370" w:rsidP="009E7A3D">
            <w:pPr>
              <w:jc w:val="center"/>
            </w:pPr>
            <w:r>
              <w:t>128</w:t>
            </w:r>
          </w:p>
        </w:tc>
        <w:tc>
          <w:tcPr>
            <w:tcW w:w="1624" w:type="dxa"/>
            <w:tcBorders>
              <w:top w:val="thickThinLargeGap" w:sz="6" w:space="0" w:color="808080"/>
              <w:left w:val="thickThinLargeGap" w:sz="6" w:space="0" w:color="808080"/>
              <w:bottom w:val="thickThinLargeGap" w:sz="6" w:space="0" w:color="808080"/>
              <w:right w:val="thickThinLargeGap" w:sz="6" w:space="0" w:color="808080"/>
            </w:tcBorders>
            <w:vAlign w:val="center"/>
          </w:tcPr>
          <w:p w:rsidR="00950370" w:rsidRDefault="00950370" w:rsidP="009E7A3D">
            <w:pPr>
              <w:jc w:val="center"/>
            </w:pPr>
            <w:r>
              <w:t>0</w:t>
            </w:r>
          </w:p>
        </w:tc>
        <w:tc>
          <w:tcPr>
            <w:tcW w:w="3386" w:type="dxa"/>
            <w:tcBorders>
              <w:top w:val="thickThinLargeGap" w:sz="6" w:space="0" w:color="808080"/>
              <w:left w:val="thickThinLargeGap" w:sz="6" w:space="0" w:color="808080"/>
              <w:bottom w:val="thickThinLargeGap" w:sz="6" w:space="0" w:color="808080"/>
              <w:right w:val="thickThinLargeGap" w:sz="6" w:space="0" w:color="808080"/>
            </w:tcBorders>
            <w:vAlign w:val="center"/>
          </w:tcPr>
          <w:p w:rsidR="00950370" w:rsidRDefault="00950370" w:rsidP="009E7A3D">
            <w:pPr>
              <w:jc w:val="center"/>
            </w:pPr>
            <w:r>
              <w:t>ninguna posible</w:t>
            </w:r>
          </w:p>
        </w:tc>
      </w:tr>
      <w:tr w:rsidR="00950370" w:rsidTr="009E7A3D">
        <w:tblPrEx>
          <w:tblCellMar>
            <w:top w:w="0" w:type="dxa"/>
            <w:left w:w="0" w:type="dxa"/>
            <w:bottom w:w="0" w:type="dxa"/>
            <w:right w:w="0" w:type="dxa"/>
          </w:tblCellMar>
        </w:tblPrEx>
        <w:trPr>
          <w:jc w:val="center"/>
        </w:trPr>
        <w:tc>
          <w:tcPr>
            <w:tcW w:w="2099" w:type="dxa"/>
            <w:tcBorders>
              <w:top w:val="thickThinLargeGap" w:sz="6" w:space="0" w:color="808080"/>
              <w:left w:val="thickThinLargeGap" w:sz="6" w:space="0" w:color="808080"/>
              <w:bottom w:val="thickThinLargeGap" w:sz="6" w:space="0" w:color="808080"/>
              <w:right w:val="thickThinLargeGap" w:sz="6" w:space="0" w:color="808080"/>
            </w:tcBorders>
            <w:vAlign w:val="center"/>
          </w:tcPr>
          <w:p w:rsidR="00950370" w:rsidRDefault="00950370" w:rsidP="009E7A3D">
            <w:pPr>
              <w:jc w:val="center"/>
            </w:pPr>
            <w:r>
              <w:t>255.255.255.255</w:t>
            </w:r>
          </w:p>
        </w:tc>
        <w:tc>
          <w:tcPr>
            <w:tcW w:w="117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rsidR="00950370" w:rsidRDefault="00950370" w:rsidP="009E7A3D">
            <w:pPr>
              <w:jc w:val="center"/>
            </w:pPr>
            <w:r>
              <w:t>11111111</w:t>
            </w:r>
          </w:p>
        </w:tc>
        <w:tc>
          <w:tcPr>
            <w:tcW w:w="1318" w:type="dxa"/>
            <w:tcBorders>
              <w:top w:val="thickThinLargeGap" w:sz="6" w:space="0" w:color="808080"/>
              <w:left w:val="thickThinLargeGap" w:sz="6" w:space="0" w:color="808080"/>
              <w:bottom w:val="thickThinLargeGap" w:sz="6" w:space="0" w:color="808080"/>
              <w:right w:val="thickThinLargeGap" w:sz="6" w:space="0" w:color="808080"/>
            </w:tcBorders>
            <w:vAlign w:val="center"/>
          </w:tcPr>
          <w:p w:rsidR="00950370" w:rsidRDefault="00950370" w:rsidP="009E7A3D">
            <w:pPr>
              <w:jc w:val="center"/>
            </w:pPr>
            <w:r>
              <w:t>256</w:t>
            </w:r>
          </w:p>
        </w:tc>
        <w:tc>
          <w:tcPr>
            <w:tcW w:w="1624" w:type="dxa"/>
            <w:tcBorders>
              <w:top w:val="thickThinLargeGap" w:sz="6" w:space="0" w:color="808080"/>
              <w:left w:val="thickThinLargeGap" w:sz="6" w:space="0" w:color="808080"/>
              <w:bottom w:val="thickThinLargeGap" w:sz="6" w:space="0" w:color="808080"/>
              <w:right w:val="thickThinLargeGap" w:sz="6" w:space="0" w:color="808080"/>
            </w:tcBorders>
            <w:vAlign w:val="center"/>
          </w:tcPr>
          <w:p w:rsidR="00950370" w:rsidRDefault="00950370" w:rsidP="009E7A3D">
            <w:pPr>
              <w:jc w:val="center"/>
            </w:pPr>
            <w:r>
              <w:t>0</w:t>
            </w:r>
          </w:p>
        </w:tc>
        <w:tc>
          <w:tcPr>
            <w:tcW w:w="3386" w:type="dxa"/>
            <w:tcBorders>
              <w:top w:val="thickThinLargeGap" w:sz="6" w:space="0" w:color="808080"/>
              <w:left w:val="thickThinLargeGap" w:sz="6" w:space="0" w:color="808080"/>
              <w:bottom w:val="thickThinLargeGap" w:sz="6" w:space="0" w:color="808080"/>
              <w:right w:val="thickThinLargeGap" w:sz="6" w:space="0" w:color="808080"/>
            </w:tcBorders>
            <w:vAlign w:val="center"/>
          </w:tcPr>
          <w:p w:rsidR="00950370" w:rsidRDefault="00950370" w:rsidP="009E7A3D">
            <w:pPr>
              <w:jc w:val="center"/>
            </w:pPr>
            <w:r>
              <w:t>ninguna posible</w:t>
            </w:r>
          </w:p>
        </w:tc>
      </w:tr>
    </w:tbl>
    <w:p w:rsidR="00950370" w:rsidRDefault="00950370" w:rsidP="00950370">
      <w:pPr>
        <w:pStyle w:val="NormalWeb"/>
        <w:jc w:val="both"/>
      </w:pPr>
      <w:r>
        <w:t xml:space="preserve">Obsérvese que en el caso práctico que explicamos un poco más arriba se utilizó la máscara 255.255.255.248 para crear una red pública con 6 direcciones de hosts válidas (la primera y última dirección de todas las redes se excluyen). Las máscaras con bytes distintos a 0 o 255 también se pueden utilizar para </w:t>
      </w:r>
      <w:proofErr w:type="spellStart"/>
      <w:r>
        <w:t>particionar</w:t>
      </w:r>
      <w:proofErr w:type="spellEnd"/>
      <w:r>
        <w:t xml:space="preserve"> redes de clase A o de clase B, sin embargo no suele ser lo más habitual. Por ejemplo, la máscara 255.255.192.0 dividiría una red de clase B en 4 subredes de 16382 hosts (2 elevado a 14, menos 2) cada una. </w:t>
      </w:r>
    </w:p>
    <w:tbl>
      <w:tblPr>
        <w:tblW w:w="0" w:type="auto"/>
        <w:jc w:val="center"/>
        <w:tblBorders>
          <w:top w:val="thickThinLargeGap" w:sz="6" w:space="0" w:color="808080"/>
          <w:left w:val="thickThinLargeGap" w:sz="6" w:space="0" w:color="808080"/>
          <w:bottom w:val="thickThinLargeGap" w:sz="6" w:space="0" w:color="808080"/>
          <w:right w:val="thickThinLargeGap" w:sz="6" w:space="0" w:color="808080"/>
        </w:tblBorders>
        <w:tblLayout w:type="fixed"/>
        <w:tblCellMar>
          <w:left w:w="90" w:type="dxa"/>
          <w:right w:w="90" w:type="dxa"/>
        </w:tblCellMar>
        <w:tblLook w:val="0000"/>
      </w:tblPr>
      <w:tblGrid>
        <w:gridCol w:w="9357"/>
      </w:tblGrid>
      <w:tr w:rsidR="00950370" w:rsidTr="009E7A3D">
        <w:tblPrEx>
          <w:tblCellMar>
            <w:top w:w="0" w:type="dxa"/>
            <w:bottom w:w="0" w:type="dxa"/>
          </w:tblCellMar>
        </w:tblPrEx>
        <w:trPr>
          <w:jc w:val="center"/>
        </w:trPr>
        <w:tc>
          <w:tcPr>
            <w:tcW w:w="9357" w:type="dxa"/>
            <w:tcBorders>
              <w:top w:val="thickThinLargeGap" w:sz="6" w:space="0" w:color="808080"/>
              <w:left w:val="thickThinLargeGap" w:sz="6" w:space="0" w:color="808080"/>
              <w:bottom w:val="thickThinLargeGap" w:sz="6" w:space="0" w:color="808080"/>
              <w:right w:val="thickThinLargeGap" w:sz="6" w:space="0" w:color="808080"/>
            </w:tcBorders>
            <w:vAlign w:val="center"/>
          </w:tcPr>
          <w:p w:rsidR="00950370" w:rsidRDefault="00950370" w:rsidP="009E7A3D">
            <w:pPr>
              <w:pStyle w:val="NormalWeb"/>
            </w:pPr>
            <w:r>
              <w:rPr>
                <w:b/>
              </w:rPr>
              <w:t>EJERCICIOS</w:t>
            </w:r>
            <w:r>
              <w:rPr>
                <w:b/>
              </w:rPr>
              <w:br/>
            </w:r>
            <w:r>
              <w:t> </w:t>
            </w:r>
            <w:r>
              <w:rPr>
                <w:b/>
              </w:rPr>
              <w:br/>
              <w:t xml:space="preserve">1. Calcular la dirección de red y dirección de </w:t>
            </w:r>
            <w:proofErr w:type="spellStart"/>
            <w:r>
              <w:rPr>
                <w:b/>
                <w:i/>
              </w:rPr>
              <w:t>broadcasting</w:t>
            </w:r>
            <w:proofErr w:type="spellEnd"/>
            <w:r>
              <w:rPr>
                <w:b/>
                <w:i/>
              </w:rPr>
              <w:t xml:space="preserve"> </w:t>
            </w:r>
            <w:r>
              <w:rPr>
                <w:b/>
              </w:rPr>
              <w:t>(difusión) de las máquinas con las siguientes direcciones IP y máscaras de subred (si no se especifica, se utiliza la máscara por defecto):</w:t>
            </w:r>
            <w:r>
              <w:t xml:space="preserve"> </w:t>
            </w:r>
          </w:p>
          <w:p w:rsidR="00950370" w:rsidRDefault="00950370" w:rsidP="00950370">
            <w:pPr>
              <w:pStyle w:val="NormalWeb"/>
              <w:numPr>
                <w:ilvl w:val="0"/>
                <w:numId w:val="2"/>
              </w:numPr>
            </w:pPr>
            <w:r>
              <w:rPr>
                <w:b/>
              </w:rPr>
              <w:t>18.120.16.250:</w:t>
            </w:r>
            <w:r>
              <w:t xml:space="preserve"> máscara 255.0.0.0, red 18.0.0.0, </w:t>
            </w:r>
            <w:proofErr w:type="spellStart"/>
            <w:r>
              <w:t>broadcasting</w:t>
            </w:r>
            <w:proofErr w:type="spellEnd"/>
            <w:r>
              <w:t xml:space="preserve"> 18.255.255.255 </w:t>
            </w:r>
          </w:p>
          <w:p w:rsidR="00950370" w:rsidRDefault="00950370" w:rsidP="00950370">
            <w:pPr>
              <w:pStyle w:val="NormalWeb"/>
              <w:numPr>
                <w:ilvl w:val="0"/>
                <w:numId w:val="2"/>
              </w:numPr>
              <w:rPr>
                <w:lang w:val="en-US"/>
              </w:rPr>
            </w:pPr>
            <w:r>
              <w:rPr>
                <w:b/>
                <w:lang w:val="en-US"/>
              </w:rPr>
              <w:t>18.120.16.255 / 255.255.0.0:</w:t>
            </w:r>
            <w:r>
              <w:rPr>
                <w:lang w:val="en-US"/>
              </w:rPr>
              <w:t xml:space="preserve"> red 18.120.0.0, broadcasting 18.120.255.255 </w:t>
            </w:r>
          </w:p>
          <w:p w:rsidR="00950370" w:rsidRDefault="00950370" w:rsidP="00950370">
            <w:pPr>
              <w:pStyle w:val="NormalWeb"/>
              <w:numPr>
                <w:ilvl w:val="0"/>
                <w:numId w:val="2"/>
              </w:numPr>
              <w:rPr>
                <w:lang w:val="en-US"/>
              </w:rPr>
            </w:pPr>
            <w:r>
              <w:rPr>
                <w:b/>
                <w:lang w:val="en-US"/>
              </w:rPr>
              <w:t>155.4.220.39:</w:t>
            </w:r>
            <w:r>
              <w:rPr>
                <w:lang w:val="en-US"/>
              </w:rPr>
              <w:t xml:space="preserve"> </w:t>
            </w:r>
            <w:proofErr w:type="spellStart"/>
            <w:r>
              <w:rPr>
                <w:lang w:val="en-US"/>
              </w:rPr>
              <w:t>máscara</w:t>
            </w:r>
            <w:proofErr w:type="spellEnd"/>
            <w:r>
              <w:rPr>
                <w:lang w:val="en-US"/>
              </w:rPr>
              <w:t xml:space="preserve"> 255.255.0.0, red 155.4.0.0, broadcasting 155.24.255.255 </w:t>
            </w:r>
          </w:p>
          <w:p w:rsidR="00950370" w:rsidRDefault="00950370" w:rsidP="00950370">
            <w:pPr>
              <w:pStyle w:val="NormalWeb"/>
              <w:numPr>
                <w:ilvl w:val="0"/>
                <w:numId w:val="2"/>
              </w:numPr>
              <w:rPr>
                <w:lang w:val="en-US"/>
              </w:rPr>
            </w:pPr>
            <w:r>
              <w:rPr>
                <w:b/>
                <w:lang w:val="en-US"/>
              </w:rPr>
              <w:t xml:space="preserve">194.209.14.33: </w:t>
            </w:r>
            <w:proofErr w:type="spellStart"/>
            <w:r>
              <w:rPr>
                <w:lang w:val="en-US"/>
              </w:rPr>
              <w:t>máscara</w:t>
            </w:r>
            <w:proofErr w:type="spellEnd"/>
            <w:r>
              <w:rPr>
                <w:lang w:val="en-US"/>
              </w:rPr>
              <w:t xml:space="preserve"> 255.255.255.0, red 194.209.14.0, broadcasting 194.209.14.255 </w:t>
            </w:r>
          </w:p>
          <w:p w:rsidR="00950370" w:rsidRDefault="00950370" w:rsidP="00950370">
            <w:pPr>
              <w:pStyle w:val="NormalWeb"/>
              <w:numPr>
                <w:ilvl w:val="0"/>
                <w:numId w:val="2"/>
              </w:numPr>
              <w:rPr>
                <w:lang w:val="en-US"/>
              </w:rPr>
            </w:pPr>
            <w:r>
              <w:rPr>
                <w:b/>
                <w:lang w:val="en-US"/>
              </w:rPr>
              <w:t>190.33.109.133 / 255.255.255.0:</w:t>
            </w:r>
            <w:r>
              <w:rPr>
                <w:lang w:val="en-US"/>
              </w:rPr>
              <w:t xml:space="preserve"> red 190.33.109.0, broadcasting 190.33.109.255 </w:t>
            </w:r>
          </w:p>
          <w:p w:rsidR="00950370" w:rsidRDefault="00950370" w:rsidP="009E7A3D">
            <w:pPr>
              <w:pStyle w:val="NormalWeb"/>
            </w:pPr>
            <w:r>
              <w:rPr>
                <w:b/>
              </w:rPr>
              <w:t xml:space="preserve">2. Suponiendo que nuestro ordenador tiene la dirección IP 192.168.5.65 con máscara </w:t>
            </w:r>
            <w:r>
              <w:rPr>
                <w:b/>
              </w:rPr>
              <w:lastRenderedPageBreak/>
              <w:t>255.255.255.0, indicar qué significan las siguientes direcciones especiales:</w:t>
            </w:r>
            <w:r>
              <w:t xml:space="preserve"> </w:t>
            </w:r>
          </w:p>
          <w:p w:rsidR="00950370" w:rsidRDefault="00950370" w:rsidP="00950370">
            <w:pPr>
              <w:pStyle w:val="NormalWeb"/>
              <w:numPr>
                <w:ilvl w:val="0"/>
                <w:numId w:val="3"/>
              </w:numPr>
            </w:pPr>
            <w:r>
              <w:rPr>
                <w:b/>
              </w:rPr>
              <w:t>0.0.0.0:</w:t>
            </w:r>
            <w:r>
              <w:t xml:space="preserve"> nuestro ordenador </w:t>
            </w:r>
          </w:p>
          <w:p w:rsidR="00950370" w:rsidRDefault="00950370" w:rsidP="00950370">
            <w:pPr>
              <w:pStyle w:val="NormalWeb"/>
              <w:numPr>
                <w:ilvl w:val="0"/>
                <w:numId w:val="3"/>
              </w:numPr>
            </w:pPr>
            <w:r>
              <w:rPr>
                <w:b/>
              </w:rPr>
              <w:t>0.0.0.29:</w:t>
            </w:r>
            <w:r>
              <w:t xml:space="preserve"> 192.168.5.29 </w:t>
            </w:r>
          </w:p>
          <w:p w:rsidR="00950370" w:rsidRDefault="00950370" w:rsidP="00950370">
            <w:pPr>
              <w:pStyle w:val="NormalWeb"/>
              <w:numPr>
                <w:ilvl w:val="0"/>
                <w:numId w:val="3"/>
              </w:numPr>
            </w:pPr>
            <w:r>
              <w:rPr>
                <w:b/>
              </w:rPr>
              <w:t>192.168.67.0:</w:t>
            </w:r>
            <w:r>
              <w:t xml:space="preserve"> la red 192.168.67.0 </w:t>
            </w:r>
          </w:p>
          <w:p w:rsidR="00950370" w:rsidRDefault="00950370" w:rsidP="00950370">
            <w:pPr>
              <w:pStyle w:val="NormalWeb"/>
              <w:numPr>
                <w:ilvl w:val="0"/>
                <w:numId w:val="3"/>
              </w:numPr>
            </w:pPr>
            <w:r>
              <w:rPr>
                <w:b/>
              </w:rPr>
              <w:t xml:space="preserve">255.255.255.255: </w:t>
            </w:r>
            <w:proofErr w:type="spellStart"/>
            <w:r>
              <w:t>broadcasting</w:t>
            </w:r>
            <w:proofErr w:type="spellEnd"/>
            <w:r>
              <w:t xml:space="preserve"> a la red 192.168.5.0 (la nuestra) </w:t>
            </w:r>
          </w:p>
          <w:p w:rsidR="00950370" w:rsidRDefault="00950370" w:rsidP="00950370">
            <w:pPr>
              <w:pStyle w:val="NormalWeb"/>
              <w:numPr>
                <w:ilvl w:val="0"/>
                <w:numId w:val="3"/>
              </w:numPr>
            </w:pPr>
            <w:r>
              <w:rPr>
                <w:b/>
              </w:rPr>
              <w:t>192.130.10.255:</w:t>
            </w:r>
            <w:r>
              <w:t xml:space="preserve"> </w:t>
            </w:r>
            <w:proofErr w:type="spellStart"/>
            <w:r>
              <w:t>broadcasting</w:t>
            </w:r>
            <w:proofErr w:type="spellEnd"/>
            <w:r>
              <w:t xml:space="preserve"> a la red 192.130.10.0 </w:t>
            </w:r>
          </w:p>
          <w:p w:rsidR="00950370" w:rsidRDefault="00950370" w:rsidP="00950370">
            <w:pPr>
              <w:pStyle w:val="NormalWeb"/>
              <w:numPr>
                <w:ilvl w:val="0"/>
                <w:numId w:val="3"/>
              </w:numPr>
            </w:pPr>
            <w:r>
              <w:rPr>
                <w:b/>
              </w:rPr>
              <w:t>127.0.0.1:</w:t>
            </w:r>
            <w:r>
              <w:t xml:space="preserve"> 192.168.5.65 (</w:t>
            </w:r>
            <w:proofErr w:type="spellStart"/>
            <w:r>
              <w:t>loopback</w:t>
            </w:r>
            <w:proofErr w:type="spellEnd"/>
            <w:r>
              <w:t xml:space="preserve">) </w:t>
            </w:r>
          </w:p>
          <w:p w:rsidR="00950370" w:rsidRDefault="00950370" w:rsidP="009E7A3D">
            <w:pPr>
              <w:pStyle w:val="NormalWeb"/>
            </w:pPr>
            <w:r>
              <w:rPr>
                <w:b/>
              </w:rPr>
              <w:t xml:space="preserve">3. Calcular la dirección de red y dirección de </w:t>
            </w:r>
            <w:proofErr w:type="spellStart"/>
            <w:r>
              <w:rPr>
                <w:b/>
                <w:i/>
              </w:rPr>
              <w:t>broadcasting</w:t>
            </w:r>
            <w:proofErr w:type="spellEnd"/>
            <w:r>
              <w:rPr>
                <w:b/>
                <w:i/>
              </w:rPr>
              <w:t xml:space="preserve"> </w:t>
            </w:r>
            <w:r>
              <w:rPr>
                <w:b/>
              </w:rPr>
              <w:t>(difusión) de las máquinas con las siguientes direcciones IP y máscaras de subred:</w:t>
            </w:r>
            <w:r>
              <w:t xml:space="preserve"> </w:t>
            </w:r>
          </w:p>
          <w:p w:rsidR="00950370" w:rsidRDefault="00950370" w:rsidP="00950370">
            <w:pPr>
              <w:pStyle w:val="NormalWeb"/>
              <w:numPr>
                <w:ilvl w:val="0"/>
                <w:numId w:val="4"/>
              </w:numPr>
              <w:rPr>
                <w:lang w:val="en-US"/>
              </w:rPr>
            </w:pPr>
            <w:r>
              <w:rPr>
                <w:b/>
                <w:lang w:val="en-US"/>
              </w:rPr>
              <w:t>190.33.109.133 / 255.255.255.128:</w:t>
            </w:r>
            <w:r>
              <w:rPr>
                <w:lang w:val="en-US"/>
              </w:rPr>
              <w:t xml:space="preserve"> red 190.33.109.128, broadcasting 190.33.109.255</w:t>
            </w:r>
            <w:r>
              <w:rPr>
                <w:lang w:val="en-US"/>
              </w:rPr>
              <w:br/>
              <w:t xml:space="preserve">(133=10000101, 128=10000000, 127=01111111) </w:t>
            </w:r>
          </w:p>
          <w:p w:rsidR="00950370" w:rsidRDefault="00950370" w:rsidP="00950370">
            <w:pPr>
              <w:pStyle w:val="NormalWeb"/>
              <w:numPr>
                <w:ilvl w:val="0"/>
                <w:numId w:val="4"/>
              </w:numPr>
              <w:rPr>
                <w:lang w:val="en-US"/>
              </w:rPr>
            </w:pPr>
            <w:r>
              <w:rPr>
                <w:b/>
                <w:lang w:val="en-US"/>
              </w:rPr>
              <w:t>192.168.20.25 / 255.255.255.240:</w:t>
            </w:r>
            <w:r>
              <w:rPr>
                <w:lang w:val="en-US"/>
              </w:rPr>
              <w:t xml:space="preserve"> red 192.168.20.16, broadcasting 192.168.20.31</w:t>
            </w:r>
            <w:r>
              <w:rPr>
                <w:lang w:val="en-US"/>
              </w:rPr>
              <w:br/>
              <w:t xml:space="preserve">(25=00011001, 240=11110000, 16=00010000, 31=00011111) </w:t>
            </w:r>
          </w:p>
          <w:p w:rsidR="00950370" w:rsidRDefault="00950370" w:rsidP="00950370">
            <w:pPr>
              <w:pStyle w:val="NormalWeb"/>
              <w:numPr>
                <w:ilvl w:val="0"/>
                <w:numId w:val="4"/>
              </w:numPr>
              <w:rPr>
                <w:lang w:val="en-US"/>
              </w:rPr>
            </w:pPr>
            <w:r>
              <w:rPr>
                <w:b/>
                <w:lang w:val="en-US"/>
              </w:rPr>
              <w:t>192.168.20.25 / 255.255.255.224:</w:t>
            </w:r>
            <w:r>
              <w:rPr>
                <w:lang w:val="en-US"/>
              </w:rPr>
              <w:t xml:space="preserve"> red 192.168.20.0, broadcasting 192.168.20.31</w:t>
            </w:r>
            <w:r>
              <w:rPr>
                <w:lang w:val="en-US"/>
              </w:rPr>
              <w:br/>
              <w:t xml:space="preserve">(25=00011001, 224=11100000, 31=00011111) </w:t>
            </w:r>
          </w:p>
          <w:p w:rsidR="00950370" w:rsidRDefault="00950370" w:rsidP="00950370">
            <w:pPr>
              <w:pStyle w:val="NormalWeb"/>
              <w:numPr>
                <w:ilvl w:val="0"/>
                <w:numId w:val="4"/>
              </w:numPr>
              <w:rPr>
                <w:lang w:val="en-US"/>
              </w:rPr>
            </w:pPr>
            <w:r>
              <w:rPr>
                <w:b/>
                <w:lang w:val="en-US"/>
              </w:rPr>
              <w:t xml:space="preserve">192.168.20.25 / 255.255.255.192: </w:t>
            </w:r>
            <w:r>
              <w:rPr>
                <w:lang w:val="en-US"/>
              </w:rPr>
              <w:t>red 192.168.20.0, broadcasting 192.168.20.63</w:t>
            </w:r>
            <w:r>
              <w:rPr>
                <w:lang w:val="en-US"/>
              </w:rPr>
              <w:br/>
              <w:t xml:space="preserve">(25=00011001, 192=11000000, 63=00111111) </w:t>
            </w:r>
          </w:p>
          <w:p w:rsidR="00950370" w:rsidRDefault="00950370" w:rsidP="00950370">
            <w:pPr>
              <w:pStyle w:val="NormalWeb"/>
              <w:numPr>
                <w:ilvl w:val="0"/>
                <w:numId w:val="4"/>
              </w:numPr>
              <w:rPr>
                <w:lang w:val="en-US"/>
              </w:rPr>
            </w:pPr>
            <w:r>
              <w:rPr>
                <w:b/>
                <w:lang w:val="en-US"/>
              </w:rPr>
              <w:t>140.190.20.10 / 255.255.192.0:</w:t>
            </w:r>
            <w:r>
              <w:rPr>
                <w:lang w:val="en-US"/>
              </w:rPr>
              <w:t xml:space="preserve"> red 140.190.0.0, broadcasting 140.190.63.255</w:t>
            </w:r>
            <w:r>
              <w:rPr>
                <w:lang w:val="en-US"/>
              </w:rPr>
              <w:br/>
              <w:t xml:space="preserve">(020=00010100, 192=11000000, 063=00111111) </w:t>
            </w:r>
          </w:p>
          <w:p w:rsidR="00950370" w:rsidRDefault="00950370" w:rsidP="00950370">
            <w:pPr>
              <w:pStyle w:val="NormalWeb"/>
              <w:numPr>
                <w:ilvl w:val="0"/>
                <w:numId w:val="4"/>
              </w:numPr>
              <w:rPr>
                <w:lang w:val="en-US"/>
              </w:rPr>
            </w:pPr>
            <w:r>
              <w:rPr>
                <w:b/>
                <w:lang w:val="en-US"/>
              </w:rPr>
              <w:t>140.190.130.10 / 255.255.192.0:</w:t>
            </w:r>
            <w:r>
              <w:rPr>
                <w:lang w:val="en-US"/>
              </w:rPr>
              <w:t xml:space="preserve"> red 140.190.128.0, broadcasting 140.190.191.255</w:t>
            </w:r>
            <w:r>
              <w:rPr>
                <w:lang w:val="en-US"/>
              </w:rPr>
              <w:br/>
              <w:t xml:space="preserve">(130=10000010, 192=11000000, 128=10000000, 063=00111111, 191=10111111) </w:t>
            </w:r>
          </w:p>
          <w:p w:rsidR="00950370" w:rsidRDefault="00950370" w:rsidP="00950370">
            <w:pPr>
              <w:pStyle w:val="NormalWeb"/>
              <w:numPr>
                <w:ilvl w:val="0"/>
                <w:numId w:val="4"/>
              </w:numPr>
            </w:pPr>
            <w:r>
              <w:rPr>
                <w:b/>
              </w:rPr>
              <w:t>140.190.220.10 / 255.255.192.0:</w:t>
            </w:r>
            <w:r>
              <w:t xml:space="preserve"> red 140.190.192.0, </w:t>
            </w:r>
            <w:proofErr w:type="spellStart"/>
            <w:r>
              <w:t>broadcasting</w:t>
            </w:r>
            <w:proofErr w:type="spellEnd"/>
            <w:r>
              <w:t xml:space="preserve"> 140.190.255.255</w:t>
            </w:r>
            <w:r>
              <w:br/>
              <w:t xml:space="preserve">(220=11011100, 192=11000000, 063=00111111, 255=11111111) </w:t>
            </w:r>
          </w:p>
          <w:p w:rsidR="00950370" w:rsidRDefault="00950370" w:rsidP="009E7A3D">
            <w:pPr>
              <w:pStyle w:val="NormalWeb"/>
            </w:pPr>
            <w:r>
              <w:rPr>
                <w:b/>
              </w:rPr>
              <w:t xml:space="preserve">4. Viendo las direcciones IP de los hosts públicos de una empresa observamos que todas están comprendidas entre 194.143.17.145 y 194.143.17.158, ¿Cuál es (probablemente) su dirección de red, </w:t>
            </w:r>
            <w:proofErr w:type="spellStart"/>
            <w:r>
              <w:rPr>
                <w:b/>
              </w:rPr>
              <w:t>broadcasting</w:t>
            </w:r>
            <w:proofErr w:type="spellEnd"/>
            <w:r>
              <w:rPr>
                <w:b/>
              </w:rPr>
              <w:t xml:space="preserve"> y máscara?</w:t>
            </w:r>
            <w:r>
              <w:t xml:space="preserve"> </w:t>
            </w:r>
          </w:p>
          <w:p w:rsidR="00950370" w:rsidRDefault="00950370" w:rsidP="009E7A3D">
            <w:pPr>
              <w:pStyle w:val="NormalWeb"/>
            </w:pPr>
            <w:r>
              <w:t xml:space="preserve">Pasamos a binario las dos direcciones. La primera tiene que estar próxima a la dirección de red y la última, a la dirección de </w:t>
            </w:r>
            <w:proofErr w:type="spellStart"/>
            <w:r>
              <w:t>broadcasting</w:t>
            </w:r>
            <w:proofErr w:type="spellEnd"/>
            <w:r>
              <w:t xml:space="preserve">: </w:t>
            </w:r>
          </w:p>
          <w:p w:rsidR="00950370" w:rsidRDefault="00950370" w:rsidP="009E7A3D">
            <w:pPr>
              <w:pStyle w:val="NormalWeb"/>
            </w:pPr>
            <w:r>
              <w:rPr>
                <w:rStyle w:val="TecladoHTML"/>
              </w:rPr>
              <w:t>194.143.017.145 11000010.10001111.00010001.10010001</w:t>
            </w:r>
            <w:r>
              <w:rPr>
                <w:rFonts w:ascii="Courier New" w:eastAsia="Courier New" w:hAnsi="Courier New"/>
                <w:sz w:val="20"/>
              </w:rPr>
              <w:br/>
            </w:r>
            <w:r>
              <w:rPr>
                <w:rStyle w:val="TecladoHTML"/>
              </w:rPr>
              <w:t>194.143.017.158 11000010.10001111.00010001.10011110</w:t>
            </w:r>
            <w:r>
              <w:t xml:space="preserve"> </w:t>
            </w:r>
          </w:p>
          <w:p w:rsidR="00950370" w:rsidRDefault="00950370" w:rsidP="009E7A3D">
            <w:pPr>
              <w:pStyle w:val="NormalWeb"/>
            </w:pPr>
            <w:r>
              <w:t xml:space="preserve">Podemos suponer que la dirección de red es 194.143.17.144 y la de </w:t>
            </w:r>
            <w:proofErr w:type="spellStart"/>
            <w:r>
              <w:t>broadcasting</w:t>
            </w:r>
            <w:proofErr w:type="spellEnd"/>
            <w:r>
              <w:t xml:space="preserve">, 194.143.17.159: </w:t>
            </w:r>
          </w:p>
          <w:p w:rsidR="00950370" w:rsidRDefault="00950370" w:rsidP="009E7A3D">
            <w:pPr>
              <w:pStyle w:val="NormalWeb"/>
            </w:pPr>
            <w:r>
              <w:rPr>
                <w:rStyle w:val="TecladoHTML"/>
              </w:rPr>
              <w:t>194.143.017.144 11000010.10001111.00010001.10010000</w:t>
            </w:r>
            <w:r>
              <w:rPr>
                <w:rFonts w:ascii="Courier New" w:eastAsia="Courier New" w:hAnsi="Courier New"/>
                <w:sz w:val="20"/>
              </w:rPr>
              <w:br/>
            </w:r>
            <w:r>
              <w:rPr>
                <w:rStyle w:val="TecladoHTML"/>
              </w:rPr>
              <w:t>194.143.017.159 11000010.10001111.00010001.10011111</w:t>
            </w:r>
            <w:r>
              <w:rPr>
                <w:rFonts w:ascii="Courier New" w:eastAsia="Courier New" w:hAnsi="Courier New"/>
                <w:sz w:val="20"/>
              </w:rPr>
              <w:br/>
            </w:r>
            <w:r>
              <w:rPr>
                <w:rStyle w:val="TecladoHTML"/>
              </w:rPr>
              <w:t>                &lt;-------------RED-------------&gt;&lt;--&gt;HOST</w:t>
            </w:r>
            <w:r>
              <w:t xml:space="preserve"> </w:t>
            </w:r>
          </w:p>
          <w:p w:rsidR="00950370" w:rsidRDefault="00950370" w:rsidP="009E7A3D">
            <w:pPr>
              <w:pStyle w:val="NormalWeb"/>
            </w:pPr>
            <w:r>
              <w:t xml:space="preserve">Entonces la máscara será: </w:t>
            </w:r>
          </w:p>
          <w:p w:rsidR="00950370" w:rsidRDefault="00950370" w:rsidP="009E7A3D">
            <w:pPr>
              <w:pStyle w:val="NormalWeb"/>
            </w:pPr>
            <w:r>
              <w:rPr>
                <w:rStyle w:val="TecladoHTML"/>
              </w:rPr>
              <w:t>255.255.255.240 11111111.11111111.11111111.11110000</w:t>
            </w:r>
            <w:r>
              <w:rPr>
                <w:rFonts w:ascii="Courier New" w:eastAsia="Courier New" w:hAnsi="Courier New"/>
                <w:sz w:val="20"/>
              </w:rPr>
              <w:br/>
            </w:r>
            <w:r>
              <w:rPr>
                <w:rStyle w:val="TecladoHTML"/>
              </w:rPr>
              <w:t>                &lt;-------------RED-------------&gt;&lt;--&gt;HOST</w:t>
            </w:r>
          </w:p>
        </w:tc>
      </w:tr>
    </w:tbl>
    <w:p w:rsidR="0007429F" w:rsidRDefault="0007429F"/>
    <w:sectPr w:rsidR="0007429F" w:rsidSect="0007429F">
      <w:pgSz w:w="11906" w:h="16838"/>
      <w:pgMar w:top="1417" w:right="1701" w:bottom="1417"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A19581F"/>
    <w:multiLevelType w:val="hybridMultilevel"/>
    <w:tmpl w:val="A816FFE2"/>
    <w:lvl w:ilvl="0" w:tplc="FFFFFFFF">
      <w:start w:val="1"/>
      <w:numFmt w:val="bullet"/>
      <w:lvlText w:val=""/>
      <w:lvlJc w:val="left"/>
      <w:pPr>
        <w:tabs>
          <w:tab w:val="num" w:pos="720"/>
        </w:tabs>
        <w:ind w:left="720" w:hanging="360"/>
      </w:pPr>
      <w:rPr>
        <w:rFonts w:ascii="Symbol" w:hAnsi="Symbol" w:hint="default"/>
        <w:sz w:val="20"/>
      </w:rPr>
    </w:lvl>
    <w:lvl w:ilvl="1" w:tplc="FFFFFFFF" w:tentative="1">
      <w:start w:val="1"/>
      <w:numFmt w:val="bullet"/>
      <w:lvlText w:val="o"/>
      <w:lvlJc w:val="left"/>
      <w:pPr>
        <w:tabs>
          <w:tab w:val="num" w:pos="1440"/>
        </w:tabs>
        <w:ind w:left="1440" w:hanging="360"/>
      </w:pPr>
      <w:rPr>
        <w:rFonts w:ascii="Courier New" w:hAnsi="Courier New" w:hint="default"/>
        <w:sz w:val="20"/>
      </w:rPr>
    </w:lvl>
    <w:lvl w:ilvl="2" w:tplc="FFFFFFFF" w:tentative="1">
      <w:start w:val="1"/>
      <w:numFmt w:val="bullet"/>
      <w:lvlText w:val=""/>
      <w:lvlJc w:val="left"/>
      <w:pPr>
        <w:tabs>
          <w:tab w:val="num" w:pos="2160"/>
        </w:tabs>
        <w:ind w:left="2160" w:hanging="360"/>
      </w:pPr>
      <w:rPr>
        <w:rFonts w:ascii="Wingdings" w:hAnsi="Wingdings" w:hint="default"/>
        <w:sz w:val="20"/>
      </w:rPr>
    </w:lvl>
    <w:lvl w:ilvl="3" w:tplc="FFFFFFFF" w:tentative="1">
      <w:start w:val="1"/>
      <w:numFmt w:val="bullet"/>
      <w:lvlText w:val=""/>
      <w:lvlJc w:val="left"/>
      <w:pPr>
        <w:tabs>
          <w:tab w:val="num" w:pos="2880"/>
        </w:tabs>
        <w:ind w:left="2880" w:hanging="360"/>
      </w:pPr>
      <w:rPr>
        <w:rFonts w:ascii="Wingdings" w:hAnsi="Wingdings" w:hint="default"/>
        <w:sz w:val="20"/>
      </w:rPr>
    </w:lvl>
    <w:lvl w:ilvl="4" w:tplc="FFFFFFFF" w:tentative="1">
      <w:start w:val="1"/>
      <w:numFmt w:val="bullet"/>
      <w:lvlText w:val=""/>
      <w:lvlJc w:val="left"/>
      <w:pPr>
        <w:tabs>
          <w:tab w:val="num" w:pos="3600"/>
        </w:tabs>
        <w:ind w:left="3600" w:hanging="360"/>
      </w:pPr>
      <w:rPr>
        <w:rFonts w:ascii="Wingdings" w:hAnsi="Wingdings" w:hint="default"/>
        <w:sz w:val="20"/>
      </w:rPr>
    </w:lvl>
    <w:lvl w:ilvl="5" w:tplc="FFFFFFFF" w:tentative="1">
      <w:start w:val="1"/>
      <w:numFmt w:val="bullet"/>
      <w:lvlText w:val=""/>
      <w:lvlJc w:val="left"/>
      <w:pPr>
        <w:tabs>
          <w:tab w:val="num" w:pos="4320"/>
        </w:tabs>
        <w:ind w:left="4320" w:hanging="360"/>
      </w:pPr>
      <w:rPr>
        <w:rFonts w:ascii="Wingdings" w:hAnsi="Wingdings" w:hint="default"/>
        <w:sz w:val="20"/>
      </w:rPr>
    </w:lvl>
    <w:lvl w:ilvl="6" w:tplc="FFFFFFFF" w:tentative="1">
      <w:start w:val="1"/>
      <w:numFmt w:val="bullet"/>
      <w:lvlText w:val=""/>
      <w:lvlJc w:val="left"/>
      <w:pPr>
        <w:tabs>
          <w:tab w:val="num" w:pos="5040"/>
        </w:tabs>
        <w:ind w:left="5040" w:hanging="360"/>
      </w:pPr>
      <w:rPr>
        <w:rFonts w:ascii="Wingdings" w:hAnsi="Wingdings" w:hint="default"/>
        <w:sz w:val="20"/>
      </w:rPr>
    </w:lvl>
    <w:lvl w:ilvl="7" w:tplc="FFFFFFFF" w:tentative="1">
      <w:start w:val="1"/>
      <w:numFmt w:val="bullet"/>
      <w:lvlText w:val=""/>
      <w:lvlJc w:val="left"/>
      <w:pPr>
        <w:tabs>
          <w:tab w:val="num" w:pos="5760"/>
        </w:tabs>
        <w:ind w:left="5760" w:hanging="360"/>
      </w:pPr>
      <w:rPr>
        <w:rFonts w:ascii="Wingdings" w:hAnsi="Wingdings" w:hint="default"/>
        <w:sz w:val="20"/>
      </w:rPr>
    </w:lvl>
    <w:lvl w:ilvl="8" w:tplc="FFFFFFFF" w:tentative="1">
      <w:start w:val="1"/>
      <w:numFmt w:val="bullet"/>
      <w:lvlText w:val=""/>
      <w:lvlJc w:val="left"/>
      <w:pPr>
        <w:tabs>
          <w:tab w:val="num" w:pos="6480"/>
        </w:tabs>
        <w:ind w:left="6480" w:hanging="360"/>
      </w:pPr>
      <w:rPr>
        <w:rFonts w:ascii="Wingdings" w:hAnsi="Wingdings" w:hint="default"/>
        <w:sz w:val="20"/>
      </w:rPr>
    </w:lvl>
  </w:abstractNum>
  <w:abstractNum w:abstractNumId="1">
    <w:nsid w:val="1BA962FE"/>
    <w:multiLevelType w:val="hybridMultilevel"/>
    <w:tmpl w:val="F8CA1936"/>
    <w:lvl w:ilvl="0" w:tplc="FFFFFFFF">
      <w:start w:val="1"/>
      <w:numFmt w:val="bullet"/>
      <w:lvlText w:val=""/>
      <w:lvlJc w:val="left"/>
      <w:pPr>
        <w:tabs>
          <w:tab w:val="num" w:pos="720"/>
        </w:tabs>
        <w:ind w:left="720" w:hanging="360"/>
      </w:pPr>
      <w:rPr>
        <w:rFonts w:ascii="Symbol" w:hAnsi="Symbol" w:hint="default"/>
        <w:sz w:val="20"/>
      </w:rPr>
    </w:lvl>
    <w:lvl w:ilvl="1" w:tplc="FFFFFFFF" w:tentative="1">
      <w:start w:val="1"/>
      <w:numFmt w:val="bullet"/>
      <w:lvlText w:val="o"/>
      <w:lvlJc w:val="left"/>
      <w:pPr>
        <w:tabs>
          <w:tab w:val="num" w:pos="1440"/>
        </w:tabs>
        <w:ind w:left="1440" w:hanging="360"/>
      </w:pPr>
      <w:rPr>
        <w:rFonts w:ascii="Courier New" w:hAnsi="Courier New" w:hint="default"/>
        <w:sz w:val="20"/>
      </w:rPr>
    </w:lvl>
    <w:lvl w:ilvl="2" w:tplc="FFFFFFFF" w:tentative="1">
      <w:start w:val="1"/>
      <w:numFmt w:val="bullet"/>
      <w:lvlText w:val=""/>
      <w:lvlJc w:val="left"/>
      <w:pPr>
        <w:tabs>
          <w:tab w:val="num" w:pos="2160"/>
        </w:tabs>
        <w:ind w:left="2160" w:hanging="360"/>
      </w:pPr>
      <w:rPr>
        <w:rFonts w:ascii="Wingdings" w:hAnsi="Wingdings" w:hint="default"/>
        <w:sz w:val="20"/>
      </w:rPr>
    </w:lvl>
    <w:lvl w:ilvl="3" w:tplc="FFFFFFFF" w:tentative="1">
      <w:start w:val="1"/>
      <w:numFmt w:val="bullet"/>
      <w:lvlText w:val=""/>
      <w:lvlJc w:val="left"/>
      <w:pPr>
        <w:tabs>
          <w:tab w:val="num" w:pos="2880"/>
        </w:tabs>
        <w:ind w:left="2880" w:hanging="360"/>
      </w:pPr>
      <w:rPr>
        <w:rFonts w:ascii="Wingdings" w:hAnsi="Wingdings" w:hint="default"/>
        <w:sz w:val="20"/>
      </w:rPr>
    </w:lvl>
    <w:lvl w:ilvl="4" w:tplc="FFFFFFFF" w:tentative="1">
      <w:start w:val="1"/>
      <w:numFmt w:val="bullet"/>
      <w:lvlText w:val=""/>
      <w:lvlJc w:val="left"/>
      <w:pPr>
        <w:tabs>
          <w:tab w:val="num" w:pos="3600"/>
        </w:tabs>
        <w:ind w:left="3600" w:hanging="360"/>
      </w:pPr>
      <w:rPr>
        <w:rFonts w:ascii="Wingdings" w:hAnsi="Wingdings" w:hint="default"/>
        <w:sz w:val="20"/>
      </w:rPr>
    </w:lvl>
    <w:lvl w:ilvl="5" w:tplc="FFFFFFFF" w:tentative="1">
      <w:start w:val="1"/>
      <w:numFmt w:val="bullet"/>
      <w:lvlText w:val=""/>
      <w:lvlJc w:val="left"/>
      <w:pPr>
        <w:tabs>
          <w:tab w:val="num" w:pos="4320"/>
        </w:tabs>
        <w:ind w:left="4320" w:hanging="360"/>
      </w:pPr>
      <w:rPr>
        <w:rFonts w:ascii="Wingdings" w:hAnsi="Wingdings" w:hint="default"/>
        <w:sz w:val="20"/>
      </w:rPr>
    </w:lvl>
    <w:lvl w:ilvl="6" w:tplc="FFFFFFFF" w:tentative="1">
      <w:start w:val="1"/>
      <w:numFmt w:val="bullet"/>
      <w:lvlText w:val=""/>
      <w:lvlJc w:val="left"/>
      <w:pPr>
        <w:tabs>
          <w:tab w:val="num" w:pos="5040"/>
        </w:tabs>
        <w:ind w:left="5040" w:hanging="360"/>
      </w:pPr>
      <w:rPr>
        <w:rFonts w:ascii="Wingdings" w:hAnsi="Wingdings" w:hint="default"/>
        <w:sz w:val="20"/>
      </w:rPr>
    </w:lvl>
    <w:lvl w:ilvl="7" w:tplc="FFFFFFFF" w:tentative="1">
      <w:start w:val="1"/>
      <w:numFmt w:val="bullet"/>
      <w:lvlText w:val=""/>
      <w:lvlJc w:val="left"/>
      <w:pPr>
        <w:tabs>
          <w:tab w:val="num" w:pos="5760"/>
        </w:tabs>
        <w:ind w:left="5760" w:hanging="360"/>
      </w:pPr>
      <w:rPr>
        <w:rFonts w:ascii="Wingdings" w:hAnsi="Wingdings" w:hint="default"/>
        <w:sz w:val="20"/>
      </w:rPr>
    </w:lvl>
    <w:lvl w:ilvl="8" w:tplc="FFFFFFFF" w:tentative="1">
      <w:start w:val="1"/>
      <w:numFmt w:val="bullet"/>
      <w:lvlText w:val=""/>
      <w:lvlJc w:val="left"/>
      <w:pPr>
        <w:tabs>
          <w:tab w:val="num" w:pos="6480"/>
        </w:tabs>
        <w:ind w:left="6480" w:hanging="360"/>
      </w:pPr>
      <w:rPr>
        <w:rFonts w:ascii="Wingdings" w:hAnsi="Wingdings" w:hint="default"/>
        <w:sz w:val="20"/>
      </w:rPr>
    </w:lvl>
  </w:abstractNum>
  <w:abstractNum w:abstractNumId="2">
    <w:nsid w:val="1CCF6F13"/>
    <w:multiLevelType w:val="hybridMultilevel"/>
    <w:tmpl w:val="FE70C7D2"/>
    <w:lvl w:ilvl="0" w:tplc="FFFFFFFF">
      <w:start w:val="1"/>
      <w:numFmt w:val="bullet"/>
      <w:lvlText w:val=""/>
      <w:lvlJc w:val="left"/>
      <w:pPr>
        <w:tabs>
          <w:tab w:val="num" w:pos="720"/>
        </w:tabs>
        <w:ind w:left="720" w:hanging="360"/>
      </w:pPr>
      <w:rPr>
        <w:rFonts w:ascii="Symbol" w:hAnsi="Symbol" w:hint="default"/>
        <w:sz w:val="20"/>
      </w:rPr>
    </w:lvl>
    <w:lvl w:ilvl="1" w:tplc="FFFFFFFF" w:tentative="1">
      <w:start w:val="1"/>
      <w:numFmt w:val="bullet"/>
      <w:lvlText w:val="o"/>
      <w:lvlJc w:val="left"/>
      <w:pPr>
        <w:tabs>
          <w:tab w:val="num" w:pos="1440"/>
        </w:tabs>
        <w:ind w:left="1440" w:hanging="360"/>
      </w:pPr>
      <w:rPr>
        <w:rFonts w:ascii="Courier New" w:hAnsi="Courier New" w:hint="default"/>
        <w:sz w:val="20"/>
      </w:rPr>
    </w:lvl>
    <w:lvl w:ilvl="2" w:tplc="FFFFFFFF" w:tentative="1">
      <w:start w:val="1"/>
      <w:numFmt w:val="bullet"/>
      <w:lvlText w:val=""/>
      <w:lvlJc w:val="left"/>
      <w:pPr>
        <w:tabs>
          <w:tab w:val="num" w:pos="2160"/>
        </w:tabs>
        <w:ind w:left="2160" w:hanging="360"/>
      </w:pPr>
      <w:rPr>
        <w:rFonts w:ascii="Wingdings" w:hAnsi="Wingdings" w:hint="default"/>
        <w:sz w:val="20"/>
      </w:rPr>
    </w:lvl>
    <w:lvl w:ilvl="3" w:tplc="FFFFFFFF" w:tentative="1">
      <w:start w:val="1"/>
      <w:numFmt w:val="bullet"/>
      <w:lvlText w:val=""/>
      <w:lvlJc w:val="left"/>
      <w:pPr>
        <w:tabs>
          <w:tab w:val="num" w:pos="2880"/>
        </w:tabs>
        <w:ind w:left="2880" w:hanging="360"/>
      </w:pPr>
      <w:rPr>
        <w:rFonts w:ascii="Wingdings" w:hAnsi="Wingdings" w:hint="default"/>
        <w:sz w:val="20"/>
      </w:rPr>
    </w:lvl>
    <w:lvl w:ilvl="4" w:tplc="FFFFFFFF" w:tentative="1">
      <w:start w:val="1"/>
      <w:numFmt w:val="bullet"/>
      <w:lvlText w:val=""/>
      <w:lvlJc w:val="left"/>
      <w:pPr>
        <w:tabs>
          <w:tab w:val="num" w:pos="3600"/>
        </w:tabs>
        <w:ind w:left="3600" w:hanging="360"/>
      </w:pPr>
      <w:rPr>
        <w:rFonts w:ascii="Wingdings" w:hAnsi="Wingdings" w:hint="default"/>
        <w:sz w:val="20"/>
      </w:rPr>
    </w:lvl>
    <w:lvl w:ilvl="5" w:tplc="FFFFFFFF" w:tentative="1">
      <w:start w:val="1"/>
      <w:numFmt w:val="bullet"/>
      <w:lvlText w:val=""/>
      <w:lvlJc w:val="left"/>
      <w:pPr>
        <w:tabs>
          <w:tab w:val="num" w:pos="4320"/>
        </w:tabs>
        <w:ind w:left="4320" w:hanging="360"/>
      </w:pPr>
      <w:rPr>
        <w:rFonts w:ascii="Wingdings" w:hAnsi="Wingdings" w:hint="default"/>
        <w:sz w:val="20"/>
      </w:rPr>
    </w:lvl>
    <w:lvl w:ilvl="6" w:tplc="FFFFFFFF" w:tentative="1">
      <w:start w:val="1"/>
      <w:numFmt w:val="bullet"/>
      <w:lvlText w:val=""/>
      <w:lvlJc w:val="left"/>
      <w:pPr>
        <w:tabs>
          <w:tab w:val="num" w:pos="5040"/>
        </w:tabs>
        <w:ind w:left="5040" w:hanging="360"/>
      </w:pPr>
      <w:rPr>
        <w:rFonts w:ascii="Wingdings" w:hAnsi="Wingdings" w:hint="default"/>
        <w:sz w:val="20"/>
      </w:rPr>
    </w:lvl>
    <w:lvl w:ilvl="7" w:tplc="FFFFFFFF" w:tentative="1">
      <w:start w:val="1"/>
      <w:numFmt w:val="bullet"/>
      <w:lvlText w:val=""/>
      <w:lvlJc w:val="left"/>
      <w:pPr>
        <w:tabs>
          <w:tab w:val="num" w:pos="5760"/>
        </w:tabs>
        <w:ind w:left="5760" w:hanging="360"/>
      </w:pPr>
      <w:rPr>
        <w:rFonts w:ascii="Wingdings" w:hAnsi="Wingdings" w:hint="default"/>
        <w:sz w:val="20"/>
      </w:rPr>
    </w:lvl>
    <w:lvl w:ilvl="8" w:tplc="FFFFFFFF" w:tentative="1">
      <w:start w:val="1"/>
      <w:numFmt w:val="bullet"/>
      <w:lvlText w:val=""/>
      <w:lvlJc w:val="left"/>
      <w:pPr>
        <w:tabs>
          <w:tab w:val="num" w:pos="6480"/>
        </w:tabs>
        <w:ind w:left="6480" w:hanging="360"/>
      </w:pPr>
      <w:rPr>
        <w:rFonts w:ascii="Wingdings" w:hAnsi="Wingdings" w:hint="default"/>
        <w:sz w:val="20"/>
      </w:rPr>
    </w:lvl>
  </w:abstractNum>
  <w:abstractNum w:abstractNumId="3">
    <w:nsid w:val="1DE3553A"/>
    <w:multiLevelType w:val="hybridMultilevel"/>
    <w:tmpl w:val="B432892E"/>
    <w:lvl w:ilvl="0" w:tplc="FFFFFFFF">
      <w:start w:val="1"/>
      <w:numFmt w:val="bullet"/>
      <w:lvlText w:val=""/>
      <w:lvlJc w:val="left"/>
      <w:pPr>
        <w:tabs>
          <w:tab w:val="num" w:pos="720"/>
        </w:tabs>
        <w:ind w:left="720" w:hanging="360"/>
      </w:pPr>
      <w:rPr>
        <w:rFonts w:ascii="Symbol" w:hAnsi="Symbol" w:hint="default"/>
        <w:sz w:val="20"/>
      </w:rPr>
    </w:lvl>
    <w:lvl w:ilvl="1" w:tplc="FFFFFFFF" w:tentative="1">
      <w:start w:val="1"/>
      <w:numFmt w:val="bullet"/>
      <w:lvlText w:val="o"/>
      <w:lvlJc w:val="left"/>
      <w:pPr>
        <w:tabs>
          <w:tab w:val="num" w:pos="1440"/>
        </w:tabs>
        <w:ind w:left="1440" w:hanging="360"/>
      </w:pPr>
      <w:rPr>
        <w:rFonts w:ascii="Courier New" w:hAnsi="Courier New" w:hint="default"/>
        <w:sz w:val="20"/>
      </w:rPr>
    </w:lvl>
    <w:lvl w:ilvl="2" w:tplc="FFFFFFFF" w:tentative="1">
      <w:start w:val="1"/>
      <w:numFmt w:val="bullet"/>
      <w:lvlText w:val=""/>
      <w:lvlJc w:val="left"/>
      <w:pPr>
        <w:tabs>
          <w:tab w:val="num" w:pos="2160"/>
        </w:tabs>
        <w:ind w:left="2160" w:hanging="360"/>
      </w:pPr>
      <w:rPr>
        <w:rFonts w:ascii="Wingdings" w:hAnsi="Wingdings" w:hint="default"/>
        <w:sz w:val="20"/>
      </w:rPr>
    </w:lvl>
    <w:lvl w:ilvl="3" w:tplc="FFFFFFFF" w:tentative="1">
      <w:start w:val="1"/>
      <w:numFmt w:val="bullet"/>
      <w:lvlText w:val=""/>
      <w:lvlJc w:val="left"/>
      <w:pPr>
        <w:tabs>
          <w:tab w:val="num" w:pos="2880"/>
        </w:tabs>
        <w:ind w:left="2880" w:hanging="360"/>
      </w:pPr>
      <w:rPr>
        <w:rFonts w:ascii="Wingdings" w:hAnsi="Wingdings" w:hint="default"/>
        <w:sz w:val="20"/>
      </w:rPr>
    </w:lvl>
    <w:lvl w:ilvl="4" w:tplc="FFFFFFFF" w:tentative="1">
      <w:start w:val="1"/>
      <w:numFmt w:val="bullet"/>
      <w:lvlText w:val=""/>
      <w:lvlJc w:val="left"/>
      <w:pPr>
        <w:tabs>
          <w:tab w:val="num" w:pos="3600"/>
        </w:tabs>
        <w:ind w:left="3600" w:hanging="360"/>
      </w:pPr>
      <w:rPr>
        <w:rFonts w:ascii="Wingdings" w:hAnsi="Wingdings" w:hint="default"/>
        <w:sz w:val="20"/>
      </w:rPr>
    </w:lvl>
    <w:lvl w:ilvl="5" w:tplc="FFFFFFFF" w:tentative="1">
      <w:start w:val="1"/>
      <w:numFmt w:val="bullet"/>
      <w:lvlText w:val=""/>
      <w:lvlJc w:val="left"/>
      <w:pPr>
        <w:tabs>
          <w:tab w:val="num" w:pos="4320"/>
        </w:tabs>
        <w:ind w:left="4320" w:hanging="360"/>
      </w:pPr>
      <w:rPr>
        <w:rFonts w:ascii="Wingdings" w:hAnsi="Wingdings" w:hint="default"/>
        <w:sz w:val="20"/>
      </w:rPr>
    </w:lvl>
    <w:lvl w:ilvl="6" w:tplc="FFFFFFFF" w:tentative="1">
      <w:start w:val="1"/>
      <w:numFmt w:val="bullet"/>
      <w:lvlText w:val=""/>
      <w:lvlJc w:val="left"/>
      <w:pPr>
        <w:tabs>
          <w:tab w:val="num" w:pos="5040"/>
        </w:tabs>
        <w:ind w:left="5040" w:hanging="360"/>
      </w:pPr>
      <w:rPr>
        <w:rFonts w:ascii="Wingdings" w:hAnsi="Wingdings" w:hint="default"/>
        <w:sz w:val="20"/>
      </w:rPr>
    </w:lvl>
    <w:lvl w:ilvl="7" w:tplc="FFFFFFFF" w:tentative="1">
      <w:start w:val="1"/>
      <w:numFmt w:val="bullet"/>
      <w:lvlText w:val=""/>
      <w:lvlJc w:val="left"/>
      <w:pPr>
        <w:tabs>
          <w:tab w:val="num" w:pos="5760"/>
        </w:tabs>
        <w:ind w:left="5760" w:hanging="360"/>
      </w:pPr>
      <w:rPr>
        <w:rFonts w:ascii="Wingdings" w:hAnsi="Wingdings" w:hint="default"/>
        <w:sz w:val="20"/>
      </w:rPr>
    </w:lvl>
    <w:lvl w:ilvl="8" w:tplc="FFFFFFFF"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3"/>
  </w:num>
  <w:num w:numId="3">
    <w:abstractNumId w:val="2"/>
  </w:num>
  <w:num w:numId="4">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characterSpacingControl w:val="doNotCompress"/>
  <w:compat/>
  <w:rsids>
    <w:rsidRoot w:val="00950370"/>
    <w:rsid w:val="0007429F"/>
    <w:rsid w:val="008013B0"/>
    <w:rsid w:val="00950370"/>
    <w:rsid w:val="00BA13F7"/>
    <w:rsid w:val="00E627A0"/>
  </w:rsids>
  <m:mathPr>
    <m:mathFont m:val="Cambria Math"/>
    <m:brkBin m:val="before"/>
    <m:brkBinSub m:val="--"/>
    <m:smallFrac m:val="off"/>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uiPriority="0"/>
    <w:lsdException w:name="HTML Keyboard" w:uiPriority="0"/>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50370"/>
    <w:pPr>
      <w:spacing w:after="0" w:line="240" w:lineRule="auto"/>
    </w:pPr>
    <w:rPr>
      <w:rFonts w:ascii="Times New Roman" w:eastAsia="Times New Roman" w:hAnsi="Times New Roman" w:cs="Times New Roman"/>
      <w:sz w:val="24"/>
      <w:szCs w:val="24"/>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rsid w:val="00950370"/>
    <w:pPr>
      <w:spacing w:before="100" w:beforeAutospacing="1" w:after="100" w:afterAutospacing="1"/>
    </w:pPr>
  </w:style>
  <w:style w:type="character" w:styleId="TecladoHTML">
    <w:name w:val="HTML Keyboard"/>
    <w:basedOn w:val="Fuentedeprrafopredeter"/>
    <w:rsid w:val="00950370"/>
    <w:rPr>
      <w:rFonts w:ascii="Courier New" w:eastAsia="Courier New" w:hAnsi="Courier New" w:cs="Courier New"/>
      <w:sz w:val="20"/>
      <w:szCs w:val="20"/>
    </w:rPr>
  </w:style>
  <w:style w:type="paragraph" w:styleId="Textodeglobo">
    <w:name w:val="Balloon Text"/>
    <w:basedOn w:val="Normal"/>
    <w:link w:val="TextodegloboCar"/>
    <w:uiPriority w:val="99"/>
    <w:semiHidden/>
    <w:unhideWhenUsed/>
    <w:rsid w:val="00950370"/>
    <w:rPr>
      <w:rFonts w:ascii="Tahoma" w:hAnsi="Tahoma" w:cs="Tahoma"/>
      <w:sz w:val="16"/>
      <w:szCs w:val="16"/>
    </w:rPr>
  </w:style>
  <w:style w:type="character" w:customStyle="1" w:styleId="TextodegloboCar">
    <w:name w:val="Texto de globo Car"/>
    <w:basedOn w:val="Fuentedeprrafopredeter"/>
    <w:link w:val="Textodeglobo"/>
    <w:uiPriority w:val="99"/>
    <w:semiHidden/>
    <w:rsid w:val="00950370"/>
    <w:rPr>
      <w:rFonts w:ascii="Tahoma" w:eastAsia="Times New Roman" w:hAnsi="Tahoma" w:cs="Tahoma"/>
      <w:sz w:val="16"/>
      <w:szCs w:val="16"/>
      <w:lang w:val="es-ES" w:eastAsia="es-ES"/>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NUL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1604</Words>
  <Characters>8828</Characters>
  <Application>Microsoft Office Word</Application>
  <DocSecurity>0</DocSecurity>
  <Lines>73</Lines>
  <Paragraphs>20</Paragraphs>
  <ScaleCrop>false</ScaleCrop>
  <Company> </Company>
  <LinksUpToDate>false</LinksUpToDate>
  <CharactersWithSpaces>10412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Baró, Germán Bernardo</dc:creator>
  <cp:lastModifiedBy>Baró, Germán Bernardo</cp:lastModifiedBy>
  <cp:revision>2</cp:revision>
  <dcterms:created xsi:type="dcterms:W3CDTF">2022-09-07T14:30:00Z</dcterms:created>
  <dcterms:modified xsi:type="dcterms:W3CDTF">2022-09-07T14:30:00Z</dcterms:modified>
</cp:coreProperties>
</file>