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del video de la etapa 2</w:t>
      </w:r>
    </w:p>
    <w:p>
      <w:r>
        <w:t>Investigación Operativa</w:t>
        <w:br/>
        <w:t>UTN Facultad Regional Rosario</w:t>
        <w:br/>
        <w:t>Comisión 402 · Grupo 1</w:t>
      </w:r>
    </w:p>
    <w:p>
      <w:pPr>
        <w:pStyle w:val="Heading1"/>
      </w:pPr>
      <w:r>
        <w:t>Análisis de sensibilidad, dualidad y programación entera</w:t>
      </w:r>
    </w:p>
    <w:p>
      <w:r>
        <w:t>Este guion acompaña las 12 diapositivas de la presentación. Cada integrante tiene dos diapositivas consecutivas y un texto listo para ensayar. Duración orientativa del video: 11 a 12 minutos, según el ritmo de lectura y las pausas.</w:t>
      </w:r>
    </w:p>
    <w:p>
      <w:pPr>
        <w:pStyle w:val="Heading1"/>
      </w:pPr>
      <w:r>
        <w:t>Reparto de la exposición</w:t>
      </w:r>
    </w:p>
    <w:tbl>
      <w:tblPr>
        <w:tblW w:type="auto" w:w="0"/>
        <w:tblLayout w:type="fixed"/>
        <w:tblLook w:firstColumn="1" w:firstRow="1" w:lastColumn="0" w:lastRow="0" w:noHBand="0" w:noVBand="1" w:val="04A0"/>
      </w:tblPr>
      <w:tblGrid>
        <w:gridCol w:w="3137"/>
        <w:gridCol w:w="3137"/>
        <w:gridCol w:w="3137"/>
      </w:tblGrid>
      <w:tr>
        <w:trPr>
          <w:tblHeader/>
        </w:trPr>
        <w:tc>
          <w:tcPr>
            <w:tcW w:type="dxa" w:w="4876"/>
            <w:shd w:fill="18313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0"/>
              </w:rPr>
              <w:t>Integrante</w:t>
            </w:r>
          </w:p>
        </w:tc>
        <w:tc>
          <w:tcPr>
            <w:tcW w:type="dxa" w:w="1814"/>
            <w:shd w:fill="18313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0"/>
              </w:rPr>
              <w:t>Diapositivas</w:t>
            </w:r>
          </w:p>
        </w:tc>
        <w:tc>
          <w:tcPr>
            <w:tcW w:type="dxa" w:w="2721"/>
            <w:shd w:fill="18313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0"/>
              </w:rPr>
              <w:t>Tiempo aprox.</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Juan Cruz Bonadeo</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 y 2</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1:35 min</w:t>
            </w:r>
          </w:p>
        </w:tc>
      </w:tr>
      <w:tr>
        <w:tc>
          <w:tcPr>
            <w:tcW w:type="dxa" w:w="4876"/>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Luis Parmigiani</w:t>
            </w:r>
          </w:p>
        </w:tc>
        <w:tc>
          <w:tcPr>
            <w:tcW w:type="dxa" w:w="1814"/>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3 y 4</w:t>
            </w:r>
          </w:p>
        </w:tc>
        <w:tc>
          <w:tcPr>
            <w:tcW w:type="dxa" w:w="2721"/>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1:50 min</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Stéfano Conti</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5 y 6</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1:50 min</w:t>
            </w:r>
          </w:p>
        </w:tc>
      </w:tr>
      <w:tr>
        <w:tc>
          <w:tcPr>
            <w:tcW w:type="dxa" w:w="4876"/>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Martín Redaelli</w:t>
            </w:r>
          </w:p>
        </w:tc>
        <w:tc>
          <w:tcPr>
            <w:tcW w:type="dxa" w:w="1814"/>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7 y 8</w:t>
            </w:r>
          </w:p>
        </w:tc>
        <w:tc>
          <w:tcPr>
            <w:tcW w:type="dxa" w:w="2721"/>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1:50 min</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Agustín Dana</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9 y 10</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1:50 min</w:t>
            </w:r>
          </w:p>
        </w:tc>
      </w:tr>
      <w:tr>
        <w:tc>
          <w:tcPr>
            <w:tcW w:type="dxa" w:w="4876"/>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Gonzalo Casermeiro</w:t>
            </w:r>
          </w:p>
        </w:tc>
        <w:tc>
          <w:tcPr>
            <w:tcW w:type="dxa" w:w="1814"/>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11 y 12</w:t>
            </w:r>
          </w:p>
        </w:tc>
        <w:tc>
          <w:tcPr>
            <w:tcW w:type="dxa" w:w="2721"/>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2:05 min</w:t>
            </w:r>
          </w:p>
        </w:tc>
      </w:tr>
    </w:tbl>
    <w:p>
      <w:pPr>
        <w:pStyle w:val="Heading1"/>
      </w:pPr>
      <w:r>
        <w:t>Cómo grabarlo</w:t>
      </w:r>
    </w:p>
    <w:p>
      <w:r>
        <w:t>Mantener la diapositiva visible mientras habla el integrante asignado. Cambiar de diapositiva al terminar su texto. Hacer una breve pausa en cada cambio de persona. Las indicaciones de “En pantalla” orientan la exposición y no se leen en voz alta.</w:t>
      </w:r>
    </w:p>
    <w:p>
      <w:r>
        <w:t>Los importes de las fórmulas están expresados en miles de pesos. El guion los dice en pesos completos para facilitar la explicación oral.</w:t>
      </w:r>
    </w:p>
    <w:p>
      <w:r>
        <w:br w:type="page"/>
      </w:r>
    </w:p>
    <w:p>
      <w:pPr>
        <w:pStyle w:val="Title"/>
      </w:pPr>
      <w:r>
        <w:t>Juan Cruz Bonadeo</w:t>
      </w:r>
    </w:p>
    <w:p>
      <w:pPr>
        <w:pStyle w:val="Heading1"/>
      </w:pPr>
      <w:r>
        <w:t>Presentación y resultado de la etapa 1</w:t>
      </w:r>
    </w:p>
    <w:p>
      <w:pPr>
        <w:pStyle w:val="Heading2"/>
      </w:pPr>
      <w:r>
        <w:t>Diapositiva 1   Análisis de sensibilidad y dualidad</w:t>
      </w:r>
    </w:p>
    <w:p>
      <w:r>
        <w:rPr>
          <w:i/>
          <w:color w:val="505050"/>
          <w:sz w:val="20"/>
        </w:rPr>
        <w:t>En pantalla: Presentar el caso y el propósito de esta etapa.</w:t>
      </w:r>
    </w:p>
    <w:p>
      <w:r>
        <w:t>Hola, somos el Grupo 1 de la comisión 402 y vamos a presentar la etapa 2 de nuestro trabajo de Investigación Operativa. Nuestro caso es una fábrica que produce juntas de corcho para motores.</w:t>
      </w:r>
    </w:p>
    <w:p>
      <w:r>
        <w:t>En la etapa anterior determinamos cuánto fabricar de cada producto para maximizar el beneficio semanal. En esta etapa tomamos esa solución como punto de partida y analizamos qué ocurre cuando cambian las ganancias o los recursos disponibles.</w:t>
      </w:r>
    </w:p>
    <w:p>
      <w:r>
        <w:t>También evaluamos si conviene incorporar un producto nuevo y qué pedidos especiales podemos aceptar con el corcho sobrante. La idea es usar los resultados del modelo para justificar decisiones concretas de la empresa.</w:t>
      </w:r>
    </w:p>
    <w:p>
      <w:pPr>
        <w:pStyle w:val="Heading2"/>
      </w:pPr>
      <w:r>
        <w:t>Diapositiva 2   El plan de producción de partida</w:t>
      </w:r>
    </w:p>
    <w:p>
      <w:r>
        <w:rPr>
          <w:i/>
          <w:color w:val="505050"/>
          <w:sz w:val="20"/>
        </w:rPr>
        <w:t>En pantalla: Señalar las cantidades y los recursos que se agotan.</w:t>
      </w:r>
    </w:p>
    <w:p>
      <w:r>
        <w:t>El plan óptimo original consiste en fabricar ochenta lotes de juntas de tapa de cilindros, veinte de cárter y cincuenta de múltiple. Cada lote representa cien juntas y el beneficio total es de seis millones seiscientos mil pesos semanales.</w:t>
      </w:r>
    </w:p>
    <w:p>
      <w:r>
        <w:t>Este plan consume trescientos treinta metros cuadrados de corcho de los seiscientos disponibles. Por lo tanto, quedan doscientos setenta metros cuadrados sin utilizar.</w:t>
      </w:r>
    </w:p>
    <w:p>
      <w:r>
        <w:t>En cambio, se usan las cuatrocientas ochenta horas de máquina y las doscientas unidades de capacidad de despacho. También se cumple exactamente el mínimo contractual de ciento cincuenta lotes totales. Esos resultados nos permiten identificar qué restricciones están activas. A continuación, Luis va a explicar cómo interpretamos económicamente esos recursos mediante el modelo dual.</w:t>
      </w:r>
    </w:p>
    <w:p>
      <w:r>
        <w:rPr>
          <w:i/>
        </w:rPr>
        <w:t>Fin de la participación</w:t>
      </w:r>
    </w:p>
    <w:p>
      <w:r>
        <w:br w:type="page"/>
      </w:r>
    </w:p>
    <w:p>
      <w:pPr>
        <w:pStyle w:val="Title"/>
      </w:pPr>
      <w:r>
        <w:t>Luis Parmigiani</w:t>
      </w:r>
    </w:p>
    <w:p>
      <w:pPr>
        <w:pStyle w:val="Heading1"/>
      </w:pPr>
      <w:r>
        <w:t>Modelo dual y precios sombra</w:t>
      </w:r>
    </w:p>
    <w:p>
      <w:pPr>
        <w:pStyle w:val="Heading2"/>
      </w:pPr>
      <w:r>
        <w:t>Diapositiva 3   El modelo dual</w:t>
      </w:r>
    </w:p>
    <w:p>
      <w:r>
        <w:rPr>
          <w:i/>
          <w:color w:val="505050"/>
          <w:sz w:val="20"/>
        </w:rPr>
        <w:t>En pantalla: Mostrar la función objetivo, los signos y la igualdad de valores óptimos.</w:t>
      </w:r>
    </w:p>
    <w:p>
      <w:r>
        <w:t>A partir del modelo primal construimos el dual. El primal decide las cantidades que debemos producir. El dual asigna un valor marginal a cada restricción del problema.</w:t>
      </w:r>
    </w:p>
    <w:p>
      <w:r>
        <w:t>Como el primal maximiza, el dual busca minimizar. Su función objetivo combina las disponibilidades de corcho, horas de máquina y despacho con el mínimo contractual. Cada producto del primal genera una restricción en el dual.</w:t>
      </w:r>
    </w:p>
    <w:p>
      <w:r>
        <w:t>Las primeras tres variables duales son no negativas porque corresponden a restricciones de capacidad de tipo menor o igual. La cuarta es no positiva porque representa una exigencia mínima de tipo mayor o igual.</w:t>
      </w:r>
    </w:p>
    <w:p>
      <w:r>
        <w:t>La solución dual es cero, veinte, treinta y menos sesenta. Al reemplazarla, obtenemos seis mil seiscientos, expresados en miles de pesos, exactamente el mismo valor óptimo que en el primal.</w:t>
      </w:r>
    </w:p>
    <w:p>
      <w:pPr>
        <w:pStyle w:val="Heading2"/>
      </w:pPr>
      <w:r>
        <w:t>Diapositiva 4   El valor marginal de los recursos</w:t>
      </w:r>
    </w:p>
    <w:p>
      <w:r>
        <w:rPr>
          <w:i/>
          <w:color w:val="505050"/>
          <w:sz w:val="20"/>
        </w:rPr>
        <w:t>En pantalla: Recorrer los cuatro precios sombra y remarcar su alcance local.</w:t>
      </w:r>
    </w:p>
    <w:p>
      <w:r>
        <w:t>Los precios sombra traducen esa solución a decisiones. El corcho tiene precio sombra cero porque ya sobra material. Conseguir un metro cuadrado adicional no mejora el beneficio en el escenario actual.</w:t>
      </w:r>
    </w:p>
    <w:p>
      <w:r>
        <w:t>Una hora adicional de máquina aporta veinte mil pesos de beneficio y una unidad adicional de capacidad de despacho aporta treinta mil pesos. Son recursos escasos porque se utilizan por completo.</w:t>
      </w:r>
    </w:p>
    <w:p>
      <w:r>
        <w:t>El mínimo contractual tiene un precio sombra de menos sesenta mil pesos. Si aumentamos esa exigencia en un lote, el beneficio disminuye en esa cantidad dentro del rango válido.</w:t>
      </w:r>
    </w:p>
    <w:p>
      <w:r>
        <w:t>Estos valores se aplican a cambios individuales y dentro de sus rangos de sensibilidad. Para decidir una ampliación también hay que comparar el beneficio adicional con su costo. Stéfano va a mostrar ahora el análisis de la ganancia del cárter.</w:t>
      </w:r>
    </w:p>
    <w:p>
      <w:r>
        <w:rPr>
          <w:i/>
        </w:rPr>
        <w:t>Fin de la participación</w:t>
      </w:r>
    </w:p>
    <w:p>
      <w:r>
        <w:br w:type="page"/>
      </w:r>
    </w:p>
    <w:p>
      <w:pPr>
        <w:pStyle w:val="Title"/>
      </w:pPr>
      <w:r>
        <w:t>Stéfano Conti</w:t>
      </w:r>
    </w:p>
    <w:p>
      <w:pPr>
        <w:pStyle w:val="Heading1"/>
      </w:pPr>
      <w:r>
        <w:t>Sensibilidad de la ganancia del cárter</w:t>
      </w:r>
    </w:p>
    <w:p>
      <w:pPr>
        <w:pStyle w:val="Heading2"/>
      </w:pPr>
      <w:r>
        <w:t>Diapositiva 5   Sensibilidad de la ganancia del cárter</w:t>
      </w:r>
    </w:p>
    <w:p>
      <w:r>
        <w:rPr>
          <w:i/>
          <w:color w:val="505050"/>
          <w:sz w:val="20"/>
        </w:rPr>
        <w:t>En pantalla: Mostrar cómo las condiciones de optimalidad limitan el aumento de C₂.</w:t>
      </w:r>
    </w:p>
    <w:p>
      <w:r>
        <w:t>El primer cambio que analizamos es la ganancia por lote de juntas de cárter, representada por ce dos. Su valor original es treinta, es decir, treinta mil pesos.</w:t>
      </w:r>
    </w:p>
    <w:p>
      <w:r>
        <w:t>Queremos saber cuánto puede variar sin que el plan actual deje de ser óptimo. Para eso revisamos los costos reducidos de las variables no básicas. En un problema de maximización deben mantenerse menores o iguales a cero.</w:t>
      </w:r>
    </w:p>
    <w:p>
      <w:r>
        <w:t>Al introducir la variación delta, las tres condiciones nos dan aumentos máximos de veinte, quince y diez. Tenemos que cumplirlas todas, por lo que elegimos la más restrictiva: diez.</w:t>
      </w:r>
    </w:p>
    <w:p>
      <w:r>
        <w:t>Entonces, ce dos puede subir de treinta a cuarenta. Hacia abajo, el análisis matemático de esta base no impone una cota. En el límite de cuarenta aparecen soluciones óptimas alternativas.</w:t>
      </w:r>
    </w:p>
    <w:p>
      <w:pPr>
        <w:pStyle w:val="Heading2"/>
      </w:pPr>
      <w:r>
        <w:t>Diapositiva 6   El efecto de cambiar C₂</w:t>
      </w:r>
    </w:p>
    <w:p>
      <w:r>
        <w:rPr>
          <w:i/>
          <w:color w:val="505050"/>
          <w:sz w:val="20"/>
        </w:rPr>
        <w:t>En pantalla: Comparar el ejemplo de 35 con el escenario de 42.</w:t>
      </w:r>
    </w:p>
    <w:p>
      <w:r>
        <w:t>Para interpretar el rango, probamos primero una ganancia de treinta y cinco mil pesos por lote de cárter. Como está dentro del intervalo, mantenemos el plan de ochenta, veinte y cincuenta lotes.</w:t>
      </w:r>
    </w:p>
    <w:p>
      <w:r>
        <w:t>Los veinte lotes de cárter ahora aportan cinco mil pesos más cada uno. Por eso, el beneficio aumenta cien mil pesos y pasa de seis millones seiscientos mil a seis millones setecientos mil.</w:t>
      </w:r>
    </w:p>
    <w:p>
      <w:r>
        <w:t>También podemos ver qué ocurre con cuarenta y dos mil pesos, que queda fuera del rango. En ese caso hay que volver a optimizar. El nuevo plan es cero lotes de tapa, ciento cuarenta de cárter y treinta de múltiple, con un beneficio de siete millones ochenta mil pesos.</w:t>
      </w:r>
    </w:p>
    <w:p>
      <w:r>
        <w:t>Así distinguimos un cambio que solo modifica el beneficio de otro que también cambia la producción. Martín continúa con las horas de máquina.</w:t>
      </w:r>
    </w:p>
    <w:p>
      <w:r>
        <w:rPr>
          <w:i/>
        </w:rPr>
        <w:t>Fin de la participación</w:t>
      </w:r>
    </w:p>
    <w:p>
      <w:r>
        <w:br w:type="page"/>
      </w:r>
    </w:p>
    <w:p>
      <w:pPr>
        <w:pStyle w:val="Title"/>
      </w:pPr>
      <w:r>
        <w:t>Martín Redaelli</w:t>
      </w:r>
    </w:p>
    <w:p>
      <w:pPr>
        <w:pStyle w:val="Heading1"/>
      </w:pPr>
      <w:r>
        <w:t>Sensibilidad de las horas de máquina</w:t>
      </w:r>
    </w:p>
    <w:p>
      <w:pPr>
        <w:pStyle w:val="Heading2"/>
      </w:pPr>
      <w:r>
        <w:t>Diapositiva 7   Sensibilidad de las horas de máquina</w:t>
      </w:r>
    </w:p>
    <w:p>
      <w:r>
        <w:rPr>
          <w:i/>
          <w:color w:val="505050"/>
          <w:sz w:val="20"/>
        </w:rPr>
        <w:t>En pantalla: Relacionar la variación de horas con las cantidades básicas.</w:t>
      </w:r>
    </w:p>
    <w:p>
      <w:r>
        <w:t>El segundo cambio afecta a la disponibilidad de horas de troquelado. Partimos de cuatrocientas ochenta horas semanales y llamamos delta a la variación.</w:t>
      </w:r>
    </w:p>
    <w:p>
      <w:r>
        <w:t>A diferencia del caso anterior, ahora cambia el término independiente de una restricción. Por eso revisamos la factibilidad: las variables básicas deben seguir siendo no negativas.</w:t>
      </w:r>
    </w:p>
    <w:p>
      <w:r>
        <w:t>El nuevo plan queda expresado de esta manera: tapa de cilindros, ochenta más delta. Cárter, veinte menos delta. Múltiple permanece en cincuenta. El sobrante de corcho es doscientos setenta menos delta.</w:t>
      </w:r>
    </w:p>
    <w:p>
      <w:r>
        <w:t>Estas condiciones permiten que delta varíe entre menos ochenta y veinte. Al sumarle las cuatrocientas ochenta horas originales, obtenemos un rango de cuatrocientas a quinientas horas. En ese intervalo se mantiene la base óptima, aunque las cantidades producidas van cambiando.</w:t>
      </w:r>
    </w:p>
    <w:p>
      <w:pPr>
        <w:pStyle w:val="Heading2"/>
      </w:pPr>
      <w:r>
        <w:t>Diapositiva 8   Veinte horas adicionales</w:t>
      </w:r>
    </w:p>
    <w:p>
      <w:r>
        <w:rPr>
          <w:i/>
          <w:color w:val="505050"/>
          <w:sz w:val="20"/>
        </w:rPr>
        <w:t>En pantalla: Comparar los escenarios de 480 y 500 horas.</w:t>
      </w:r>
    </w:p>
    <w:p>
      <w:r>
        <w:t>Si conseguimos veinte horas adicionales, llegamos a quinientas. El modelo pasa de ochenta a cien lotes de tapa de cilindros, reduce los lotes de cárter de veinte a cero y mantiene los cincuenta lotes de múltiple.</w:t>
      </w:r>
    </w:p>
    <w:p>
      <w:r>
        <w:t>El beneficio aumenta cuatrocientos mil pesos: veinte horas por veinte mil pesos de precio sombra. Entonces pasa a siete millones de pesos semanales, antes de descontar un eventual costo adicional por contratar esas horas.</w:t>
      </w:r>
    </w:p>
    <w:p>
      <w:r>
        <w:t>Las quinientas horas marcan el extremo superior del rango. Si queremos analizar una ampliación mayor, debemos volver a resolver el problema y no podemos seguir usando automáticamente el mismo precio sombra.</w:t>
      </w:r>
    </w:p>
    <w:p>
      <w:r>
        <w:t>Este análisis permite valorar una ampliación concreta de capacidad y entender cómo afectaría a la producción. Agustín va a presentar ahora la evaluación de un producto nuevo y el modelo de pedidos especiales.</w:t>
      </w:r>
    </w:p>
    <w:p>
      <w:r>
        <w:rPr>
          <w:i/>
        </w:rPr>
        <w:t>Fin de la participación</w:t>
      </w:r>
    </w:p>
    <w:p>
      <w:r>
        <w:br w:type="page"/>
      </w:r>
    </w:p>
    <w:p>
      <w:pPr>
        <w:pStyle w:val="Title"/>
      </w:pPr>
      <w:r>
        <w:t>Agustín Dana</w:t>
      </w:r>
    </w:p>
    <w:p>
      <w:pPr>
        <w:pStyle w:val="Heading1"/>
      </w:pPr>
      <w:r>
        <w:t>Producto nuevo y pedidos especiales</w:t>
      </w:r>
    </w:p>
    <w:p>
      <w:pPr>
        <w:pStyle w:val="Heading2"/>
      </w:pPr>
      <w:r>
        <w:t>Diapositiva 9   Evaluación de un producto nuevo</w:t>
      </w:r>
    </w:p>
    <w:p>
      <w:r>
        <w:rPr>
          <w:i/>
          <w:color w:val="505050"/>
          <w:sz w:val="20"/>
        </w:rPr>
        <w:t>En pantalla: Comparar la contribución de la bomba de agua con el valor de los recursos.</w:t>
      </w:r>
    </w:p>
    <w:p>
      <w:r>
        <w:t>La nueva alternativa que evaluamos es fabricar juntas de bomba de agua, también en lotes de cien unidades. Cada lote utiliza dos metros cuadrados de corcho, tres horas de máquina y dos unidades de capacidad de despacho. Además, aporta un lote al cumplimiento del mínimo contractual.</w:t>
      </w:r>
    </w:p>
    <w:p>
      <w:r>
        <w:t>La ganancia propuesta es de cuarenta y cinco mil pesos por lote. Para saber si conviene introducirlo, valoramos sus consumos con los precios sombra: cero por dos, más veinte por tres, más treinta por dos, menos sesenta por uno.</w:t>
      </w:r>
    </w:p>
    <w:p>
      <w:r>
        <w:t>El resultado es sesenta mil pesos de costo de oportunidad. Como la contribución es de cuarenta y cinco mil, el costo reducido da menos quince mil pesos. Con las condiciones actuales, no conviene incorporarlo al plan óptimo.</w:t>
      </w:r>
    </w:p>
    <w:p>
      <w:pPr>
        <w:pStyle w:val="Heading2"/>
      </w:pPr>
      <w:r>
        <w:t>Diapositiva 10   Pedidos especiales con el corcho sobrante</w:t>
      </w:r>
    </w:p>
    <w:p>
      <w:r>
        <w:rPr>
          <w:i/>
          <w:color w:val="505050"/>
          <w:sz w:val="20"/>
        </w:rPr>
        <w:t>En pantalla: Explicar la decisión binaria y la única capacidad del submodelo.</w:t>
      </w:r>
    </w:p>
    <w:p>
      <w:r>
        <w:t>Después planteamos un problema de programación entera para aprovechar los doscientos setenta metros cuadrados sobrantes. Tenemos cuatro pedidos especiales, cada uno con un consumo de corcho y un beneficio fijo.</w:t>
      </w:r>
    </w:p>
    <w:p>
      <w:r>
        <w:t>La decisión es binaria: cada pedido se acepta completo o se rechaza. Por eso, las variables ye solo pueden valer cero o uno. La función objetivo suma los beneficios de los pedidos aceptados y la restricción impide superar los doscientos setenta metros cuadrados.</w:t>
      </w:r>
    </w:p>
    <w:p>
      <w:r>
        <w:t>Este submodelo considera únicamente el corcho. Para aplicar su resultado sin modificar el plan principal, los pedidos deben atenderse sin consumir las horas de máquina ni el despacho que ya están agotados. Si utilizan esas capacidades, hay que incorporarlas al modelo.</w:t>
      </w:r>
    </w:p>
    <w:p>
      <w:r>
        <w:t>Gonzalo va a explicar cómo obtenemos la mejor combinación de pedidos y las conclusiones de la etapa.</w:t>
      </w:r>
    </w:p>
    <w:p>
      <w:r>
        <w:rPr>
          <w:i/>
        </w:rPr>
        <w:t>Fin de la participación</w:t>
      </w:r>
    </w:p>
    <w:p>
      <w:r>
        <w:br w:type="page"/>
      </w:r>
    </w:p>
    <w:p>
      <w:pPr>
        <w:pStyle w:val="Title"/>
      </w:pPr>
      <w:r>
        <w:t>Gonzalo Casermeiro</w:t>
      </w:r>
    </w:p>
    <w:p>
      <w:pPr>
        <w:pStyle w:val="Heading1"/>
      </w:pPr>
      <w:r>
        <w:t>Branch and Bound y conclusiones</w:t>
      </w:r>
    </w:p>
    <w:p>
      <w:pPr>
        <w:pStyle w:val="Heading2"/>
      </w:pPr>
      <w:r>
        <w:t>Diapositiva 11   Resolución por Branch and Bound</w:t>
      </w:r>
    </w:p>
    <w:p>
      <w:r>
        <w:rPr>
          <w:i/>
          <w:color w:val="505050"/>
          <w:sz w:val="20"/>
        </w:rPr>
        <w:t>En pantalla: Recorrer la relajación y las cotas de las ramas.</w:t>
      </w:r>
    </w:p>
    <w:p>
      <w:r>
        <w:t>Primero relajamos las variables binarias y permitimos valores entre cero y uno. Ordenando por beneficio por metro cuadrado, entran completos los pedidos uno y dos, y el ochenta por ciento del pedido tres. La relajación da trescientos cuarenta y nueve mil pesos. Esa es una cota superior, pero no una solución admisible porque no podemos aceptar una fracción del pedido.</w:t>
      </w:r>
    </w:p>
    <w:p>
      <w:r>
        <w:t>Ramificamos sobre el pedido tres. Cuando lo rechazamos, podemos aceptar los pedidos uno, dos y cuatro. Usamos los doscientos setenta metros cuadrados y obtenemos trescientos cuarenta y cinco mil pesos.</w:t>
      </w:r>
    </w:p>
    <w:p>
      <w:r>
        <w:t>Cuando aceptamos el pedido tres, la relajación de esa rama tiene una cota de trescientos cuarenta y seis mil, por lo que todavía debemos explorarla. Al ramificar sobre el pedido dos, las cotas bajan a trescientos treinta y dos mil y trescientos cuarenta y cuatro mil. Como ambas son menores que trescientos cuarenta y cinco mil, podamos esas ramas. Así queda demostrada la optimalidad de aceptar uno, dos y cuatro.</w:t>
      </w:r>
    </w:p>
    <w:p>
      <w:pPr>
        <w:pStyle w:val="Heading2"/>
      </w:pPr>
      <w:r>
        <w:t>Diapositiva 12   Conclusiones de la etapa 2</w:t>
      </w:r>
    </w:p>
    <w:p>
      <w:r>
        <w:rPr>
          <w:i/>
          <w:color w:val="505050"/>
          <w:sz w:val="20"/>
        </w:rPr>
        <w:t>En pantalla: Cerrar con las decisiones y el resultado de los pedidos.</w:t>
      </w:r>
    </w:p>
    <w:p>
      <w:r>
        <w:t>La etapa 2 nos permitió interpretar y ampliar el resultado original. Identificamos que las horas de máquina y el despacho son recursos valiosos, mientras que ampliar la disponibilidad de corcho no mejora por sí sola el plan actual.</w:t>
      </w:r>
    </w:p>
    <w:p>
      <w:r>
        <w:t>Determinamos los rangos en los que podemos analizar cambios sin volver a resolver todo el modelo: hasta cuarenta mil pesos de ganancia por lote de cárter y entre cuatrocientas y quinientas horas de máquina.</w:t>
      </w:r>
    </w:p>
    <w:p>
      <w:r>
        <w:t>También concluimos que la junta de bomba de agua no conviene con la contribución propuesta. Finalmente, el modelo binario selecciona los pedidos uno, dos y cuatro, con trescientos cuarenta y cinco mil pesos de beneficio adicional, bajo las condiciones del submodelo.</w:t>
      </w:r>
    </w:p>
    <w:p>
      <w:r>
        <w:t>Con esto cerramos la etapa de sensibilidad, dualidad y programación entera. Muchas gracias.</w:t>
      </w:r>
    </w:p>
    <w:p>
      <w:r>
        <w:rPr>
          <w:i/>
        </w:rPr>
        <w:t>Fin del video</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del video de la etapa 2</dc:title>
  <dc:subject>Investigación Operativa</dc:subject>
  <dc:creator>Grupo 1 · Comisión 402</dc:creator>
  <cp:keywords/>
  <dc:description>generated by python-docx</dc:description>
  <cp:lastModifiedBy/>
  <cp:revision>1</cp:revision>
  <dcterms:created xsi:type="dcterms:W3CDTF">2013-12-23T23:15:00Z</dcterms:created>
  <dcterms:modified xsi:type="dcterms:W3CDTF">2013-12-23T23:15:00Z</dcterms:modified>
  <cp:category/>
</cp:coreProperties>
</file>