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Arial" w:cs="Arial" w:eastAsia="Arial" w:hAnsi="Arial"/>
          <w:b/>
          <w:bCs/>
          <w:color w:val="1A1A1A"/>
          <w:spacing w:val="30"/>
          <w:sz w:val="25"/>
          <w:szCs w:val="25"/>
          <w:lang w:val="es-AR"/>
        </w:rPr>
        <w:t xml:space="preserve">CASOS DE PRUEBA POR VALORES LÍMITE</w:t>
      </w:r>
    </w:p>
    <w:p>
      <w:pPr>
        <w:spacing w:after="260" w:line="288"/>
        <w:jc w:val="center"/>
      </w:pPr>
      <w:r>
        <w:rPr>
          <w:rFonts w:ascii="Arial" w:cs="Arial" w:eastAsia="Arial" w:hAnsi="Arial"/>
          <w:b/>
          <w:bCs/>
          <w:color w:val="1A1A1A"/>
          <w:sz w:val="22"/>
          <w:szCs w:val="22"/>
          <w:lang w:val="es-AR"/>
        </w:rPr>
        <w:t xml:space="preserve">Aplicación bancaria por Internet — datos de entrada de la operación</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2313"/>
        <w:gridCol w:w="7325"/>
      </w:tblGrid>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b/>
                <w:bCs/>
                <w:color w:val="1A1A1A"/>
                <w:sz w:val="18"/>
                <w:szCs w:val="18"/>
                <w:lang w:val="es-AR"/>
              </w:rPr>
              <w:t xml:space="preserve">Cátedra</w:t>
            </w:r>
          </w:p>
        </w:tc>
        <w:tc>
          <w:tcPr>
            <w:tcW w:type="dxa" w:w="7325"/>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Ingeniería y Calidad de Software — 4º Año Ingeniería en Sistemas de Información</w:t>
            </w:r>
          </w:p>
        </w:tc>
      </w:tr>
      <w:tr>
        <w:trPr>
          <w:cantSplit/>
          <w:tblHeader w:val="false"/>
        </w:trPr>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b/>
                <w:bCs/>
                <w:color w:val="1A1A1A"/>
                <w:sz w:val="18"/>
                <w:szCs w:val="18"/>
                <w:lang w:val="es-AR"/>
              </w:rPr>
              <w:t xml:space="preserve">Técnica</w:t>
            </w:r>
          </w:p>
        </w:tc>
        <w:tc>
          <w:tcPr>
            <w:tcW w:type="dxa" w:w="7325"/>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Particionamiento de equivalencias + análisis de valores límite</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b/>
                <w:bCs/>
                <w:color w:val="1A1A1A"/>
                <w:sz w:val="18"/>
                <w:szCs w:val="18"/>
                <w:lang w:val="es-AR"/>
              </w:rPr>
              <w:t xml:space="preserve">Alumno</w:t>
            </w:r>
          </w:p>
        </w:tc>
        <w:tc>
          <w:tcPr>
            <w:tcW w:type="dxa" w:w="7325"/>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Bonadeo, Juan Cruz (53535)</w:t>
            </w:r>
          </w:p>
        </w:tc>
      </w:tr>
    </w:tbl>
    <w:p>
      <w:pPr>
        <w:spacing w:after="160"/>
      </w:pPr>
    </w:p>
    <w:p>
      <w:pPr>
        <w:spacing w:after="160" w:before="0"/>
      </w:pPr>
    </w:p>
    <w:p>
      <w:pPr>
        <w:pStyle w:val="Heading2"/>
        <w:keepNext/>
        <w:spacing w:after="120" w:before="300"/>
      </w:pPr>
      <w:r>
        <w:rPr>
          <w:rFonts w:ascii="Arial" w:cs="Arial" w:eastAsia="Arial" w:hAnsi="Arial"/>
          <w:b/>
          <w:bCs/>
          <w:color w:val="1A1A1A"/>
          <w:spacing w:val="18"/>
          <w:sz w:val="21"/>
          <w:szCs w:val="21"/>
          <w:lang w:val="es-AR"/>
        </w:rPr>
        <w:t xml:space="preserve">1. ENUNCIADO</w:t>
      </w:r>
    </w:p>
    <w:p>
      <w:pPr>
        <w:spacing w:after="120" w:line="280"/>
        <w:jc w:val="both"/>
      </w:pPr>
      <w:r>
        <w:rPr>
          <w:rFonts w:ascii="Arial" w:cs="Arial" w:eastAsia="Arial" w:hAnsi="Arial"/>
          <w:color w:val="1A1A1A"/>
          <w:sz w:val="22"/>
          <w:szCs w:val="22"/>
          <w:lang w:val="es-AR"/>
        </w:rPr>
        <w:t xml:space="preserve">Considérese una aplicación bancaria donde el usuario puede conectarse al banco por Internet y realizar una serie de operaciones bancarias. Una vez accedido al banco con las consiguientes medidas de seguridad (clave de acceso y demás), la información de entrada del procedimiento que gestiona las operaciones concretas a realizar por el usuario requiere la siguiente entrada:</w:t>
      </w:r>
    </w:p>
    <w:p>
      <w:pPr>
        <w:pStyle w:val="ListParagraph"/>
        <w:numPr>
          <w:ilvl w:val="0"/>
          <w:numId w:val="1"/>
        </w:numPr>
        <w:spacing w:after="100" w:line="276"/>
        <w:jc w:val="both"/>
      </w:pPr>
      <w:r>
        <w:rPr>
          <w:rFonts w:ascii="Arial" w:cs="Arial" w:eastAsia="Arial" w:hAnsi="Arial"/>
          <w:b/>
          <w:bCs/>
          <w:color w:val="1A1A1A"/>
          <w:sz w:val="22"/>
          <w:szCs w:val="22"/>
          <w:lang w:val="es-AR"/>
        </w:rPr>
        <w:t xml:space="preserve">Código del banco.</w:t>
      </w:r>
      <w:r>
        <w:rPr>
          <w:rFonts w:ascii="Arial" w:cs="Arial" w:eastAsia="Arial" w:hAnsi="Arial"/>
          <w:color w:val="1A1A1A"/>
          <w:sz w:val="22"/>
          <w:szCs w:val="22"/>
          <w:lang w:val="es-AR"/>
        </w:rPr>
        <w:t xml:space="preserve"> En blanco o número de tres dígitos. En este último caso, el primero de los dígitos tiene que ser mayor que 1.</w:t>
      </w:r>
    </w:p>
    <w:p>
      <w:pPr>
        <w:pStyle w:val="ListParagraph"/>
        <w:numPr>
          <w:ilvl w:val="0"/>
          <w:numId w:val="1"/>
        </w:numPr>
        <w:spacing w:after="100" w:line="276"/>
        <w:jc w:val="both"/>
      </w:pPr>
      <w:r>
        <w:rPr>
          <w:rFonts w:ascii="Arial" w:cs="Arial" w:eastAsia="Arial" w:hAnsi="Arial"/>
          <w:b/>
          <w:bCs/>
          <w:color w:val="1A1A1A"/>
          <w:sz w:val="22"/>
          <w:szCs w:val="22"/>
          <w:lang w:val="es-AR"/>
        </w:rPr>
        <w:t xml:space="preserve">Código de sucursal.</w:t>
      </w:r>
      <w:r>
        <w:rPr>
          <w:rFonts w:ascii="Arial" w:cs="Arial" w:eastAsia="Arial" w:hAnsi="Arial"/>
          <w:color w:val="1A1A1A"/>
          <w:sz w:val="22"/>
          <w:szCs w:val="22"/>
          <w:lang w:val="es-AR"/>
        </w:rPr>
        <w:t xml:space="preserve"> Un número de cuatro dígitos. El primero de ellos mayor de 0.</w:t>
      </w:r>
    </w:p>
    <w:p>
      <w:pPr>
        <w:pStyle w:val="ListParagraph"/>
        <w:numPr>
          <w:ilvl w:val="0"/>
          <w:numId w:val="1"/>
        </w:numPr>
        <w:spacing w:after="100" w:line="276"/>
        <w:jc w:val="both"/>
      </w:pPr>
      <w:r>
        <w:rPr>
          <w:rFonts w:ascii="Arial" w:cs="Arial" w:eastAsia="Arial" w:hAnsi="Arial"/>
          <w:b/>
          <w:bCs/>
          <w:color w:val="1A1A1A"/>
          <w:sz w:val="22"/>
          <w:szCs w:val="22"/>
          <w:lang w:val="es-AR"/>
        </w:rPr>
        <w:t xml:space="preserve">Número de cuenta.</w:t>
      </w:r>
      <w:r>
        <w:rPr>
          <w:rFonts w:ascii="Arial" w:cs="Arial" w:eastAsia="Arial" w:hAnsi="Arial"/>
          <w:color w:val="1A1A1A"/>
          <w:sz w:val="22"/>
          <w:szCs w:val="22"/>
          <w:lang w:val="es-AR"/>
        </w:rPr>
        <w:t xml:space="preserve"> Número de cinco dígitos.</w:t>
      </w:r>
    </w:p>
    <w:p>
      <w:pPr>
        <w:pStyle w:val="ListParagraph"/>
        <w:numPr>
          <w:ilvl w:val="0"/>
          <w:numId w:val="1"/>
        </w:numPr>
        <w:spacing w:after="100" w:line="276"/>
        <w:jc w:val="both"/>
      </w:pPr>
      <w:r>
        <w:rPr>
          <w:rFonts w:ascii="Arial" w:cs="Arial" w:eastAsia="Arial" w:hAnsi="Arial"/>
          <w:b/>
          <w:bCs/>
          <w:color w:val="1A1A1A"/>
          <w:sz w:val="22"/>
          <w:szCs w:val="22"/>
          <w:lang w:val="es-AR"/>
        </w:rPr>
        <w:t xml:space="preserve">Clave personal.</w:t>
      </w:r>
      <w:r>
        <w:rPr>
          <w:rFonts w:ascii="Arial" w:cs="Arial" w:eastAsia="Arial" w:hAnsi="Arial"/>
          <w:color w:val="1A1A1A"/>
          <w:sz w:val="22"/>
          <w:szCs w:val="22"/>
          <w:lang w:val="es-AR"/>
        </w:rPr>
        <w:t xml:space="preserve"> Valor alfanumérico de cinco posiciones.</w:t>
      </w:r>
    </w:p>
    <w:p>
      <w:pPr>
        <w:pStyle w:val="ListParagraph"/>
        <w:numPr>
          <w:ilvl w:val="0"/>
          <w:numId w:val="1"/>
        </w:numPr>
        <w:spacing w:after="100" w:line="276"/>
        <w:jc w:val="both"/>
      </w:pPr>
      <w:r>
        <w:rPr>
          <w:rFonts w:ascii="Arial" w:cs="Arial" w:eastAsia="Arial" w:hAnsi="Arial"/>
          <w:b/>
          <w:bCs/>
          <w:color w:val="1A1A1A"/>
          <w:sz w:val="22"/>
          <w:szCs w:val="22"/>
          <w:lang w:val="es-AR"/>
        </w:rPr>
        <w:t xml:space="preserve">Orden.</w:t>
      </w:r>
      <w:r>
        <w:rPr>
          <w:rFonts w:ascii="Arial" w:cs="Arial" w:eastAsia="Arial" w:hAnsi="Arial"/>
          <w:color w:val="1A1A1A"/>
          <w:sz w:val="22"/>
          <w:szCs w:val="22"/>
          <w:lang w:val="es-AR"/>
        </w:rPr>
        <w:t xml:space="preserve"> Se introduce según la orden que se desee realizar. Puede estar en blanco o ser una de las dos cadenas siguientes: "Talonario" o "Movimientos". En el primer caso el usuario recibirá un talonario de cheques, en el segundo recibirá los movimientos del mes en curso. Si este código está en blanco, el usuario recibirá los dos documentos.</w:t>
      </w:r>
    </w:p>
    <w:p>
      <w:pPr>
        <w:pStyle w:val="Heading2"/>
        <w:keepNext/>
        <w:spacing w:after="120" w:before="300"/>
      </w:pPr>
      <w:r>
        <w:rPr>
          <w:rFonts w:ascii="Arial" w:cs="Arial" w:eastAsia="Arial" w:hAnsi="Arial"/>
          <w:b/>
          <w:bCs/>
          <w:color w:val="1A1A1A"/>
          <w:spacing w:val="18"/>
          <w:sz w:val="21"/>
          <w:szCs w:val="21"/>
          <w:lang w:val="es-AR"/>
        </w:rPr>
        <w:t xml:space="preserve">2. CRITERIO APLICADO</w:t>
      </w:r>
    </w:p>
    <w:p>
      <w:pPr>
        <w:spacing w:after="120" w:line="280"/>
        <w:jc w:val="both"/>
      </w:pPr>
      <w:r>
        <w:rPr>
          <w:rFonts w:ascii="Arial" w:cs="Arial" w:eastAsia="Arial" w:hAnsi="Arial"/>
          <w:color w:val="1A1A1A"/>
          <w:sz w:val="22"/>
          <w:szCs w:val="22"/>
          <w:lang w:val="es-AR"/>
        </w:rPr>
        <w:t xml:space="preserve">El particionamiento de equivalencias solo garantiza un caso por clase, tomando un representante cualquiera. El análisis de valores límite refina esa elección: la experiencia muestra que los errores se concentran en los bordes de cada partición, no en el medio. El criterio usado en toda la tarea es:</w:t>
      </w:r>
    </w:p>
    <w:p>
      <w:pPr>
        <w:pStyle w:val="ListParagraph"/>
        <w:numPr>
          <w:ilvl w:val="0"/>
          <w:numId w:val="1"/>
        </w:numPr>
        <w:spacing w:after="100" w:line="276"/>
        <w:jc w:val="both"/>
      </w:pPr>
      <w:r>
        <w:rPr>
          <w:rFonts w:ascii="Arial" w:cs="Arial" w:eastAsia="Arial" w:hAnsi="Arial"/>
          <w:color w:val="1A1A1A"/>
          <w:sz w:val="22"/>
          <w:szCs w:val="22"/>
          <w:lang w:val="es-AR"/>
        </w:rPr>
        <w:t xml:space="preserve">Para una partición válida numérica de rango </w:t>
      </w:r>
      <w:r>
        <w:rPr>
          <w:rFonts w:ascii="Consolas" w:cs="Consolas" w:eastAsia="Consolas" w:hAnsi="Consolas"/>
          <w:color w:val="1A1A1A"/>
          <w:sz w:val="20"/>
          <w:szCs w:val="20"/>
          <w:lang w:val="es-AR"/>
        </w:rPr>
        <w:t xml:space="preserve">[a, b]</w:t>
      </w:r>
      <w:r>
        <w:rPr>
          <w:rFonts w:ascii="Arial" w:cs="Arial" w:eastAsia="Arial" w:hAnsi="Arial"/>
          <w:color w:val="1A1A1A"/>
          <w:sz w:val="22"/>
          <w:szCs w:val="22"/>
          <w:lang w:val="es-AR"/>
        </w:rPr>
        <w:t xml:space="preserve">, se prueban </w:t>
      </w:r>
      <w:r>
        <w:rPr>
          <w:rFonts w:ascii="Consolas" w:cs="Consolas" w:eastAsia="Consolas" w:hAnsi="Consolas"/>
          <w:color w:val="1A1A1A"/>
          <w:sz w:val="20"/>
          <w:szCs w:val="20"/>
          <w:lang w:val="es-AR"/>
        </w:rPr>
        <w:t xml:space="preserve">a</w:t>
      </w:r>
      <w:r>
        <w:rPr>
          <w:rFonts w:ascii="Arial" w:cs="Arial" w:eastAsia="Arial" w:hAnsi="Arial"/>
          <w:color w:val="1A1A1A"/>
          <w:sz w:val="22"/>
          <w:szCs w:val="22"/>
          <w:lang w:val="es-AR"/>
        </w:rPr>
        <w:t xml:space="preserve">, </w:t>
      </w:r>
      <w:r>
        <w:rPr>
          <w:rFonts w:ascii="Consolas" w:cs="Consolas" w:eastAsia="Consolas" w:hAnsi="Consolas"/>
          <w:color w:val="1A1A1A"/>
          <w:sz w:val="20"/>
          <w:szCs w:val="20"/>
          <w:lang w:val="es-AR"/>
        </w:rPr>
        <w:t xml:space="preserve">a+1</w:t>
      </w:r>
      <w:r>
        <w:rPr>
          <w:rFonts w:ascii="Arial" w:cs="Arial" w:eastAsia="Arial" w:hAnsi="Arial"/>
          <w:color w:val="1A1A1A"/>
          <w:sz w:val="22"/>
          <w:szCs w:val="22"/>
          <w:lang w:val="es-AR"/>
        </w:rPr>
        <w:t xml:space="preserve">, </w:t>
      </w:r>
      <w:r>
        <w:rPr>
          <w:rFonts w:ascii="Consolas" w:cs="Consolas" w:eastAsia="Consolas" w:hAnsi="Consolas"/>
          <w:color w:val="1A1A1A"/>
          <w:sz w:val="20"/>
          <w:szCs w:val="20"/>
          <w:lang w:val="es-AR"/>
        </w:rPr>
        <w:t xml:space="preserve">b-1</w:t>
      </w:r>
      <w:r>
        <w:rPr>
          <w:rFonts w:ascii="Arial" w:cs="Arial" w:eastAsia="Arial" w:hAnsi="Arial"/>
          <w:color w:val="1A1A1A"/>
          <w:sz w:val="22"/>
          <w:szCs w:val="22"/>
          <w:lang w:val="es-AR"/>
        </w:rPr>
        <w:t xml:space="preserve"> y </w:t>
      </w:r>
      <w:r>
        <w:rPr>
          <w:rFonts w:ascii="Consolas" w:cs="Consolas" w:eastAsia="Consolas" w:hAnsi="Consolas"/>
          <w:color w:val="1A1A1A"/>
          <w:sz w:val="20"/>
          <w:szCs w:val="20"/>
          <w:lang w:val="es-AR"/>
        </w:rPr>
        <w:t xml:space="preserve">b</w:t>
      </w:r>
      <w:r>
        <w:rPr>
          <w:rFonts w:ascii="Arial" w:cs="Arial" w:eastAsia="Arial" w:hAnsi="Arial"/>
          <w:color w:val="1A1A1A"/>
          <w:sz w:val="22"/>
          <w:szCs w:val="22"/>
          <w:lang w:val="es-AR"/>
        </w:rPr>
        <w:t xml:space="preserve">.</w:t>
      </w:r>
    </w:p>
    <w:p>
      <w:pPr>
        <w:pStyle w:val="ListParagraph"/>
        <w:numPr>
          <w:ilvl w:val="0"/>
          <w:numId w:val="1"/>
        </w:numPr>
        <w:spacing w:after="100" w:line="276"/>
        <w:jc w:val="both"/>
      </w:pPr>
      <w:r>
        <w:rPr>
          <w:rFonts w:ascii="Arial" w:cs="Arial" w:eastAsia="Arial" w:hAnsi="Arial"/>
          <w:color w:val="1A1A1A"/>
          <w:sz w:val="22"/>
          <w:szCs w:val="22"/>
          <w:lang w:val="es-AR"/>
        </w:rPr>
        <w:t xml:space="preserve">Para cada borde se prueba además el primer valor que queda afuera: </w:t>
      </w:r>
      <w:r>
        <w:rPr>
          <w:rFonts w:ascii="Consolas" w:cs="Consolas" w:eastAsia="Consolas" w:hAnsi="Consolas"/>
          <w:color w:val="1A1A1A"/>
          <w:sz w:val="20"/>
          <w:szCs w:val="20"/>
          <w:lang w:val="es-AR"/>
        </w:rPr>
        <w:t xml:space="preserve">a-1</w:t>
      </w:r>
      <w:r>
        <w:rPr>
          <w:rFonts w:ascii="Arial" w:cs="Arial" w:eastAsia="Arial" w:hAnsi="Arial"/>
          <w:color w:val="1A1A1A"/>
          <w:sz w:val="22"/>
          <w:szCs w:val="22"/>
          <w:lang w:val="es-AR"/>
        </w:rPr>
        <w:t xml:space="preserve"> y </w:t>
      </w:r>
      <w:r>
        <w:rPr>
          <w:rFonts w:ascii="Consolas" w:cs="Consolas" w:eastAsia="Consolas" w:hAnsi="Consolas"/>
          <w:color w:val="1A1A1A"/>
          <w:sz w:val="20"/>
          <w:szCs w:val="20"/>
          <w:lang w:val="es-AR"/>
        </w:rPr>
        <w:t xml:space="preserve">b+1</w:t>
      </w:r>
      <w:r>
        <w:rPr>
          <w:rFonts w:ascii="Arial" w:cs="Arial" w:eastAsia="Arial" w:hAnsi="Arial"/>
          <w:color w:val="1A1A1A"/>
          <w:sz w:val="22"/>
          <w:szCs w:val="22"/>
          <w:lang w:val="es-AR"/>
        </w:rPr>
        <w:t xml:space="preserve">, que caen en particiones inválidas y sirven para verificar que el rechazo ocurre exactamente donde debe.</w:t>
      </w:r>
    </w:p>
    <w:p>
      <w:pPr>
        <w:pStyle w:val="ListParagraph"/>
        <w:numPr>
          <w:ilvl w:val="0"/>
          <w:numId w:val="1"/>
        </w:numPr>
        <w:spacing w:after="100" w:line="276"/>
        <w:jc w:val="both"/>
      </w:pPr>
      <w:r>
        <w:rPr>
          <w:rFonts w:ascii="Arial" w:cs="Arial" w:eastAsia="Arial" w:hAnsi="Arial"/>
          <w:color w:val="1A1A1A"/>
          <w:sz w:val="22"/>
          <w:szCs w:val="22"/>
          <w:lang w:val="es-AR"/>
        </w:rPr>
        <w:t xml:space="preserve">Para los campos definidos por longitud (número de cuenta, clave personal), el límite es la cantidad de caracteres: se prueban las longitudes </w:t>
      </w:r>
      <w:r>
        <w:rPr>
          <w:rFonts w:ascii="Consolas" w:cs="Consolas" w:eastAsia="Consolas" w:hAnsi="Consolas"/>
          <w:color w:val="1A1A1A"/>
          <w:sz w:val="20"/>
          <w:szCs w:val="20"/>
          <w:lang w:val="es-AR"/>
        </w:rPr>
        <w:t xml:space="preserve">n-1</w:t>
      </w:r>
      <w:r>
        <w:rPr>
          <w:rFonts w:ascii="Arial" w:cs="Arial" w:eastAsia="Arial" w:hAnsi="Arial"/>
          <w:color w:val="1A1A1A"/>
          <w:sz w:val="22"/>
          <w:szCs w:val="22"/>
          <w:lang w:val="es-AR"/>
        </w:rPr>
        <w:t xml:space="preserve">, </w:t>
      </w:r>
      <w:r>
        <w:rPr>
          <w:rFonts w:ascii="Consolas" w:cs="Consolas" w:eastAsia="Consolas" w:hAnsi="Consolas"/>
          <w:color w:val="1A1A1A"/>
          <w:sz w:val="20"/>
          <w:szCs w:val="20"/>
          <w:lang w:val="es-AR"/>
        </w:rPr>
        <w:t xml:space="preserve">n</w:t>
      </w:r>
      <w:r>
        <w:rPr>
          <w:rFonts w:ascii="Arial" w:cs="Arial" w:eastAsia="Arial" w:hAnsi="Arial"/>
          <w:color w:val="1A1A1A"/>
          <w:sz w:val="22"/>
          <w:szCs w:val="22"/>
          <w:lang w:val="es-AR"/>
        </w:rPr>
        <w:t xml:space="preserve"> y </w:t>
      </w:r>
      <w:r>
        <w:rPr>
          <w:rFonts w:ascii="Consolas" w:cs="Consolas" w:eastAsia="Consolas" w:hAnsi="Consolas"/>
          <w:color w:val="1A1A1A"/>
          <w:sz w:val="20"/>
          <w:szCs w:val="20"/>
          <w:lang w:val="es-AR"/>
        </w:rPr>
        <w:t xml:space="preserve">n+1</w:t>
      </w:r>
      <w:r>
        <w:rPr>
          <w:rFonts w:ascii="Arial" w:cs="Arial" w:eastAsia="Arial" w:hAnsi="Arial"/>
          <w:color w:val="1A1A1A"/>
          <w:sz w:val="22"/>
          <w:szCs w:val="22"/>
          <w:lang w:val="es-AR"/>
        </w:rPr>
        <w:t xml:space="preserve">.</w:t>
      </w:r>
    </w:p>
    <w:p>
      <w:pPr>
        <w:pStyle w:val="ListParagraph"/>
        <w:numPr>
          <w:ilvl w:val="0"/>
          <w:numId w:val="1"/>
        </w:numPr>
        <w:spacing w:after="100" w:line="276"/>
        <w:jc w:val="both"/>
      </w:pPr>
      <w:r>
        <w:rPr>
          <w:rFonts w:ascii="Arial" w:cs="Arial" w:eastAsia="Arial" w:hAnsi="Arial"/>
          <w:color w:val="1A1A1A"/>
          <w:sz w:val="22"/>
          <w:szCs w:val="22"/>
          <w:lang w:val="es-AR"/>
        </w:rPr>
        <w:t xml:space="preserve">Para los campos alfanuméricos con un conjunto cerrado de valores (orden), no hay orden numérico ni longitud que recorrer: se prueba un caso por cada valor admitido, y como "límites" se usan las variantes mínimamente distintas de esos valores (mayúsculas/minúsculas, un carácter de más o de menos, espacios sobrantes).</w:t>
      </w:r>
    </w:p>
    <w:p>
      <w:pPr>
        <w:spacing w:after="120" w:line="280"/>
        <w:jc w:val="both"/>
      </w:pPr>
      <w:r>
        <w:rPr>
          <w:rFonts w:ascii="Arial" w:cs="Arial" w:eastAsia="Arial" w:hAnsi="Arial"/>
          <w:color w:val="1A1A1A"/>
          <w:sz w:val="22"/>
          <w:szCs w:val="22"/>
          <w:lang w:val="es-AR"/>
        </w:rPr>
        <w:t xml:space="preserve">Cada caso de prueba varía </w:t>
      </w:r>
      <w:r>
        <w:rPr>
          <w:rFonts w:ascii="Arial" w:cs="Arial" w:eastAsia="Arial" w:hAnsi="Arial"/>
          <w:b/>
          <w:bCs/>
          <w:color w:val="1A1A1A"/>
          <w:sz w:val="22"/>
          <w:szCs w:val="22"/>
          <w:lang w:val="es-AR"/>
        </w:rPr>
        <w:t xml:space="preserve">un solo atributo</w:t>
      </w:r>
      <w:r>
        <w:rPr>
          <w:rFonts w:ascii="Arial" w:cs="Arial" w:eastAsia="Arial" w:hAnsi="Arial"/>
          <w:color w:val="1A1A1A"/>
          <w:sz w:val="22"/>
          <w:szCs w:val="22"/>
          <w:lang w:val="es-AR"/>
        </w:rPr>
        <w:t xml:space="preserve">. Los demás campos se completan siempre con la combinación válida de referencia: banco </w:t>
      </w:r>
      <w:r>
        <w:rPr>
          <w:rFonts w:ascii="Consolas" w:cs="Consolas" w:eastAsia="Consolas" w:hAnsi="Consolas"/>
          <w:color w:val="1A1A1A"/>
          <w:sz w:val="20"/>
          <w:szCs w:val="20"/>
          <w:lang w:val="es-AR"/>
        </w:rPr>
        <w:t xml:space="preserve">250</w:t>
      </w:r>
      <w:r>
        <w:rPr>
          <w:rFonts w:ascii="Arial" w:cs="Arial" w:eastAsia="Arial" w:hAnsi="Arial"/>
          <w:color w:val="1A1A1A"/>
          <w:sz w:val="22"/>
          <w:szCs w:val="22"/>
          <w:lang w:val="es-AR"/>
        </w:rPr>
        <w:t xml:space="preserve">, sucursal </w:t>
      </w:r>
      <w:r>
        <w:rPr>
          <w:rFonts w:ascii="Consolas" w:cs="Consolas" w:eastAsia="Consolas" w:hAnsi="Consolas"/>
          <w:color w:val="1A1A1A"/>
          <w:sz w:val="20"/>
          <w:szCs w:val="20"/>
          <w:lang w:val="es-AR"/>
        </w:rPr>
        <w:t xml:space="preserve">1234</w:t>
      </w:r>
      <w:r>
        <w:rPr>
          <w:rFonts w:ascii="Arial" w:cs="Arial" w:eastAsia="Arial" w:hAnsi="Arial"/>
          <w:color w:val="1A1A1A"/>
          <w:sz w:val="22"/>
          <w:szCs w:val="22"/>
          <w:lang w:val="es-AR"/>
        </w:rPr>
        <w:t xml:space="preserve">, cuenta </w:t>
      </w:r>
      <w:r>
        <w:rPr>
          <w:rFonts w:ascii="Consolas" w:cs="Consolas" w:eastAsia="Consolas" w:hAnsi="Consolas"/>
          <w:color w:val="1A1A1A"/>
          <w:sz w:val="20"/>
          <w:szCs w:val="20"/>
          <w:lang w:val="es-AR"/>
        </w:rPr>
        <w:t xml:space="preserve">12345</w:t>
      </w:r>
      <w:r>
        <w:rPr>
          <w:rFonts w:ascii="Arial" w:cs="Arial" w:eastAsia="Arial" w:hAnsi="Arial"/>
          <w:color w:val="1A1A1A"/>
          <w:sz w:val="22"/>
          <w:szCs w:val="22"/>
          <w:lang w:val="es-AR"/>
        </w:rPr>
        <w:t xml:space="preserve">, clave </w:t>
      </w:r>
      <w:r>
        <w:rPr>
          <w:rFonts w:ascii="Consolas" w:cs="Consolas" w:eastAsia="Consolas" w:hAnsi="Consolas"/>
          <w:color w:val="1A1A1A"/>
          <w:sz w:val="20"/>
          <w:szCs w:val="20"/>
          <w:lang w:val="es-AR"/>
        </w:rPr>
        <w:t xml:space="preserve">A1b2C</w:t>
      </w:r>
      <w:r>
        <w:rPr>
          <w:rFonts w:ascii="Arial" w:cs="Arial" w:eastAsia="Arial" w:hAnsi="Arial"/>
          <w:color w:val="1A1A1A"/>
          <w:sz w:val="22"/>
          <w:szCs w:val="22"/>
          <w:lang w:val="es-AR"/>
        </w:rPr>
        <w:t xml:space="preserve">, orden </w:t>
      </w:r>
      <w:r>
        <w:rPr>
          <w:rFonts w:ascii="Consolas" w:cs="Consolas" w:eastAsia="Consolas" w:hAnsi="Consolas"/>
          <w:color w:val="1A1A1A"/>
          <w:sz w:val="20"/>
          <w:szCs w:val="20"/>
          <w:lang w:val="es-AR"/>
        </w:rPr>
        <w:t xml:space="preserve">Talonario</w:t>
      </w:r>
      <w:r>
        <w:rPr>
          <w:rFonts w:ascii="Arial" w:cs="Arial" w:eastAsia="Arial" w:hAnsi="Arial"/>
          <w:color w:val="1A1A1A"/>
          <w:sz w:val="22"/>
          <w:szCs w:val="22"/>
          <w:lang w:val="es-AR"/>
        </w:rPr>
        <w:t xml:space="preserve">.</w:t>
      </w:r>
    </w:p>
    <w:p>
      <w:pPr>
        <w:pStyle w:val="Heading2"/>
        <w:keepNext/>
        <w:spacing w:after="120" w:before="300"/>
      </w:pPr>
      <w:r>
        <w:rPr>
          <w:rFonts w:ascii="Arial" w:cs="Arial" w:eastAsia="Arial" w:hAnsi="Arial"/>
          <w:b/>
          <w:bCs/>
          <w:color w:val="1A1A1A"/>
          <w:spacing w:val="18"/>
          <w:sz w:val="21"/>
          <w:szCs w:val="21"/>
          <w:lang w:val="es-AR"/>
        </w:rPr>
        <w:t xml:space="preserve">3. CLASES DE EQUIVALENCIA</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1542"/>
        <w:gridCol w:w="2313"/>
        <w:gridCol w:w="2506"/>
        <w:gridCol w:w="3277"/>
      </w:tblGrid>
      <w:tr>
        <w:trPr>
          <w:cantSplit/>
          <w:tblHeader/>
        </w:trPr>
        <w:tc>
          <w:tcPr>
            <w:tcW w:type="dxa" w:w="1542"/>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ATRIBUTO</w:t>
            </w:r>
          </w:p>
        </w:tc>
        <w:tc>
          <w:tcPr>
            <w:tcW w:type="dxa" w:w="2313"/>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DOMINIO</w:t>
            </w:r>
          </w:p>
        </w:tc>
        <w:tc>
          <w:tcPr>
            <w:tcW w:type="dxa" w:w="2506"/>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VÁLIDAS</w:t>
            </w:r>
          </w:p>
        </w:tc>
        <w:tc>
          <w:tcPr>
            <w:tcW w:type="dxa" w:w="327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INVÁLIDAS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Código del banco</w:t>
            </w:r>
          </w:p>
        </w:tc>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En blanco, o entero de 3 dígitos con el primer dígito mayor que 1 (200 ≤ X ≤ 999)</w:t>
            </w:r>
          </w:p>
        </w:tc>
        <w:tc>
          <w:tcPr>
            <w:tcW w:type="dxa" w:w="2506"/>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PV1) en blanco · PV2) 200 ≤ X ≤ 999</w:t>
            </w:r>
          </w:p>
        </w:tc>
        <w:tc>
          <w:tcPr>
            <w:tcW w:type="dxa" w:w="327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PI1) 3 dígitos con primer dígito ≤ 1 (000 ≤ X ≤ 199) · PI2) menos de 3 dígitos · PI3) más de 3 dígitos (X &gt; 999) · PI4) negativos · PI5) contiene letras · PI6) contiene caracteres especiales · PI7) decimales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Código de sucursal</w:t>
            </w:r>
          </w:p>
        </w:tc>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Entero de 4 dígitos con el primer dígito mayor que 0 (1000 ≤ X ≤ 9999)</w:t>
            </w:r>
          </w:p>
        </w:tc>
        <w:tc>
          <w:tcPr>
            <w:tcW w:type="dxa" w:w="2506"/>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PV1) 1000 ≤ X ≤ 9999</w:t>
            </w:r>
          </w:p>
        </w:tc>
        <w:tc>
          <w:tcPr>
            <w:tcW w:type="dxa" w:w="327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PI1) 4 dígitos con primer dígito 0 (0000 ≤ X ≤ 0999) · PI2) menos de 4 dígitos · PI3) más de 4 dígitos (X &gt; 9999) · PI4) en blanco · PI5) negativos · PI6) contiene letras · PI7) contiene caracteres especiales o decimales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Número de cuenta</w:t>
            </w:r>
          </w:p>
        </w:tc>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Cadena de exactamente 5 dígitos (00000 ≤ X ≤ 99999)</w:t>
            </w:r>
          </w:p>
        </w:tc>
        <w:tc>
          <w:tcPr>
            <w:tcW w:type="dxa" w:w="2506"/>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PV1) longitud = 5 y todos los caracteres son dígitos</w:t>
            </w:r>
          </w:p>
        </w:tc>
        <w:tc>
          <w:tcPr>
            <w:tcW w:type="dxa" w:w="327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PI1) longitud = 4 · PI2) longitud = 6 · PI3) en blanco (longitud 0) · PI4) longitud 5 con algún carácter no numérico · PI5) negativos o decimales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Clave personal</w:t>
            </w:r>
          </w:p>
        </w:tc>
        <w:tc>
          <w:tcPr>
            <w:tcW w:type="dxa" w:w="2313"/>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Cadena alfanumérica de exactamente 5 posiciones</w:t>
            </w:r>
          </w:p>
        </w:tc>
        <w:tc>
          <w:tcPr>
            <w:tcW w:type="dxa" w:w="2506"/>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PV1) longitud = 5 y todos los caracteres son alfanuméricos</w:t>
            </w:r>
          </w:p>
        </w:tc>
        <w:tc>
          <w:tcPr>
            <w:tcW w:type="dxa" w:w="327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PI1) longitud = 4 · PI2) longitud = 6 · PI3) en blanco (longitud 0) · PI4) longitud 5 con algún carácter no alfanumérico (símbolo, espacio, acento)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 "Talonario" o "Movimientos"</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 "Talonario" · PV2) "Movimientos" · PV3) en blanco</w:t>
            </w:r>
          </w:p>
        </w:tc>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 cualquier otra cadena · PI2) valor válido con diferencia de mayúsculas/minúsculas · PI3) valor válido con caracteres de más o de menos · PI4) valor válido con espacios sobrantes</w:t>
            </w:r>
          </w:p>
        </w:tc>
      </w:tr>
    </w:tbl>
    <w:p>
      <w:pPr>
        <w:spacing w:after="160"/>
      </w:pPr>
    </w:p>
    <w:p>
      <w:pPr>
        <w:pStyle w:val="Heading2"/>
        <w:keepNext/>
        <w:spacing w:after="120" w:before="300"/>
      </w:pPr>
      <w:r>
        <w:rPr>
          <w:rFonts w:ascii="Arial" w:cs="Arial" w:eastAsia="Arial" w:hAnsi="Arial"/>
          <w:b/>
          <w:bCs/>
          <w:color w:val="1A1A1A"/>
          <w:spacing w:val="18"/>
          <w:sz w:val="21"/>
          <w:szCs w:val="21"/>
          <w:lang w:val="es-AR"/>
        </w:rPr>
        <w:t xml:space="preserve">4. CASOS DE PRUEBA</w:t>
      </w:r>
    </w:p>
    <w:p>
      <w:pPr>
        <w:pStyle w:val="Heading3"/>
        <w:keepNext/>
        <w:spacing w:after="110" w:before="280"/>
      </w:pPr>
      <w:r>
        <w:rPr>
          <w:rFonts w:ascii="Arial" w:cs="Arial" w:eastAsia="Arial" w:hAnsi="Arial"/>
          <w:b/>
          <w:bCs/>
          <w:color w:val="1A1A1A"/>
          <w:sz w:val="22"/>
          <w:szCs w:val="22"/>
          <w:lang w:val="es-AR"/>
        </w:rPr>
        <w:t xml:space="preserve">4.1 Código del banco</w:t>
      </w:r>
    </w:p>
    <w:p>
      <w:pPr>
        <w:spacing w:after="120" w:line="280"/>
        <w:jc w:val="both"/>
      </w:pPr>
      <w:r>
        <w:rPr>
          <w:rFonts w:ascii="Arial" w:cs="Arial" w:eastAsia="Arial" w:hAnsi="Arial"/>
          <w:color w:val="1A1A1A"/>
          <w:sz w:val="22"/>
          <w:szCs w:val="22"/>
          <w:lang w:val="es-AR"/>
        </w:rPr>
        <w:t xml:space="preserve">Rango válido </w:t>
      </w:r>
      <w:r>
        <w:rPr>
          <w:rFonts w:ascii="Consolas" w:cs="Consolas" w:eastAsia="Consolas" w:hAnsi="Consolas"/>
          <w:color w:val="1A1A1A"/>
          <w:sz w:val="20"/>
          <w:szCs w:val="20"/>
          <w:lang w:val="es-AR"/>
        </w:rPr>
        <w:t xml:space="preserve">[200, 999]</w:t>
      </w:r>
      <w:r>
        <w:rPr>
          <w:rFonts w:ascii="Arial" w:cs="Arial" w:eastAsia="Arial" w:hAnsi="Arial"/>
          <w:color w:val="1A1A1A"/>
          <w:sz w:val="22"/>
          <w:szCs w:val="22"/>
          <w:lang w:val="es-AR"/>
        </w:rPr>
        <w:t xml:space="preserve"> más la partición "en blanco". Los límites relevantes son 200 y 999, con sus vecinos inmediatos 199 y 1000, que ya caen fuera.</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1157"/>
        <w:gridCol w:w="2506"/>
        <w:gridCol w:w="1638"/>
        <w:gridCol w:w="3470"/>
      </w:tblGrid>
      <w:tr>
        <w:trPr>
          <w:cantSplit/>
          <w:tblHeader/>
        </w:trPr>
        <w:tc>
          <w:tcPr>
            <w:tcW w:type="dxa" w:w="86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w:t>
            </w:r>
          </w:p>
        </w:tc>
        <w:tc>
          <w:tcPr>
            <w:tcW w:type="dxa" w:w="115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Partición</w:t>
            </w:r>
          </w:p>
        </w:tc>
        <w:tc>
          <w:tcPr>
            <w:tcW w:type="dxa" w:w="2506"/>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Criterio de límite</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Entrada</w:t>
            </w:r>
          </w:p>
        </w:tc>
        <w:tc>
          <w:tcPr>
            <w:tcW w:type="dxa" w:w="3470"/>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Único valor de la partición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+ 1 (a+1)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201</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− 1 (b−1)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998</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(b)</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− 1 (a−1)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del banco debe ser de 3 dígitos y el primero mayor que 1"</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Extremo inferior de la partición inválida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del banco debe ser de 3 dígitos y el primero mayor que 1"</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máxima con menos de 3 dígitos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del banco debe ser de 3 dígitos y el primero mayor que 1"</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+ 1 (b+1)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del banco debe ser de 3 dígitos y el primero mayor que 1"</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Simétrico negativo del límite inferior</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del banco debe ser de 3 dígitos y el primero mayor que 1"</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Un solo carácter no numérico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A25</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Un solo carácter especial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2#5</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válido con parte decimal mínima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250,5</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un número entero"</w:t>
            </w:r>
          </w:p>
        </w:tc>
      </w:tr>
    </w:tbl>
    <w:p>
      <w:pPr>
        <w:spacing w:after="160"/>
      </w:pPr>
    </w:p>
    <w:p>
      <w:pPr>
        <w:pStyle w:val="Heading3"/>
        <w:keepNext/>
        <w:spacing w:after="110" w:before="280"/>
      </w:pPr>
      <w:r>
        <w:rPr>
          <w:rFonts w:ascii="Arial" w:cs="Arial" w:eastAsia="Arial" w:hAnsi="Arial"/>
          <w:b/>
          <w:bCs/>
          <w:color w:val="1A1A1A"/>
          <w:sz w:val="22"/>
          <w:szCs w:val="22"/>
          <w:lang w:val="es-AR"/>
        </w:rPr>
        <w:t xml:space="preserve">4.2 Código de sucursal</w:t>
      </w:r>
    </w:p>
    <w:p>
      <w:pPr>
        <w:spacing w:after="120" w:line="280"/>
        <w:jc w:val="both"/>
      </w:pPr>
      <w:r>
        <w:rPr>
          <w:rFonts w:ascii="Arial" w:cs="Arial" w:eastAsia="Arial" w:hAnsi="Arial"/>
          <w:color w:val="1A1A1A"/>
          <w:sz w:val="22"/>
          <w:szCs w:val="22"/>
          <w:lang w:val="es-AR"/>
        </w:rPr>
        <w:t xml:space="preserve">Rango válido </w:t>
      </w:r>
      <w:r>
        <w:rPr>
          <w:rFonts w:ascii="Consolas" w:cs="Consolas" w:eastAsia="Consolas" w:hAnsi="Consolas"/>
          <w:color w:val="1A1A1A"/>
          <w:sz w:val="20"/>
          <w:szCs w:val="20"/>
          <w:lang w:val="es-AR"/>
        </w:rPr>
        <w:t xml:space="preserve">[1000, 9999]</w:t>
      </w:r>
      <w:r>
        <w:rPr>
          <w:rFonts w:ascii="Arial" w:cs="Arial" w:eastAsia="Arial" w:hAnsi="Arial"/>
          <w:color w:val="1A1A1A"/>
          <w:sz w:val="22"/>
          <w:szCs w:val="22"/>
          <w:lang w:val="es-AR"/>
        </w:rPr>
        <w:t xml:space="preserve">. El campo es obligatorio: a diferencia del código del banco, el enunciado no admite dejarlo vacío.</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1157"/>
        <w:gridCol w:w="2506"/>
        <w:gridCol w:w="1638"/>
        <w:gridCol w:w="3470"/>
      </w:tblGrid>
      <w:tr>
        <w:trPr>
          <w:cantSplit/>
          <w:tblHeader/>
        </w:trPr>
        <w:tc>
          <w:tcPr>
            <w:tcW w:type="dxa" w:w="86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w:t>
            </w:r>
          </w:p>
        </w:tc>
        <w:tc>
          <w:tcPr>
            <w:tcW w:type="dxa" w:w="115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Partición</w:t>
            </w:r>
          </w:p>
        </w:tc>
        <w:tc>
          <w:tcPr>
            <w:tcW w:type="dxa" w:w="2506"/>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Criterio de límite</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Entrada</w:t>
            </w:r>
          </w:p>
        </w:tc>
        <w:tc>
          <w:tcPr>
            <w:tcW w:type="dxa" w:w="3470"/>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+ 1 (a+1)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1001</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− 1 (b−1)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9998</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(b)</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inferior − 1 (a−1), primer dígito 0</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0999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debe ser de 4 dígitos y el primero mayor que 0"</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Extremo inferior de la partición inválida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debe ser de 4 dígitos y el primero mayor que 0"</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máxima con menos de 4 dígitos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debe ser de 4 dígitos y el primero mayor que 0"</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Límite superior + 1 (b+1)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debe ser de 4 dígitos y el primero mayor que 0"</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Ausencia total de dato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es obligatorio"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Simétrico negativo del límite inferior</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código de sucursal debe ser de 4 dígitos y el primero mayor que 0"</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Un solo carácter no numérico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1B34</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Un solo carácter especial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12#4</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bl>
    <w:p>
      <w:pPr>
        <w:spacing w:after="160"/>
      </w:pPr>
    </w:p>
    <w:p>
      <w:pPr>
        <w:pStyle w:val="Heading3"/>
        <w:keepNext/>
        <w:spacing w:after="110" w:before="280"/>
      </w:pPr>
      <w:r>
        <w:rPr>
          <w:rFonts w:ascii="Arial" w:cs="Arial" w:eastAsia="Arial" w:hAnsi="Arial"/>
          <w:b/>
          <w:bCs/>
          <w:color w:val="1A1A1A"/>
          <w:sz w:val="22"/>
          <w:szCs w:val="22"/>
          <w:lang w:val="es-AR"/>
        </w:rPr>
        <w:t xml:space="preserve">4.3 Número de cuenta</w:t>
      </w:r>
    </w:p>
    <w:p>
      <w:pPr>
        <w:spacing w:after="120" w:line="280"/>
        <w:jc w:val="both"/>
      </w:pPr>
      <w:r>
        <w:rPr>
          <w:rFonts w:ascii="Arial" w:cs="Arial" w:eastAsia="Arial" w:hAnsi="Arial"/>
          <w:color w:val="1A1A1A"/>
          <w:sz w:val="22"/>
          <w:szCs w:val="22"/>
          <w:lang w:val="es-AR"/>
        </w:rPr>
        <w:t xml:space="preserve">Acá el límite no es un rango de valores sino la longitud: exactamente 5 dígitos. Se prueban las longitudes 4, 5 y 6, y dentro de la partición válida los valores extremos que puede tomar una cadena de 5 dígitos.</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1157"/>
        <w:gridCol w:w="2506"/>
        <w:gridCol w:w="1638"/>
        <w:gridCol w:w="3470"/>
      </w:tblGrid>
      <w:tr>
        <w:trPr>
          <w:cantSplit/>
          <w:tblHeader/>
        </w:trPr>
        <w:tc>
          <w:tcPr>
            <w:tcW w:type="dxa" w:w="86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w:t>
            </w:r>
          </w:p>
        </w:tc>
        <w:tc>
          <w:tcPr>
            <w:tcW w:type="dxa" w:w="115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Partición</w:t>
            </w:r>
          </w:p>
        </w:tc>
        <w:tc>
          <w:tcPr>
            <w:tcW w:type="dxa" w:w="2506"/>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Criterio de límite</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Entrada</w:t>
            </w:r>
          </w:p>
        </w:tc>
        <w:tc>
          <w:tcPr>
            <w:tcW w:type="dxa" w:w="3470"/>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valor mínimo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00000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mínimo + 1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00001</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máximo − 1</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99998</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valor máximo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99999</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− 1 (un dígito de menos)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1234</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número de cuenta debe tener 5 dígitos"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+ 1 (un dígito de más)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123456</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número de cuenta debe tener 5 dígitos"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0</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"El número de cuenta es obligatorio"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un carácter no numérico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1234A</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un carácter especial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1234#</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Signo negativo ocupando una posición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−1234</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"Ingrese únicamente números"</w:t>
            </w:r>
          </w:p>
        </w:tc>
      </w:tr>
    </w:tbl>
    <w:p>
      <w:pPr>
        <w:spacing w:after="160"/>
      </w:pPr>
    </w:p>
    <w:p>
      <w:pPr>
        <w:pStyle w:val="Heading3"/>
        <w:keepNext/>
        <w:spacing w:after="110" w:before="280"/>
      </w:pPr>
      <w:r>
        <w:rPr>
          <w:rFonts w:ascii="Arial" w:cs="Arial" w:eastAsia="Arial" w:hAnsi="Arial"/>
          <w:b/>
          <w:bCs/>
          <w:color w:val="1A1A1A"/>
          <w:sz w:val="22"/>
          <w:szCs w:val="22"/>
          <w:lang w:val="es-AR"/>
        </w:rPr>
        <w:t xml:space="preserve">4.4 Clave personal</w:t>
      </w:r>
    </w:p>
    <w:p>
      <w:pPr>
        <w:spacing w:after="120" w:line="280"/>
        <w:jc w:val="both"/>
      </w:pPr>
      <w:r>
        <w:rPr>
          <w:rFonts w:ascii="Arial" w:cs="Arial" w:eastAsia="Arial" w:hAnsi="Arial"/>
          <w:color w:val="1A1A1A"/>
          <w:sz w:val="22"/>
          <w:szCs w:val="22"/>
          <w:lang w:val="es-AR"/>
        </w:rPr>
        <w:t xml:space="preserve">Dos límites conviven en este campo: la longitud (exactamente 5) y el conjunto de caracteres admitidos (alfanuméricos). Se recorren ambos.</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1157"/>
        <w:gridCol w:w="2506"/>
        <w:gridCol w:w="1638"/>
        <w:gridCol w:w="3470"/>
      </w:tblGrid>
      <w:tr>
        <w:trPr>
          <w:cantSplit/>
          <w:tblHeader/>
        </w:trPr>
        <w:tc>
          <w:tcPr>
            <w:tcW w:type="dxa" w:w="86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w:t>
            </w:r>
          </w:p>
        </w:tc>
        <w:tc>
          <w:tcPr>
            <w:tcW w:type="dxa" w:w="115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Partición</w:t>
            </w:r>
          </w:p>
        </w:tc>
        <w:tc>
          <w:tcPr>
            <w:tcW w:type="dxa" w:w="2506"/>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Criterio de límite</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Entrada</w:t>
            </w:r>
          </w:p>
        </w:tc>
        <w:tc>
          <w:tcPr>
            <w:tcW w:type="dxa" w:w="3470"/>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mezcla de letras y dígitos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A1b2C</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Extremo del dominio: solo dígitos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00000</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Extremo del dominio: solo letras minúsculas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aaaaa</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Extremo del dominio: solo letras mayúsculas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ZZZZZ</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procesa la orden</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− 1 (un carácter de menos)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A1b2</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debe tener 5 posiciones alfanuméricas"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+ 1 (un carácter de más)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A1b2C3</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debe tener 5 posiciones alfanuméricas"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0</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es obligatoria"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un carácter especial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A1b2#</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admite solo letras y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un espacio intermedio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 2C</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admite solo letras y números"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Longitud correcta, una letra acentuada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A1b2é</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"La clave personal admite solo letras y números"</w:t>
            </w:r>
          </w:p>
        </w:tc>
      </w:tr>
    </w:tbl>
    <w:p>
      <w:pPr>
        <w:spacing w:after="160"/>
      </w:pPr>
    </w:p>
    <w:p>
      <w:pPr>
        <w:pStyle w:val="Heading3"/>
        <w:keepNext/>
        <w:spacing w:after="110" w:before="280"/>
      </w:pPr>
      <w:r>
        <w:rPr>
          <w:rFonts w:ascii="Arial" w:cs="Arial" w:eastAsia="Arial" w:hAnsi="Arial"/>
          <w:b/>
          <w:bCs/>
          <w:color w:val="1A1A1A"/>
          <w:sz w:val="22"/>
          <w:szCs w:val="22"/>
          <w:lang w:val="es-AR"/>
        </w:rPr>
        <w:t xml:space="preserve">4.5 Orden</w:t>
      </w:r>
    </w:p>
    <w:p>
      <w:pPr>
        <w:spacing w:after="120" w:line="280"/>
        <w:jc w:val="both"/>
      </w:pPr>
      <w:r>
        <w:rPr>
          <w:rFonts w:ascii="Arial" w:cs="Arial" w:eastAsia="Arial" w:hAnsi="Arial"/>
          <w:color w:val="1A1A1A"/>
          <w:sz w:val="22"/>
          <w:szCs w:val="22"/>
          <w:lang w:val="es-AR"/>
        </w:rPr>
        <w:t xml:space="preserve">Campo alfanumérico con tres valores admitidos y ningún orden numérico que recorrer. Se hace un caso por cada valor válido, y los "límites" son las variantes mínimamente distintas de esos valores: son las que más errores destapan, porque suelen surgir de comparaciones de cadenas mal hechas.</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1157"/>
        <w:gridCol w:w="2506"/>
        <w:gridCol w:w="1638"/>
        <w:gridCol w:w="3470"/>
      </w:tblGrid>
      <w:tr>
        <w:trPr>
          <w:cantSplit/>
          <w:tblHeader/>
        </w:trPr>
        <w:tc>
          <w:tcPr>
            <w:tcW w:type="dxa" w:w="86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w:t>
            </w:r>
          </w:p>
        </w:tc>
        <w:tc>
          <w:tcPr>
            <w:tcW w:type="dxa" w:w="115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Partición</w:t>
            </w:r>
          </w:p>
        </w:tc>
        <w:tc>
          <w:tcPr>
            <w:tcW w:type="dxa" w:w="2506"/>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Criterio de límite</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Entrada</w:t>
            </w:r>
          </w:p>
        </w:tc>
        <w:tc>
          <w:tcPr>
            <w:tcW w:type="dxa" w:w="3470"/>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admitido, escrito exacto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Talonario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Se entrega el talonario de cheques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admitido, escrito exacto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Movimientos</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Se entregan los movimientos del mes en curso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PV3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Ausencia de valor: comportamiento por defecto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(en blanco)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Se entregan los dos documentos: talonario y movimientos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válido en minúsculas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talonario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 no reconocida. Valores admitidos: Talonario, Movimientos o en blanco"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válido con un carácter de más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Talonarios</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 no reconocida. Valores admitidos: Talonario, Movimientos o en blanco"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51</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válido con un carácter de menos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Movimiento</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 no reconocida. Valores admitidos: Talonario, Movimientos o en blanco"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Valor válido con un espacio al final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Talonario_</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 no reconocida. Valores admitidos: Talonario, Movimientos o en blanco"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53</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PI1</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Cadena ajena al conjunto admitido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Transferencia</w:t>
            </w:r>
          </w:p>
        </w:tc>
        <w:tc>
          <w:tcPr>
            <w:tcW w:type="dxa" w:w="3470"/>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 no reconocida. Valores admitidos: Talonario, Movimientos o en blanco"</w:t>
            </w:r>
          </w:p>
        </w:tc>
      </w:tr>
    </w:tbl>
    <w:p>
      <w:pPr>
        <w:spacing w:after="160"/>
      </w:pPr>
    </w:p>
    <w:p>
      <w:pPr>
        <w:spacing w:after="120" w:line="280"/>
        <w:jc w:val="both"/>
      </w:pPr>
      <w:r>
        <w:rPr>
          <w:rFonts w:ascii="Arial" w:cs="Arial" w:eastAsia="Arial" w:hAnsi="Arial"/>
          <w:color w:val="1A1A1A"/>
          <w:sz w:val="22"/>
          <w:szCs w:val="22"/>
          <w:lang w:val="es-AR"/>
        </w:rPr>
        <w:t xml:space="preserve">En el caso 52 el guion bajo representa un espacio en blanco al final de la cadena. Si la aplicación recorta los espacios antes de comparar, la salida esperada pasa a ser la del caso 46; el caso sirve justamente para dejar documentado cuál de los dos comportamientos implementa el programa.</w:t>
      </w:r>
    </w:p>
    <w:p>
      <w:pPr>
        <w:pStyle w:val="Heading2"/>
        <w:keepNext/>
        <w:spacing w:after="120" w:before="300"/>
      </w:pPr>
      <w:r>
        <w:rPr>
          <w:rFonts w:ascii="Arial" w:cs="Arial" w:eastAsia="Arial" w:hAnsi="Arial"/>
          <w:b/>
          <w:bCs/>
          <w:color w:val="1A1A1A"/>
          <w:spacing w:val="18"/>
          <w:sz w:val="21"/>
          <w:szCs w:val="21"/>
          <w:lang w:val="es-AR"/>
        </w:rPr>
        <w:t xml:space="preserve">5. CASO COMBINADO EN LOS LÍMITES</w:t>
      </w:r>
    </w:p>
    <w:p>
      <w:pPr>
        <w:spacing w:after="120" w:line="280"/>
        <w:jc w:val="both"/>
      </w:pPr>
      <w:r>
        <w:rPr>
          <w:rFonts w:ascii="Arial" w:cs="Arial" w:eastAsia="Arial" w:hAnsi="Arial"/>
          <w:color w:val="1A1A1A"/>
          <w:sz w:val="22"/>
          <w:szCs w:val="22"/>
          <w:lang w:val="es-AR"/>
        </w:rPr>
        <w:t xml:space="preserve">Los casos anteriores varían un atributo por vez. Conviene agregar dos casos que combinen los extremos de todos los campos a la vez: los errores de desbordamiento y de concatenación de campos aparecen cuando todas las entradas están simultáneamente en su valor mínimo o máximo.</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867"/>
        <w:gridCol w:w="2024"/>
        <w:gridCol w:w="1157"/>
        <w:gridCol w:w="1157"/>
        <w:gridCol w:w="1157"/>
        <w:gridCol w:w="1157"/>
        <w:gridCol w:w="2119"/>
      </w:tblGrid>
      <w:tr>
        <w:trPr>
          <w:cantSplit/>
          <w:tblHeader/>
        </w:trPr>
        <w:tc>
          <w:tcPr>
            <w:tcW w:type="dxa" w:w="86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Caso</w:t>
            </w:r>
          </w:p>
        </w:tc>
        <w:tc>
          <w:tcPr>
            <w:tcW w:type="dxa" w:w="2024"/>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Criterio</w:t>
            </w:r>
          </w:p>
        </w:tc>
        <w:tc>
          <w:tcPr>
            <w:tcW w:type="dxa" w:w="115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Banco</w:t>
            </w:r>
          </w:p>
        </w:tc>
        <w:tc>
          <w:tcPr>
            <w:tcW w:type="dxa" w:w="115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Sucursal</w:t>
            </w:r>
          </w:p>
        </w:tc>
        <w:tc>
          <w:tcPr>
            <w:tcW w:type="dxa" w:w="115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Cuenta</w:t>
            </w:r>
          </w:p>
        </w:tc>
        <w:tc>
          <w:tcPr>
            <w:tcW w:type="dxa" w:w="1157"/>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Clave</w:t>
            </w:r>
          </w:p>
        </w:tc>
        <w:tc>
          <w:tcPr>
            <w:tcW w:type="dxa" w:w="2119"/>
            <w:shd w:fill="F4F5F6" w:color="auto" w:val="clear"/>
            <w:tcMar>
              <w:top w:type="dxa" w:w="90"/>
              <w:left w:type="dxa" w:w="120"/>
              <w:bottom w:type="dxa" w:w="90"/>
              <w:right w:type="dxa" w:w="120"/>
            </w:tcMar>
            <w:vAlign w:val="center"/>
          </w:tcPr>
          <w:p>
            <w:pPr>
              <w:keepNext/>
              <w:suppressAutoHyphens/>
              <w:spacing w:after="0" w:before="0" w:line="252"/>
              <w:jc w:val="left"/>
            </w:pPr>
            <w:r>
              <w:rPr>
                <w:rFonts w:ascii="Arial" w:cs="Arial" w:eastAsia="Arial" w:hAnsi="Arial"/>
                <w:b/>
                <w:bCs/>
                <w:color w:val="1A1A1A"/>
                <w:sz w:val="18"/>
                <w:szCs w:val="18"/>
                <w:lang w:val="es-AR"/>
              </w:rPr>
              <w:t xml:space="preserve">Salida esperada</w:t>
            </w:r>
          </w:p>
        </w:tc>
      </w:tr>
      <w:tr>
        <w:trPr>
          <w:cantSplit/>
          <w:tblHeader w:val="false"/>
        </w:trPr>
        <w:tc>
          <w:tcPr>
            <w:tcW w:type="dxa" w:w="86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54</w:t>
            </w:r>
          </w:p>
        </w:tc>
        <w:tc>
          <w:tcPr>
            <w:tcW w:type="dxa" w:w="2024"/>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Todos los campos en su límite inferior, orden en blanco</w:t>
            </w:r>
          </w:p>
        </w:tc>
        <w:tc>
          <w:tcPr>
            <w:tcW w:type="dxa" w:w="115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200</w:t>
            </w:r>
          </w:p>
        </w:tc>
        <w:tc>
          <w:tcPr>
            <w:tcW w:type="dxa" w:w="115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1000</w:t>
            </w:r>
          </w:p>
        </w:tc>
        <w:tc>
          <w:tcPr>
            <w:tcW w:type="dxa" w:w="115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00000</w:t>
            </w:r>
          </w:p>
        </w:tc>
        <w:tc>
          <w:tcPr>
            <w:tcW w:type="dxa" w:w="1157"/>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00000</w:t>
            </w:r>
          </w:p>
        </w:tc>
        <w:tc>
          <w:tcPr>
            <w:tcW w:type="dxa" w:w="2119"/>
            <w:tcMar>
              <w:top w:type="dxa" w:w="90"/>
              <w:left w:type="dxa" w:w="120"/>
              <w:bottom w:type="dxa" w:w="90"/>
              <w:right w:type="dxa" w:w="120"/>
            </w:tcMar>
            <w:vAlign w:val="top"/>
          </w:tcPr>
          <w:p>
            <w:pPr>
              <w:keepNext/>
              <w:suppressAutoHyphens/>
              <w:spacing w:after="0" w:before="0" w:line="252"/>
              <w:jc w:val="left"/>
            </w:pPr>
            <w:r>
              <w:rPr>
                <w:rFonts w:ascii="Arial" w:cs="Arial" w:eastAsia="Arial" w:hAnsi="Arial"/>
                <w:color w:val="1A1A1A"/>
                <w:sz w:val="18"/>
                <w:szCs w:val="18"/>
                <w:lang w:val="es-AR"/>
              </w:rPr>
              <w:t xml:space="preserve">Operación aceptada, se entregan los dos documentos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55</w:t>
            </w:r>
          </w:p>
        </w:tc>
        <w:tc>
          <w:tcPr>
            <w:tcW w:type="dxa" w:w="2024"/>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Todos los campos en su límite superior, orden "Movimientos"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99999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ZZZZZ</w:t>
            </w:r>
          </w:p>
        </w:tc>
        <w:tc>
          <w:tcPr>
            <w:tcW w:type="dxa" w:w="211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Operación aceptada, se entregan los movimientos del mes</w:t>
            </w:r>
          </w:p>
        </w:tc>
      </w:tr>
    </w:tbl>
    <w:p>
      <w:pPr>
        <w:spacing w:after="160"/>
      </w:pPr>
    </w:p>
    <w:p>
      <w:pPr>
        <w:pStyle w:val="Heading2"/>
        <w:keepNext/>
        <w:spacing w:after="120" w:before="300"/>
      </w:pPr>
      <w:r>
        <w:rPr>
          <w:rFonts w:ascii="Arial" w:cs="Arial" w:eastAsia="Arial" w:hAnsi="Arial"/>
          <w:b/>
          <w:bCs/>
          <w:color w:val="1A1A1A"/>
          <w:spacing w:val="18"/>
          <w:sz w:val="21"/>
          <w:szCs w:val="21"/>
          <w:lang w:val="es-AR"/>
        </w:rPr>
        <w:t xml:space="preserve">6. RESUMEN</w:t>
      </w:r>
    </w:p>
    <w:tbl>
      <w:tblPr>
        <w:tblW w:type="dxa" w:w="9638"/>
        <w:tblBorders>
          <w:top w:val="single" w:color="C7CBCF" w:sz="4"/>
          <w:left w:val="single" w:color="E2E5E8" w:sz="2"/>
          <w:bottom w:val="single" w:color="C7CBCF" w:sz="4"/>
          <w:right w:val="single" w:color="E2E5E8" w:sz="2"/>
          <w:insideH w:val="single" w:color="C7CBCF" w:sz="2"/>
          <w:insideV w:val="single" w:color="E2E5E8" w:sz="2"/>
        </w:tblBorders>
        <w:tblLayout w:type="fixed"/>
      </w:tblPr>
      <w:tblGrid>
        <w:gridCol w:w="3277"/>
        <w:gridCol w:w="1542"/>
        <w:gridCol w:w="1542"/>
        <w:gridCol w:w="1638"/>
        <w:gridCol w:w="1639"/>
      </w:tblGrid>
      <w:tr>
        <w:trPr>
          <w:cantSplit/>
          <w:tblHeader/>
        </w:trPr>
        <w:tc>
          <w:tcPr>
            <w:tcW w:type="dxa" w:w="3277"/>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Atributo</w:t>
            </w:r>
          </w:p>
        </w:tc>
        <w:tc>
          <w:tcPr>
            <w:tcW w:type="dxa" w:w="1542"/>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Válidos</w:t>
            </w:r>
          </w:p>
        </w:tc>
        <w:tc>
          <w:tcPr>
            <w:tcW w:type="dxa" w:w="1542"/>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Inválidos</w:t>
            </w:r>
          </w:p>
        </w:tc>
        <w:tc>
          <w:tcPr>
            <w:tcW w:type="dxa" w:w="1638"/>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Total</w:t>
            </w:r>
          </w:p>
        </w:tc>
        <w:tc>
          <w:tcPr>
            <w:tcW w:type="dxa" w:w="1639"/>
            <w:shd w:fill="F4F5F6" w:color="auto" w:val="clear"/>
            <w:tcMar>
              <w:top w:type="dxa" w:w="90"/>
              <w:left w:type="dxa" w:w="120"/>
              <w:bottom w:type="dxa" w:w="90"/>
              <w:right w:type="dxa" w:w="120"/>
            </w:tcMar>
            <w:vAlign w:val="center"/>
          </w:tcPr>
          <w:p>
            <w:pPr>
              <w:keepNext w:val="false"/>
              <w:suppressAutoHyphens/>
              <w:spacing w:after="0" w:before="0" w:line="252"/>
              <w:jc w:val="left"/>
            </w:pPr>
            <w:r>
              <w:rPr>
                <w:rFonts w:ascii="Arial" w:cs="Arial" w:eastAsia="Arial" w:hAnsi="Arial"/>
                <w:b/>
                <w:bCs/>
                <w:color w:val="1A1A1A"/>
                <w:sz w:val="18"/>
                <w:szCs w:val="18"/>
                <w:lang w:val="es-AR"/>
              </w:rPr>
              <w:t xml:space="preserve">Casos</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Código del banco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8</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13</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 a 13</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Código de sucursal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8</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12</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14 a 25</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Número de cuenta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6</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26 a 35</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Clave personal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6</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10</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36 a 45</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Orden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8</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46 a 53</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Combinados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0</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2</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color w:val="1A1A1A"/>
                <w:sz w:val="18"/>
                <w:szCs w:val="18"/>
                <w:lang w:val="es-AR"/>
              </w:rPr>
              <w:t xml:space="preserve">54 y 55</w:t>
            </w:r>
          </w:p>
        </w:tc>
      </w:tr>
      <w:tr>
        <w:trPr>
          <w:cantSplit/>
          <w:tblHeader w:val="false"/>
        </w:trPr>
        <w:tc>
          <w:tcPr>
            <w:tcW w:type="dxa" w:w="3277"/>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b/>
                <w:bCs/>
                <w:color w:val="1A1A1A"/>
                <w:sz w:val="18"/>
                <w:szCs w:val="18"/>
                <w:lang w:val="es-AR"/>
              </w:rPr>
              <w:t xml:space="preserve">Total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b/>
                <w:bCs/>
                <w:color w:val="1A1A1A"/>
                <w:sz w:val="18"/>
                <w:szCs w:val="18"/>
                <w:lang w:val="es-AR"/>
              </w:rPr>
              <w:t xml:space="preserve">22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b/>
                <w:bCs/>
                <w:color w:val="1A1A1A"/>
                <w:sz w:val="18"/>
                <w:szCs w:val="18"/>
                <w:lang w:val="es-AR"/>
              </w:rPr>
              <w:t xml:space="preserve">33</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b/>
                <w:bCs/>
                <w:color w:val="1A1A1A"/>
                <w:sz w:val="18"/>
                <w:szCs w:val="18"/>
                <w:lang w:val="es-AR"/>
              </w:rPr>
              <w:t xml:space="preserve">55</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Arial" w:cs="Arial" w:eastAsia="Arial" w:hAnsi="Arial"/>
                <w:sz w:val="18"/>
                <w:szCs w:val="18"/>
                <w:lang w:val="es-AR"/>
              </w:rPr>
              <w:t xml:space="preserve"/>
            </w:r>
          </w:p>
        </w:tc>
      </w:tr>
    </w:tbl>
    <w:p>
      <w:pPr>
        <w:spacing w:after="160"/>
      </w:pPr>
    </w:p>
    <w:p>
      <w:pPr>
        <w:spacing w:after="120" w:line="280"/>
        <w:jc w:val="both"/>
      </w:pPr>
      <w:r>
        <w:rPr>
          <w:rFonts w:ascii="Arial" w:cs="Arial" w:eastAsia="Arial" w:hAnsi="Arial"/>
          <w:color w:val="1A1A1A"/>
          <w:sz w:val="22"/>
          <w:szCs w:val="22"/>
          <w:lang w:val="es-AR"/>
        </w:rPr>
        <w:t xml:space="preserve">Todos estos casos quedan documentados y se conservan: al corregir cualquier error detectado se vuelven a ejecutar completos como </w:t>
      </w:r>
      <w:r>
        <w:rPr>
          <w:rFonts w:ascii="Arial" w:cs="Arial" w:eastAsia="Arial" w:hAnsi="Arial"/>
          <w:b/>
          <w:bCs/>
          <w:color w:val="1A1A1A"/>
          <w:sz w:val="22"/>
          <w:szCs w:val="22"/>
          <w:lang w:val="es-AR"/>
        </w:rPr>
        <w:t xml:space="preserve">pruebas de regresión</w:t>
      </w:r>
      <w:r>
        <w:rPr>
          <w:rFonts w:ascii="Arial" w:cs="Arial" w:eastAsia="Arial" w:hAnsi="Arial"/>
          <w:color w:val="1A1A1A"/>
          <w:sz w:val="22"/>
          <w:szCs w:val="22"/>
          <w:lang w:val="es-AR"/>
        </w:rPr>
        <w:t xml:space="preserve">, para verificar que la corrección no rompió nada que antes funcionaba.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2026-08-20T13:52:21.546Z</dcterms:created>
  <dcterms:modified xsi:type="dcterms:W3CDTF">2026-08-20T13:52:21.548Z</dcterms:modified>
</cp:coreProperties>
</file>

<file path=docProps/custom.xml><?xml version="1.0" encoding="utf-8"?>
<Properties xmlns="http://schemas.openxmlformats.org/officeDocument/2006/custom-properties" xmlns:vt="http://schemas.openxmlformats.org/officeDocument/2006/docPropsVTypes"/>
</file>