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220" w:before="380"/>
        <w:jc w:val="center"/>
      </w:pPr>
      <w:r>
        <w:rPr>
          <w:rFonts w:ascii="Lexend" w:cs="Lexend" w:eastAsia="Lexend" w:hAnsi="Lexend"/>
          <w:b/>
          <w:bCs/>
          <w:color w:val="1A1A1A"/>
          <w:spacing w:val="30"/>
          <w:sz w:val="25"/>
          <w:szCs w:val="25"/>
          <w:lang w:val="es-AR"/>
        </w:rPr>
        <w:t xml:space="preserve">GRUPO 34.584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Integrantes: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Bonadeo Juan · Casermeiro Gonzalo · Conti Stéfano · Dana Agustín · Parmigiani Luis · Redaelli Martín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Necesidad central: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que el alumno pueda inscribirse a materias en línea, dentro de las fechas oficiales, y sepa en el momento si quedó inscripto o por qué no.</w:t>
      </w:r>
    </w:p>
    <w:p>
      <w:pPr>
        <w:pStyle w:val="Heading1"/>
        <w:keepNext/>
        <w:spacing w:after="220" w:before="380"/>
        <w:jc w:val="center"/>
      </w:pPr>
      <w:r>
        <w:rPr>
          <w:rFonts w:ascii="Lexend" w:cs="Lexend" w:eastAsia="Lexend" w:hAnsi="Lexend"/>
          <w:b/>
          <w:bCs/>
          <w:color w:val="1A1A1A"/>
          <w:spacing w:val="30"/>
          <w:sz w:val="25"/>
          <w:szCs w:val="25"/>
          <w:lang w:val="es-AR"/>
        </w:rPr>
        <w:t xml:space="preserve">PARTE A – DESARROLLO DE REQUISITOS (ÁREA RD)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SG1 · INTERESADOS, NECESIDADES Y REQUISITOS DEL CLIENTE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Interesados: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Alumnos · Secretaría Académica · Docentes y responsables de cátedra · Área de Sistemas · Autoridades.</w:t>
      </w:r>
    </w:p>
    <w:tbl>
      <w:tblPr>
        <w:tblW w:type="dxa" w:w="9638"/>
        <w:tblBorders>
          <w:top w:val="single" w:color="BFD3E6" w:sz="4"/>
          <w:left w:val="single" w:color="DCE7F2" w:sz="2"/>
          <w:bottom w:val="single" w:color="BFD3E6" w:sz="4"/>
          <w:right w:val="single" w:color="DCE7F2" w:sz="2"/>
          <w:insideH w:val="single" w:color="BFD3E6" w:sz="2"/>
          <w:insideV w:val="single" w:color="DCE7F2" w:sz="2"/>
        </w:tblBorders>
        <w:tblLayout w:type="fixed"/>
      </w:tblPr>
      <w:tblGrid>
        <w:gridCol w:w="3277"/>
        <w:gridCol w:w="3181"/>
        <w:gridCol w:w="3180"/>
      </w:tblGrid>
      <w:tr>
        <w:trPr>
          <w:cantSplit/>
          <w:tblHeader/>
        </w:trPr>
        <w:tc>
          <w:tcPr>
            <w:tcW w:type="dxa" w:w="3277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Lo que dijo el interesado</w:t>
            </w:r>
          </w:p>
        </w:tc>
        <w:tc>
          <w:tcPr>
            <w:tcW w:type="dxa" w:w="3181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Necesidad real</w:t>
            </w:r>
          </w:p>
        </w:tc>
        <w:tc>
          <w:tcPr>
            <w:tcW w:type="dxa" w:w="3180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Solución propuesta (no es requisito todavía)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"Quiero anotarme desde mi casa o el celular"</w:t>
            </w:r>
          </w:p>
        </w:tc>
        <w:tc>
          <w:tcPr>
            <w:tcW w:type="dxa" w:w="318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Inscribirse sin ir a la facultad</w:t>
            </w:r>
          </w:p>
        </w:tc>
        <w:tc>
          <w:tcPr>
            <w:tcW w:type="dxa" w:w="318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Portal web responsive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"Si la materia está llena, quiero quedar en lista de espera"</w:t>
            </w:r>
          </w:p>
        </w:tc>
        <w:tc>
          <w:tcPr>
            <w:tcW w:type="dxa" w:w="318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No perder un lugar que se libere</w:t>
            </w:r>
          </w:p>
        </w:tc>
        <w:tc>
          <w:tcPr>
            <w:tcW w:type="dxa" w:w="318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Lista de espera con notificaciones (no decidido para la 1ª versión)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"No duplicar datos sin definir cómo se sincronizan"</w:t>
            </w:r>
          </w:p>
        </w:tc>
        <w:tc>
          <w:tcPr>
            <w:tcW w:type="dxa" w:w="318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Que la información oficial siga en un solo lugar</w:t>
            </w:r>
          </w:p>
        </w:tc>
        <w:tc>
          <w:tcPr>
            <w:tcW w:type="dxa" w:w="318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Integración con el sistema académico existente</w:t>
            </w:r>
          </w:p>
        </w:tc>
      </w:tr>
    </w:tbl>
    <w:p>
      <w:pPr>
        <w:spacing w:after="160"/>
      </w:pP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RC1.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El alumno debe poder solicitar su inscripción a una comisión desde cualquier dispositivo con internet, durante el período oficial, viendo antes los días, horarios y cupos disponibles. El sistema debe informarle en la misma operación si la inscripción fue aceptada o el motivo del rechazo (correlatividad, cupo o fuera de fecha).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RC2.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Secretaría Académica debe poder configurar las fechas oficiales de inscripción y el cupo de cada comisión, y ninguna comisión debe superar el cupo configurado.</w:t>
      </w:r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Preguntas pendientes: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¿"Correlativa aprobada" significa final aprobado o regularidad? ¿Cambia según el plan de estudios? (Secretaría)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¿Qué excepciones de inscripción existen y quién las autoriza? (Secretaría)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¿Lista de espera, cambio de comisión y notificaciones entran en la primera versión? (Autoridades y Secretaría)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¿El sistema académico puede exponer una API? ¿En qué formato guarda los datos? (Sistemas)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Si el sistema académico no responde, ¿se rechaza la solicitud o queda pendiente? (Sistemas y Secretaría)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¿La cifra de 3.000 alumnos simultáneos en los primeros 30 minutos está medida? (Sistemas)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SG2 · REQUISITOS DEL PRODUCTO, FUNCIONES E INTERFAZ</w:t>
      </w:r>
    </w:p>
    <w:tbl>
      <w:tblPr>
        <w:tblW w:type="dxa" w:w="9638"/>
        <w:tblBorders>
          <w:top w:val="single" w:color="BFD3E6" w:sz="4"/>
          <w:left w:val="single" w:color="DCE7F2" w:sz="2"/>
          <w:bottom w:val="single" w:color="BFD3E6" w:sz="4"/>
          <w:right w:val="single" w:color="DCE7F2" w:sz="2"/>
          <w:insideH w:val="single" w:color="BFD3E6" w:sz="2"/>
          <w:insideV w:val="single" w:color="DCE7F2" w:sz="2"/>
        </w:tblBorders>
        <w:tblLayout w:type="fixed"/>
      </w:tblPr>
      <w:tblGrid>
        <w:gridCol w:w="771"/>
        <w:gridCol w:w="5494"/>
        <w:gridCol w:w="964"/>
        <w:gridCol w:w="2409"/>
      </w:tblGrid>
      <w:tr>
        <w:trPr>
          <w:cantSplit/>
          <w:tblHeader/>
        </w:trPr>
        <w:tc>
          <w:tcPr>
            <w:tcW w:type="dxa" w:w="771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ID</w:t>
            </w:r>
          </w:p>
        </w:tc>
        <w:tc>
          <w:tcPr>
            <w:tcW w:type="dxa" w:w="5494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Requisito del producto</w:t>
            </w:r>
          </w:p>
        </w:tc>
        <w:tc>
          <w:tcPr>
            <w:tcW w:type="dxa" w:w="964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Origen</w:t>
            </w:r>
          </w:p>
        </w:tc>
        <w:tc>
          <w:tcPr>
            <w:tcW w:type="dxa" w:w="2409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Función / componente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RP1</w:t>
            </w:r>
          </w:p>
        </w:tc>
        <w:tc>
          <w:tcPr>
            <w:tcW w:type="dxa" w:w="549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Autenticar al usuario y determinar su rol (alumno, Secretaría, docente)</w:t>
            </w:r>
          </w:p>
        </w:tc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RC1, RC2</w:t>
            </w:r>
          </w:p>
        </w:tc>
        <w:tc>
          <w:tcPr>
            <w:tcW w:type="dxa" w:w="240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Seguridad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RP2</w:t>
            </w:r>
          </w:p>
        </w:tc>
        <w:tc>
          <w:tcPr>
            <w:tcW w:type="dxa" w:w="549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Mostrar las comisiones (materia, días, horarios y cupo disponible) sólo de las materias que el alumno puede cursar</w:t>
            </w:r>
          </w:p>
        </w:tc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RC1</w:t>
            </w:r>
          </w:p>
        </w:tc>
        <w:tc>
          <w:tcPr>
            <w:tcW w:type="dxa" w:w="240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Consulta de oferta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RP3</w:t>
            </w:r>
          </w:p>
        </w:tc>
        <w:tc>
          <w:tcPr>
            <w:tcW w:type="dxa" w:w="549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Validar las correlatividades según el plan de estudios del alumno</w:t>
            </w:r>
          </w:p>
        </w:tc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RC1</w:t>
            </w:r>
          </w:p>
        </w:tc>
        <w:tc>
          <w:tcPr>
            <w:tcW w:type="dxa" w:w="240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Validaciones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RP4</w:t>
            </w:r>
          </w:p>
        </w:tc>
        <w:tc>
          <w:tcPr>
            <w:tcW w:type="dxa" w:w="549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Validar que la solicitud esté dentro del período oficial y que la comisión tenga cupo</w:t>
            </w:r>
          </w:p>
        </w:tc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RC1, RC2</w:t>
            </w:r>
          </w:p>
        </w:tc>
        <w:tc>
          <w:tcPr>
            <w:tcW w:type="dxa" w:w="240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Validaciones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RP5</w:t>
            </w:r>
          </w:p>
        </w:tc>
        <w:tc>
          <w:tcPr>
            <w:tcW w:type="dxa" w:w="549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Registrar la inscripción y descontar el cupo en una sola operación, sin sobrecupo aunque haya accesos simultáneos</w:t>
            </w:r>
          </w:p>
        </w:tc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RC1, RC2</w:t>
            </w:r>
          </w:p>
        </w:tc>
        <w:tc>
          <w:tcPr>
            <w:tcW w:type="dxa" w:w="240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Inscripciones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RP6</w:t>
            </w:r>
          </w:p>
        </w:tc>
        <w:tc>
          <w:tcPr>
            <w:tcW w:type="dxa" w:w="549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Informar el resultado: comprobante de inscripción o motivo del rechazo</w:t>
            </w:r>
          </w:p>
        </w:tc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RC1</w:t>
            </w:r>
          </w:p>
        </w:tc>
        <w:tc>
          <w:tcPr>
            <w:tcW w:type="dxa" w:w="240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Inscripciones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RP7</w:t>
            </w:r>
          </w:p>
        </w:tc>
        <w:tc>
          <w:tcPr>
            <w:tcW w:type="dxa" w:w="549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Alta, modificación y baja de períodos de inscripción y cupos por comisión (sólo Secretaría)</w:t>
            </w:r>
          </w:p>
        </w:tc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RC2</w:t>
            </w:r>
          </w:p>
        </w:tc>
        <w:tc>
          <w:tcPr>
            <w:tcW w:type="dxa" w:w="240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Configuración académica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RP8</w:t>
            </w:r>
          </w:p>
        </w:tc>
        <w:tc>
          <w:tcPr>
            <w:tcW w:type="dxa" w:w="549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Registrar cada solicitud: alumno, fecha y hora, validaciones realizadas y resultado</w:t>
            </w:r>
          </w:p>
        </w:tc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RC1</w:t>
            </w:r>
          </w:p>
        </w:tc>
        <w:tc>
          <w:tcPr>
            <w:tcW w:type="dxa" w:w="240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Auditoría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RP9</w:t>
            </w:r>
          </w:p>
        </w:tc>
        <w:tc>
          <w:tcPr>
            <w:tcW w:type="dxa" w:w="549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Atender 3.000 usuarios simultáneos con respuesta menor a 3 segundos (valor a validar)</w:t>
            </w:r>
          </w:p>
        </w:tc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RC1</w:t>
            </w:r>
          </w:p>
        </w:tc>
        <w:tc>
          <w:tcPr>
            <w:tcW w:type="dxa" w:w="240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Infraestructura</w:t>
            </w:r>
          </w:p>
        </w:tc>
      </w:tr>
    </w:tbl>
    <w:p>
      <w:pPr>
        <w:spacing w:after="160"/>
      </w:pP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RI1 – Interfaz con el sistema académico.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Origen: portal de inscripción. Destino: sistema académico. Datos: legajo, plan de estudios, materias aprobadas y regulares, comisión elegida y estado de la inscripción. Condiciones: el portal consulta la historia académica para validar (RP3) y envía cada inscripción aceptada. Si el sistema académico no responde, la solicitud queda "pendiente de confirmación" y se reintenta; nunca se confirma sin validar las correlatividades.</w:t>
      </w:r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Requisitos derivados de decisiones técnicas: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RD1.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El portal es web y responsive, para usarse desde computadora y celular sin instalar nada.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RD2.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Para no bloquear el sistema académico en la apertura, el portal consulta una copia de la oferta y los cupos que se sincroniza periódicamente, y envía las inscripciones al sistema académico mediante una cola.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SG3 · ESCENARIOS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Escenario normal – inscripción aceptada: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(1) el alumno ingresa y se autentica (RP1); (2) ve la oferta de comisiones (RP2); (3) elige una comisión; (4) el sistema valida período, cupo y correlatividades consultando el sistema académico (RP3, RP4, RI1); (5) registra la inscripción y descuenta el cupo (RP5); (6) muestra el comprobante (RP6) y registra la auditoría (RP8).</w:t>
      </w:r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Escenario alternativo / de error: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4a. Falta una correlativa: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el sistema rechaza la solicitud indicando qué materia falta, no descuenta cupo y registra la auditoría.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4b. El sistema académico no responde: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la solicitud queda pendiente; se le informa al alumno que se confirmará más tarde y se reintenta.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Secuencia de funciones: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Autenticación → Consulta de oferta → Validaciones → Registro de inscripción → Informe del resultado → Auditoría.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SG3 · AMBIGÜEDADES, CONFLICTOS, FACTIBILIDAD Y VALIDACIÓN</w:t>
      </w:r>
    </w:p>
    <w:tbl>
      <w:tblPr>
        <w:tblW w:type="dxa" w:w="9638"/>
        <w:tblBorders>
          <w:top w:val="single" w:color="BFD3E6" w:sz="4"/>
          <w:left w:val="single" w:color="DCE7F2" w:sz="2"/>
          <w:bottom w:val="single" w:color="BFD3E6" w:sz="4"/>
          <w:right w:val="single" w:color="DCE7F2" w:sz="2"/>
          <w:insideH w:val="single" w:color="BFD3E6" w:sz="2"/>
          <w:insideV w:val="single" w:color="DCE7F2" w:sz="2"/>
        </w:tblBorders>
        <w:tblLayout w:type="fixed"/>
      </w:tblPr>
      <w:tblGrid>
        <w:gridCol w:w="3470"/>
        <w:gridCol w:w="1542"/>
        <w:gridCol w:w="4626"/>
      </w:tblGrid>
      <w:tr>
        <w:trPr>
          <w:cantSplit/>
          <w:tblHeader/>
        </w:trPr>
        <w:tc>
          <w:tcPr>
            <w:tcW w:type="dxa" w:w="3470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Problema detectado</w:t>
            </w:r>
          </w:p>
        </w:tc>
        <w:tc>
          <w:tcPr>
            <w:tcW w:type="dxa" w:w="1542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Tipo</w:t>
            </w:r>
          </w:p>
        </w:tc>
        <w:tc>
          <w:tcPr>
            <w:tcW w:type="dxa" w:w="4626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Propuesta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"Correlativa aprobada": final aprobado o regularidad</w:t>
            </w:r>
          </w:p>
        </w:tc>
        <w:tc>
          <w:tcPr>
            <w:tcW w:type="dxa" w:w="154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Ambigüedad</w:t>
            </w:r>
          </w:p>
        </w:tc>
        <w:tc>
          <w:tcPr>
            <w:tcW w:type="dxa" w:w="462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Definirlo con Secretaría por plan de estudios y dejarlo configurable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"No admitir inscripciones sin requisitos" vs. "podemos autorizar excepciones"</w:t>
            </w:r>
          </w:p>
        </w:tc>
        <w:tc>
          <w:tcPr>
            <w:tcW w:type="dxa" w:w="154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Conflicto</w:t>
            </w:r>
          </w:p>
        </w:tc>
        <w:tc>
          <w:tcPr>
            <w:tcW w:type="dxa" w:w="462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La validación automática siempre se aplica; la excepción es un trámite manual de Secretaría, fuera del flujo automático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Confirmación inmediata vs. demoras del sistema académico</w:t>
            </w:r>
          </w:p>
        </w:tc>
        <w:tc>
          <w:tcPr>
            <w:tcW w:type="dxa" w:w="154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Compromiso entre atributos</w:t>
            </w:r>
          </w:p>
        </w:tc>
        <w:tc>
          <w:tcPr>
            <w:tcW w:type="dxa" w:w="462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Se prioriza la consistencia sobre la velocidad: estado "pendiente de confirmación"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3.000 usuarios simultáneos sin validar</w:t>
            </w:r>
          </w:p>
        </w:tc>
        <w:tc>
          <w:tcPr>
            <w:tcW w:type="dxa" w:w="154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Factibilidad técnica</w:t>
            </w:r>
          </w:p>
        </w:tc>
        <w:tc>
          <w:tcPr>
            <w:tcW w:type="dxa" w:w="462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Prueba de carga temprana sobre un prototipo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Plazo (próximo cuatrimestre) vs. alcance</w:t>
            </w:r>
          </w:p>
        </w:tc>
        <w:tc>
          <w:tcPr>
            <w:tcW w:type="dxa" w:w="154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Factibilidad de plazo</w:t>
            </w:r>
          </w:p>
        </w:tc>
        <w:tc>
          <w:tcPr>
            <w:tcW w:type="dxa" w:w="462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Primera versión sin lista de espera ni cambio de comisión</w:t>
            </w:r>
          </w:p>
        </w:tc>
      </w:tr>
    </w:tbl>
    <w:p>
      <w:pPr>
        <w:spacing w:after="160"/>
      </w:pP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Validación con los interesados: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prototipo navegable de consulta e inscripción revisado con alumnos y Secretaría; revisión de las reglas de correlatividad con Secretaría usando casos reales de alumnos; piloto con una carrera antes de la apertura general.</w:t>
      </w:r>
    </w:p>
    <w:p>
      <w:pPr>
        <w:pStyle w:val="Heading1"/>
        <w:keepNext/>
        <w:spacing w:after="220" w:before="380"/>
        <w:jc w:val="center"/>
      </w:pPr>
      <w:r>
        <w:rPr>
          <w:rFonts w:ascii="Lexend" w:cs="Lexend" w:eastAsia="Lexend" w:hAnsi="Lexend"/>
          <w:b/>
          <w:bCs/>
          <w:color w:val="1A1A1A"/>
          <w:spacing w:val="30"/>
          <w:sz w:val="25"/>
          <w:szCs w:val="25"/>
          <w:lang w:val="es-AR"/>
        </w:rPr>
        <w:t xml:space="preserve">PARTE B – GESTIÓN DE REQUISITOS (ÁREA REQM)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SP 1.1 · ENTENDIMIENTO</w:t>
      </w:r>
    </w:p>
    <w:tbl>
      <w:tblPr>
        <w:tblW w:type="dxa" w:w="9638"/>
        <w:tblBorders>
          <w:top w:val="single" w:color="BFD3E6" w:sz="4"/>
          <w:left w:val="single" w:color="DCE7F2" w:sz="2"/>
          <w:bottom w:val="single" w:color="BFD3E6" w:sz="4"/>
          <w:right w:val="single" w:color="DCE7F2" w:sz="2"/>
          <w:insideH w:val="single" w:color="BFD3E6" w:sz="2"/>
          <w:insideV w:val="single" w:color="DCE7F2" w:sz="2"/>
        </w:tblBorders>
        <w:tblLayout w:type="fixed"/>
      </w:tblPr>
      <w:tblGrid>
        <w:gridCol w:w="1157"/>
        <w:gridCol w:w="4626"/>
        <w:gridCol w:w="3855"/>
      </w:tblGrid>
      <w:tr>
        <w:trPr>
          <w:cantSplit/>
          <w:tblHeader/>
        </w:trPr>
        <w:tc>
          <w:tcPr>
            <w:tcW w:type="dxa" w:w="1157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RC</w:t>
            </w:r>
          </w:p>
        </w:tc>
        <w:tc>
          <w:tcPr>
            <w:tcW w:type="dxa" w:w="4626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Quién aclara</w:t>
            </w:r>
          </w:p>
        </w:tc>
        <w:tc>
          <w:tcPr>
            <w:tcW w:type="dxa" w:w="3855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Quién acepta</w:t>
            </w:r>
          </w:p>
        </w:tc>
      </w:tr>
      <w:tr>
        <w:trPr>
          <w:cantSplit/>
          <w:tblHeader w:val="false"/>
        </w:trPr>
        <w:tc>
          <w:tcPr>
            <w:tcW w:type="dxa" w:w="115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RC1</w:t>
            </w:r>
          </w:p>
        </w:tc>
        <w:tc>
          <w:tcPr>
            <w:tcW w:type="dxa" w:w="462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Alumnos (por medio del centro de estudiantes) y Secretaría Académica (reglas de inscripción)</w:t>
            </w:r>
          </w:p>
        </w:tc>
        <w:tc>
          <w:tcPr>
            <w:tcW w:type="dxa" w:w="3855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Secretaría Académica</w:t>
            </w:r>
          </w:p>
        </w:tc>
      </w:tr>
      <w:tr>
        <w:trPr>
          <w:cantSplit/>
          <w:tblHeader w:val="false"/>
        </w:trPr>
        <w:tc>
          <w:tcPr>
            <w:tcW w:type="dxa" w:w="115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RC2</w:t>
            </w:r>
          </w:p>
        </w:tc>
        <w:tc>
          <w:tcPr>
            <w:tcW w:type="dxa" w:w="462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Secretaría Académica</w:t>
            </w:r>
          </w:p>
        </w:tc>
        <w:tc>
          <w:tcPr>
            <w:tcW w:type="dxa" w:w="3855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Secretaría Académica y docentes (cupos de sus comisiones)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Pregunta 1: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¿"correlativa aprobada" es final aprobado o regularidad?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Respuesta a confirmar: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para cursar se exige regularidad y para rendir, final aprobado, según el plan. Confirma Secretaría.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Pregunta 2: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si el sistema académico no responde, ¿se confirma la inscripción?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Respuesta a confirmar: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no; queda pendiente y se confirma en menos de 1 hora. Confirman Secretaría y Sistemas.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SP 1.2 · COMPROMISO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Deben acordar la implementación: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Secretaría Académica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(reglas y cupos),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Área de Sistemas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(integración e infraestructura),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líder del proyecto y equipo de desarrollo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(esfuerzo y plazo) y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Autoridades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(alcance y presupuesto). El acuerdo queda registrado en una minuta firmada.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Impacto estimado: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RI1 es el de mayor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riesgo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porque la API del sistema académico no está confirmada: Sistemas se compromete a exponer los servicios antes del inicio del desarrollo. RP5 y RP9 suman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esfuerzo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por la concurrencia y requieren pruebas de carga. En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plazo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la primera versión llega al próximo cuatrimestre sólo si se deja afuera la lista de espera.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SP 1.3 · SOLICITUD DE CAMBIO</w:t>
      </w:r>
    </w:p>
    <w:tbl>
      <w:tblPr>
        <w:tblW w:type="dxa" w:w="9638"/>
        <w:tblBorders>
          <w:top w:val="single" w:color="BFD3E6" w:sz="4"/>
          <w:left w:val="single" w:color="DCE7F2" w:sz="2"/>
          <w:bottom w:val="single" w:color="BFD3E6" w:sz="4"/>
          <w:right w:val="single" w:color="DCE7F2" w:sz="2"/>
          <w:insideH w:val="single" w:color="BFD3E6" w:sz="2"/>
          <w:insideV w:val="single" w:color="DCE7F2" w:sz="2"/>
        </w:tblBorders>
        <w:tblLayout w:type="fixed"/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Campo</w:t>
            </w:r>
          </w:p>
        </w:tc>
        <w:tc>
          <w:tcPr>
            <w:tcW w:type="dxa" w:w="7518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Contenido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ID / solicitante</w:t>
            </w:r>
          </w:p>
        </w:tc>
        <w:tc>
          <w:tcPr>
            <w:tcW w:type="dxa" w:w="751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SC-01 · Centro de estudiantes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Descripción</w:t>
            </w:r>
          </w:p>
        </w:tc>
        <w:tc>
          <w:tcPr>
            <w:tcW w:type="dxa" w:w="751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Agregar lista de espera por comisión y notificar al alumno cuando se libere un cupo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Justificación</w:t>
            </w:r>
          </w:p>
        </w:tc>
        <w:tc>
          <w:tcPr>
            <w:tcW w:type="dxa" w:w="751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Disminuir consultas y reclamos en Secretaría, un objetivo planteado por las Autoridades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Análisis de impacto</w:t>
            </w:r>
          </w:p>
        </w:tc>
        <w:tc>
          <w:tcPr>
            <w:tcW w:type="dxa" w:w="751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Nuevos RP (gestionar la lista de espera, notificar al alumno); modifica RP5 (al liberarse un cupo se ofrece al primero de la lista); nueva interfaz con el servicio de correo; nuevos casos de prueba; alrededor de 2 semanas más de esfuerzo; riesgo para el plazo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Decisión</w:t>
            </w:r>
          </w:p>
        </w:tc>
        <w:tc>
          <w:tcPr>
            <w:tcW w:type="dxa" w:w="751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Aprobada para la segunda versión (decide el comité de cambios: Secretaría, Sistemas y líder del proyecto). Estado: diferida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SP 1.4 · TRAZABILIDAD</w:t>
      </w:r>
    </w:p>
    <w:tbl>
      <w:tblPr>
        <w:tblW w:type="dxa" w:w="9638"/>
        <w:tblBorders>
          <w:top w:val="single" w:color="BFD3E6" w:sz="4"/>
          <w:left w:val="single" w:color="DCE7F2" w:sz="2"/>
          <w:bottom w:val="single" w:color="BFD3E6" w:sz="4"/>
          <w:right w:val="single" w:color="DCE7F2" w:sz="2"/>
          <w:insideH w:val="single" w:color="BFD3E6" w:sz="2"/>
          <w:insideV w:val="single" w:color="DCE7F2" w:sz="2"/>
        </w:tblBorders>
        <w:tblLayout w:type="fixed"/>
      </w:tblPr>
      <w:tblGrid>
        <w:gridCol w:w="964"/>
        <w:gridCol w:w="964"/>
        <w:gridCol w:w="2410"/>
        <w:gridCol w:w="5300"/>
      </w:tblGrid>
      <w:tr>
        <w:trPr>
          <w:cantSplit/>
          <w:tblHeader/>
        </w:trPr>
        <w:tc>
          <w:tcPr>
            <w:tcW w:type="dxa" w:w="964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RC</w:t>
            </w:r>
          </w:p>
        </w:tc>
        <w:tc>
          <w:tcPr>
            <w:tcW w:type="dxa" w:w="964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RP</w:t>
            </w:r>
          </w:p>
        </w:tc>
        <w:tc>
          <w:tcPr>
            <w:tcW w:type="dxa" w:w="2410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Función / componente</w:t>
            </w:r>
          </w:p>
        </w:tc>
        <w:tc>
          <w:tcPr>
            <w:tcW w:type="dxa" w:w="5300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Caso de prueba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RC1</w:t>
            </w:r>
          </w:p>
        </w:tc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RP2</w:t>
            </w:r>
          </w:p>
        </w:tc>
        <w:tc>
          <w:tcPr>
            <w:tcW w:type="dxa" w:w="241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Consulta de oferta</w:t>
            </w:r>
          </w:p>
        </w:tc>
        <w:tc>
          <w:tcPr>
            <w:tcW w:type="dxa" w:w="53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CP01: sólo se muestran las comisiones de materias que el alumno puede cursar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RC1</w:t>
            </w:r>
          </w:p>
        </w:tc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RP3</w:t>
            </w:r>
          </w:p>
        </w:tc>
        <w:tc>
          <w:tcPr>
            <w:tcW w:type="dxa" w:w="241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Validaciones</w:t>
            </w:r>
          </w:p>
        </w:tc>
        <w:tc>
          <w:tcPr>
            <w:tcW w:type="dxa" w:w="53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CP02: alumno sin la correlativa → rechazo indicando la materia que falta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RC1, RC2</w:t>
            </w:r>
          </w:p>
        </w:tc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RP5</w:t>
            </w:r>
          </w:p>
        </w:tc>
        <w:tc>
          <w:tcPr>
            <w:tcW w:type="dxa" w:w="241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Inscripciones</w:t>
            </w:r>
          </w:p>
        </w:tc>
        <w:tc>
          <w:tcPr>
            <w:tcW w:type="dxa" w:w="53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CP03: dos alumnos piden el último cupo a la vez → sólo uno queda inscripto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RC2</w:t>
            </w:r>
          </w:p>
        </w:tc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RP7</w:t>
            </w:r>
          </w:p>
        </w:tc>
        <w:tc>
          <w:tcPr>
            <w:tcW w:type="dxa" w:w="241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Configuración académica</w:t>
            </w:r>
          </w:p>
        </w:tc>
        <w:tc>
          <w:tcPr>
            <w:tcW w:type="dxa" w:w="53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CP04: solicitud fuera del período configurado → rechazo</w:t>
            </w:r>
          </w:p>
        </w:tc>
      </w:tr>
    </w:tbl>
    <w:p>
      <w:pPr>
        <w:spacing w:after="160"/>
      </w:pP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Hacia adelante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(RC → RP → componente → caso de prueba) se comprueba que cada RC esté implementado y probado.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Hacia atrás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si falla un caso de prueba se sigue la fila hasta el RC para saber qué requisito y qué interesado se ven afectados. Un RP sin RC de origen es funcionalidad que nadie pidió, y un RC sin caso de prueba queda sin verificar.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SP 1.5 · INCONSISTENCIAS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Inconsistencia inventada: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RC2 y RP7 establecen que Secretaría configura el cupo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por comisión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pero en el diseño de la base de datos el cupo quedó guardado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por materia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así que todas las comisiones de una materia comparten el mismo valor.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Detección: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el caso de prueba CP05 (configurar un cupo de 25 en una comisión e inscribir al alumno 26) falla, y la revisión de la matriz de trazabilidad muestra que RP7 no tiene un componente que lo cumpla.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Corrección: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se registra la inconsistencia, se corrige el diseño para guardar el cupo por comisión, se vuelven a ejecutar CP05 y las pruebas de regresión, y se actualiza la matriz de trazabilidad.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20"/>
      <w:jc w:val="center"/>
    </w:pPr>
    <w:r>
      <w:rPr>
        <w:rFonts w:ascii="Lexend" w:cs="Lexend" w:eastAsia="Lexend" w:hAnsi="Lexend"/>
        <w:color w:val="6B7075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autoHyphenation/>
  <w:consecutiveHyphenLimit w:val="2"/>
  <w:doNotHyphenateCap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xend" w:cs="Lexend" w:eastAsia="Lexend" w:hAnsi="Lexend"/>
        <w:color w:val="1A1A1A"/>
        <w:sz w:val="22"/>
        <w:szCs w:val="22"/>
        <w:lang w:val="es-A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2026-10-15T13:36:22.561Z</dcterms:created>
  <dcterms:modified xsi:type="dcterms:W3CDTF">2026-10-15T13:36:22.561Z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