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70" w:line="360" w:lineRule="auto"/>
        <w:keepNext/>
      </w:pPr>
      <w:r>
        <w:rPr>
          <w:b/>
          <w:color w:val="000000"/>
          <w:sz w:val="34"/>
          <w:szCs w:val="34"/>
          <w:rFonts w:ascii="Aptos" w:hAnsi="Aptos" w:cs="Aptos"/>
        </w:rPr>
        <w:t>TPI Simulación de molinetes de subte</w:t>
      </w:r>
    </w:p>
    <w:p>
      <w:pPr>
        <w:pStyle w:val="Subtitle"/>
        <w:spacing w:before="0" w:after="210" w:line="280" w:lineRule="auto"/>
        <w:keepNext/>
      </w:pPr>
      <w:r>
        <w:rPr>
          <w:color w:val="404040"/>
          <w:sz w:val="23"/>
          <w:szCs w:val="23"/>
          <w:rFonts w:ascii="Aptos" w:hAnsi="Aptos" w:cs="Aptos"/>
        </w:rPr>
        <w:t>Definición del caso y modelo inicial en AnyLogic</w:t>
      </w:r>
    </w:p>
    <w:tbl>
      <w:tblPr>
        <w:tblW w:w="0" w:type="auto"/>
        <w:tblLayout w:type="fixed"/>
        <w:tblCellMar>
          <w:top w:w="95" w:type="dxa"/>
          <w:left w:w="110" w:type="dxa"/>
          <w:bottom w:w="95" w:type="dxa"/>
          <w:right w:w="11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50"/>
        <w:gridCol w:w="6600"/>
      </w:tblGrid>
      <w:tr>
        <w:trPr>
          <w:tblHeader/>
        </w:trPr>
        <w:tc>
          <w:tcPr>
            <w:tcW w:w="245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Dato</w:t>
            </w:r>
          </w:p>
        </w:tc>
        <w:tc>
          <w:tcPr>
            <w:tcW w:w="660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Definición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Integrantes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Juan Cruz Bonadeo (53533) y Matias Estevez (53528)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Comisión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401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Docente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Guillermo Leale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Fecha de reunión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Miércoles 23 de septiembre de 2026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Estado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Tema aprobado el 20 de septiembre y modelo inicial preparado</w:t>
            </w:r>
          </w:p>
        </w:tc>
      </w:tr>
    </w:tbl>
    <w:p>
      <w:pPr>
        <w:spacing w:before="0" w:after="70" w:line="276" w:lineRule="auto"/>
      </w:pPr>
      <w:r>
        <w:rPr>
          <w:color w:val="000000"/>
          <w:sz w:val="21"/>
          <w:szCs w:val="21"/>
          <w:rFonts w:ascii="Aptos" w:hAnsi="Aptos" w:cs="Aptos"/>
        </w:rPr>
        <w:t/>
      </w:r>
    </w:p>
    <w:p>
      <w:pPr>
        <w:spacing w:before="0" w:after="180" w:line="276" w:lineRule="auto"/>
      </w:pPr>
      <w:r>
        <w:rPr>
          <w:b/>
          <w:color w:val="000000"/>
          <w:sz w:val="21"/>
          <w:szCs w:val="21"/>
          <w:rFonts w:ascii="Aptos" w:hAnsi="Aptos" w:cs="Aptos"/>
        </w:rPr>
        <w:t xml:space="preserve">Resultado actual. </w:t>
      </w:r>
      <w:r>
        <w:rPr>
          <w:color w:val="000000"/>
          <w:sz w:val="21"/>
          <w:szCs w:val="21"/>
          <w:rFonts w:ascii="Aptos" w:hAnsi="Aptos" w:cs="Aptos"/>
        </w:rPr>
        <w:t>El caso ya está definido y cuenta con evidencia de SBASE. También se preparó un modelo inicial en AnyLogic con los escenarios E0 a E3. Para calibrarlo faltan las mediciones de tiempo de servicio y estructura de las tandas, además de ejecutar el proyecto completo en el IDE.</w:t>
      </w:r>
    </w:p>
    <w:p>
      <w:pPr>
        <w:pStyle w:val="Heading1"/>
        <w:spacing w:before="140" w:after="90" w:line="276" w:lineRule="auto"/>
        <w:keepNext/>
      </w:pPr>
      <w:r>
        <w:rPr>
          <w:b/>
          <w:color w:val="000000"/>
          <w:sz w:val="27"/>
          <w:szCs w:val="27"/>
          <w:rFonts w:ascii="Aptos" w:hAnsi="Aptos" w:cs="Aptos"/>
        </w:rPr>
        <w:t>Definición del caso</w:t>
      </w:r>
    </w:p>
    <w:tbl>
      <w:tblPr>
        <w:tblW w:w="0" w:type="auto"/>
        <w:tblLayout w:type="fixed"/>
        <w:tblCellMar>
          <w:top w:w="95" w:type="dxa"/>
          <w:left w:w="110" w:type="dxa"/>
          <w:bottom w:w="95" w:type="dxa"/>
          <w:right w:w="11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50"/>
        <w:gridCol w:w="6600"/>
      </w:tblGrid>
      <w:tr>
        <w:trPr>
          <w:tblHeader/>
        </w:trPr>
        <w:tc>
          <w:tcPr>
            <w:tcW w:w="245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Dimensión</w:t>
            </w:r>
          </w:p>
        </w:tc>
        <w:tc>
          <w:tcPr>
            <w:tcW w:w="660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Alcance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Sistema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Línea de molinetes del vestíbulo Principal de Constitución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Línea y estación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Línea C, estación Constitución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Días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Días hábiles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Franja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07:00 a 09:30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Pico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08:15 a 08:45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Unidad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Un pasajero que ingresa al subte</w:t>
            </w:r>
          </w:p>
        </w:tc>
      </w:tr>
    </w:tbl>
    <w:p>
      <w:pPr>
        <w:spacing w:before="0" w:after="70" w:line="276" w:lineRule="auto"/>
      </w:pPr>
      <w:r>
        <w:rPr>
          <w:color w:val="000000"/>
          <w:sz w:val="21"/>
          <w:szCs w:val="21"/>
          <w:rFonts w:ascii="Aptos" w:hAnsi="Aptos" w:cs="Aptos"/>
        </w:rPr>
        <w:t/>
      </w:r>
    </w:p>
    <w:p>
      <w:pPr>
        <w:spacing w:before="0" w:after="120" w:line="276" w:lineRule="auto"/>
      </w:pPr>
      <w:r>
        <w:rPr>
          <w:b/>
          <w:color w:val="000000"/>
          <w:sz w:val="21"/>
          <w:szCs w:val="21"/>
          <w:rFonts w:ascii="Aptos" w:hAnsi="Aptos" w:cs="Aptos"/>
        </w:rPr>
        <w:t xml:space="preserve">Problema de decisión. </w:t>
      </w:r>
      <w:r>
        <w:rPr>
          <w:color w:val="000000"/>
          <w:sz w:val="21"/>
          <w:szCs w:val="21"/>
          <w:rFonts w:ascii="Aptos" w:hAnsi="Aptos" w:cs="Aptos"/>
        </w:rPr>
        <w:t>Se evaluará cuánto mejoran las esperas al habilitar más molinetes, redistribuir parte del flujo hacia el vestíbulo Plaza o modificar el tiempo de validación mediante EMV y QR.</w:t>
      </w:r>
    </w:p>
    <w:p>
      <w:pPr>
        <w:spacing w:before="0" w:after="150" w:line="276" w:lineRule="auto"/>
      </w:pPr>
      <w:r>
        <w:rPr>
          <w:b/>
          <w:color w:val="000000"/>
          <w:sz w:val="21"/>
          <w:szCs w:val="21"/>
          <w:rFonts w:ascii="Aptos" w:hAnsi="Aptos" w:cs="Aptos"/>
        </w:rPr>
        <w:t xml:space="preserve">Por qué requiere simulación. </w:t>
      </w:r>
      <w:r>
        <w:rPr>
          <w:color w:val="000000"/>
          <w:sz w:val="21"/>
          <w:szCs w:val="21"/>
          <w:rFonts w:ascii="Aptos" w:hAnsi="Aptos" w:cs="Aptos"/>
        </w:rPr>
        <w:t>En promedio, cada molinete recibe un pasajero cada 8,5 segundos, mientras una validación demora aproximadamente 2 a 3 segundos. Un modelo de colas basado solo en promedios anticiparía poca congestión. La cola aparece porque los pasajeros llegan en tandas desde la terminal del Ferrocarril Roca; la simulación representa esa congestión transitoria.</w:t>
      </w:r>
    </w:p>
    <w:p>
      <w:pPr>
        <w:pStyle w:val="Heading1"/>
        <w:spacing w:before="120" w:after="90" w:line="276" w:lineRule="auto"/>
        <w:keepNext/>
      </w:pPr>
      <w:r>
        <w:rPr>
          <w:b/>
          <w:color w:val="000000"/>
          <w:sz w:val="27"/>
          <w:szCs w:val="27"/>
          <w:rFonts w:ascii="Aptos" w:hAnsi="Aptos" w:cs="Aptos"/>
        </w:rPr>
        <w:t>Evidencia disponible</w:t>
      </w:r>
    </w:p>
    <w:tbl>
      <w:tblPr>
        <w:tblW w:w="0" w:type="auto"/>
        <w:tblLayout w:type="fixed"/>
        <w:tblCellMar>
          <w:top w:w="95" w:type="dxa"/>
          <w:left w:w="110" w:type="dxa"/>
          <w:bottom w:w="95" w:type="dxa"/>
          <w:right w:w="11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600"/>
        <w:gridCol w:w="5450"/>
      </w:tblGrid>
      <w:tr>
        <w:trPr>
          <w:tblHeader/>
        </w:trPr>
        <w:tc>
          <w:tcPr>
            <w:tcW w:w="360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Indicador</w:t>
            </w:r>
          </w:p>
        </w:tc>
        <w:tc>
          <w:tcPr>
            <w:tcW w:w="545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Valor observado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Base analizada</w:t>
            </w:r>
          </w:p>
        </w:tc>
        <w:tc>
          <w:tcPr>
            <w:tcW w:w="5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117 días hábiles depurados, enero a junio de 2026</w:t>
            </w:r>
          </w:p>
        </w:tc>
      </w:tr>
      <w:tr>
        <w:tc>
          <w:tcPr>
            <w:tcW w:w="3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Demanda 07:00 a 09:30</w:t>
            </w:r>
          </w:p>
        </w:tc>
        <w:tc>
          <w:tcPr>
            <w:tcW w:w="5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17.482 pasajeros por día hábil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Máximo medio</w:t>
            </w:r>
          </w:p>
        </w:tc>
        <w:tc>
          <w:tcPr>
            <w:tcW w:w="5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2.066 pasajeros cada 15 minutos a las 08:30</w:t>
            </w:r>
          </w:p>
        </w:tc>
      </w:tr>
      <w:tr>
        <w:tc>
          <w:tcPr>
            <w:tcW w:w="3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Molinetes</w:t>
            </w:r>
          </w:p>
        </w:tc>
        <w:tc>
          <w:tcPr>
            <w:tcW w:w="5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28 instalados, 21 con tráfico real y 19,5 activos en promedio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Participación por vestíbulo</w:t>
            </w:r>
          </w:p>
        </w:tc>
        <w:tc>
          <w:tcPr>
            <w:tcW w:w="5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Principal 84,7 % y Plaza 15,3 %</w:t>
            </w:r>
          </w:p>
        </w:tc>
      </w:tr>
      <w:tr>
        <w:tc>
          <w:tcPr>
            <w:tcW w:w="3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Desbalance observado</w:t>
            </w:r>
          </w:p>
        </w:tc>
        <w:tc>
          <w:tcPr>
            <w:tcW w:w="5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Turn14 procesa 1.485 pasajeros y Turn23 129 en la franja</w:t>
            </w:r>
          </w:p>
        </w:tc>
      </w:tr>
    </w:tbl>
    <w:p>
      <w:pPr>
        <w:spacing w:before="0" w:after="70" w:line="276" w:lineRule="auto"/>
      </w:pPr>
      <w:r>
        <w:rPr>
          <w:color w:val="000000"/>
          <w:sz w:val="21"/>
          <w:szCs w:val="21"/>
          <w:rFonts w:ascii="Aptos" w:hAnsi="Aptos" w:cs="Aptos"/>
        </w:rPr>
        <w:t/>
      </w:r>
    </w:p>
    <w:p>
      <w:pPr>
        <w:spacing w:before="0" w:after="140" w:line="276" w:lineRule="auto"/>
      </w:pPr>
      <w:r>
        <w:rPr>
          <w:b/>
          <w:color w:val="000000"/>
          <w:sz w:val="21"/>
          <w:szCs w:val="21"/>
          <w:rFonts w:ascii="Aptos" w:hAnsi="Aptos" w:cs="Aptos"/>
        </w:rPr>
        <w:t xml:space="preserve">Fuente. </w:t>
      </w:r>
      <w:r>
        <w:rPr>
          <w:color w:val="000000"/>
          <w:sz w:val="21"/>
          <w:szCs w:val="21"/>
          <w:rFonts w:ascii="Aptos" w:hAnsi="Aptos" w:cs="Aptos"/>
        </w:rPr>
        <w:t>BA Data, Viajes Molinetes 2026. Los conteos se encuentran desagregados por molinete y por intervalos de 15 minutos.</w:t>
      </w:r>
    </w:p>
    <w:p>
      <w:pPr>
        <w:pStyle w:val="Heading1"/>
        <w:spacing w:before="120" w:after="90" w:line="276" w:lineRule="auto"/>
        <w:keepNext/>
      </w:pPr>
      <w:r>
        <w:rPr>
          <w:b/>
          <w:color w:val="000000"/>
          <w:sz w:val="27"/>
          <w:szCs w:val="27"/>
          <w:rFonts w:ascii="Aptos" w:hAnsi="Aptos" w:cs="Aptos"/>
        </w:rPr>
        <w:t>Modelo inicial en AnyLogic</w:t>
      </w:r>
    </w:p>
    <w:p>
      <w:pPr>
        <w:spacing w:before="30" w:after="130" w:line="260" w:lineRule="auto"/>
        <w:jc w:val="center"/>
      </w:pPr>
      <w:r>
        <w:rPr>
          <w:b/>
          <w:color w:val="17365D"/>
          <w:sz w:val="21"/>
          <w:szCs w:val="21"/>
          <w:rFonts w:ascii="Aptos" w:hAnsi="Aptos" w:cs="Aptos"/>
        </w:rPr>
        <w:t>Source por tandas  -&gt;  Queue  -&gt;  Seize  -&gt;  Delay  -&gt;  Release  -&gt;  Sink</w:t>
      </w:r>
    </w:p>
    <w:p>
      <w:pPr>
        <w:spacing w:before="0" w:after="140" w:line="276" w:lineRule="auto"/>
      </w:pPr>
      <w:r>
        <w:rPr>
          <w:color w:val="000000"/>
          <w:sz w:val="21"/>
          <w:szCs w:val="21"/>
          <w:rFonts w:ascii="Aptos" w:hAnsi="Aptos" w:cs="Aptos"/>
        </w:rPr>
        <w:t>Cada agente representa un pasajero. Source inyecta varios pasajeros simultáneamente; Queue conserva el orden FIFO; Seize toma un molinete del ResourcePool; Delay representa la validación; Release libera el recurso y Sink registra la salida. Los arribos se detienen a las 09:30 y el modelo continúa hasta procesar a todos los pasajeros que llegaron dentro de la franja.</w:t>
      </w:r>
    </w:p>
    <w:tbl>
      <w:tblPr>
        <w:tblW w:w="0" w:type="auto"/>
        <w:tblLayout w:type="fixed"/>
        <w:tblCellMar>
          <w:top w:w="95" w:type="dxa"/>
          <w:left w:w="110" w:type="dxa"/>
          <w:bottom w:w="95" w:type="dxa"/>
          <w:right w:w="11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600"/>
        <w:gridCol w:w="5450"/>
      </w:tblGrid>
      <w:tr>
        <w:trPr>
          <w:tblHeader/>
        </w:trPr>
        <w:tc>
          <w:tcPr>
            <w:tcW w:w="360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Parámetro</w:t>
            </w:r>
          </w:p>
        </w:tc>
        <w:tc>
          <w:tcPr>
            <w:tcW w:w="545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Estado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Cantidad base de molinetes</w:t>
            </w:r>
          </w:p>
        </w:tc>
        <w:tc>
          <w:tcPr>
            <w:tcW w:w="5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20 como aproximación entera provisional de 19,5</w:t>
            </w:r>
          </w:p>
        </w:tc>
      </w:tr>
      <w:tr>
        <w:tc>
          <w:tcPr>
            <w:tcW w:w="3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Cantidad en E1</w:t>
            </w:r>
          </w:p>
        </w:tc>
        <w:tc>
          <w:tcPr>
            <w:tcW w:w="5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28, sujeto a confirmar su disponibilidad para ingreso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Tiempo de servicio SUBE</w:t>
            </w:r>
          </w:p>
        </w:tc>
        <w:tc>
          <w:tcPr>
            <w:tcW w:w="5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 de medición en campo</w:t>
            </w:r>
          </w:p>
        </w:tc>
      </w:tr>
      <w:tr>
        <w:tc>
          <w:tcPr>
            <w:tcW w:w="3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Tiempo de servicio EMV y QR</w:t>
            </w:r>
          </w:p>
        </w:tc>
        <w:tc>
          <w:tcPr>
            <w:tcW w:w="5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 de medición en campo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Tamaño de tanda</w:t>
            </w:r>
          </w:p>
        </w:tc>
        <w:tc>
          <w:tcPr>
            <w:tcW w:w="5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 de medición en campo</w:t>
            </w:r>
          </w:p>
        </w:tc>
      </w:tr>
      <w:tr>
        <w:tc>
          <w:tcPr>
            <w:tcW w:w="3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Intervalo entre tandas</w:t>
            </w:r>
          </w:p>
        </w:tc>
        <w:tc>
          <w:tcPr>
            <w:tcW w:w="5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 de medición en campo</w:t>
            </w:r>
          </w:p>
        </w:tc>
      </w:tr>
    </w:tbl>
    <w:p>
      <w:pPr>
        <w:spacing w:before="0" w:after="70" w:line="276" w:lineRule="auto"/>
      </w:pPr>
      <w:r>
        <w:rPr>
          <w:color w:val="000000"/>
          <w:sz w:val="21"/>
          <w:szCs w:val="21"/>
          <w:rFonts w:ascii="Aptos" w:hAnsi="Aptos" w:cs="Aptos"/>
        </w:rPr>
        <w:t/>
      </w:r>
    </w:p>
    <w:p>
      <w:pPr>
        <w:pStyle w:val="Heading1"/>
        <w:spacing w:before="130" w:after="90" w:line="276" w:lineRule="auto"/>
        <w:keepNext/>
      </w:pPr>
      <w:r>
        <w:rPr>
          <w:b/>
          <w:color w:val="000000"/>
          <w:sz w:val="27"/>
          <w:szCs w:val="27"/>
          <w:rFonts w:ascii="Aptos" w:hAnsi="Aptos" w:cs="Aptos"/>
        </w:rPr>
        <w:t>Escenarios</w:t>
      </w:r>
    </w:p>
    <w:tbl>
      <w:tblPr>
        <w:tblW w:w="0" w:type="auto"/>
        <w:tblLayout w:type="fixed"/>
        <w:tblCellMar>
          <w:top w:w="95" w:type="dxa"/>
          <w:left w:w="110" w:type="dxa"/>
          <w:bottom w:w="95" w:type="dxa"/>
          <w:right w:w="11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50"/>
        <w:gridCol w:w="6600"/>
      </w:tblGrid>
      <w:tr>
        <w:trPr>
          <w:tblHeader/>
        </w:trPr>
        <w:tc>
          <w:tcPr>
            <w:tcW w:w="245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Escenario</w:t>
            </w:r>
          </w:p>
        </w:tc>
        <w:tc>
          <w:tcPr>
            <w:tcW w:w="660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Cambio evaluado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E0 Base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Configuración actual con aproximadamente 20 molinetes activos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E1 Capacidad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Habilitar los 28 molinetes instalados</w:t>
            </w:r>
          </w:p>
        </w:tc>
      </w:tr>
      <w:tr>
        <w:tc>
          <w:tcPr>
            <w:tcW w:w="24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E2 Redistribución</w:t>
            </w:r>
          </w:p>
        </w:tc>
        <w:tc>
          <w:tcPr>
            <w:tcW w:w="66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Desviar una fracción del flujo hacia el vestíbulo Plaza</w:t>
            </w:r>
          </w:p>
        </w:tc>
      </w:tr>
      <w:tr>
        <w:tc>
          <w:tcPr>
            <w:tcW w:w="24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E3 Contactless</w:t>
            </w:r>
          </w:p>
        </w:tc>
        <w:tc>
          <w:tcPr>
            <w:tcW w:w="66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Cambiar el tiempo de servicio por el medido para EMV y QR</w:t>
            </w:r>
          </w:p>
        </w:tc>
      </w:tr>
    </w:tbl>
    <w:p>
      <w:pPr>
        <w:spacing w:before="0" w:after="70" w:line="276" w:lineRule="auto"/>
      </w:pPr>
      <w:r>
        <w:rPr>
          <w:color w:val="000000"/>
          <w:sz w:val="21"/>
          <w:szCs w:val="21"/>
          <w:rFonts w:ascii="Aptos" w:hAnsi="Aptos" w:cs="Aptos"/>
        </w:rPr>
        <w:t/>
      </w:r>
    </w:p>
    <w:p>
      <w:pPr>
        <w:spacing w:before="0" w:after="150" w:line="276" w:lineRule="auto"/>
      </w:pPr>
      <w:r>
        <w:rPr>
          <w:color w:val="000000"/>
          <w:sz w:val="21"/>
          <w:szCs w:val="21"/>
          <w:rFonts w:ascii="Aptos" w:hAnsi="Aptos" w:cs="Aptos"/>
        </w:rPr>
        <w:t>E2 mide por ahora el alivio sobre el vestíbulo Principal y contabiliza a los pasajeros desviados. Para recomendar una mejora sobre toda la estación será necesario incorporar la capacidad, el flujo propio y la cola de Plaza.</w:t>
      </w:r>
    </w:p>
    <w:p>
      <w:pPr>
        <w:pStyle w:val="Heading1"/>
        <w:spacing w:before="120" w:after="90" w:line="276" w:lineRule="auto"/>
        <w:keepNext/>
      </w:pPr>
      <w:r>
        <w:rPr>
          <w:b/>
          <w:color w:val="000000"/>
          <w:sz w:val="27"/>
          <w:szCs w:val="27"/>
          <w:rFonts w:ascii="Aptos" w:hAnsi="Aptos" w:cs="Aptos"/>
        </w:rPr>
        <w:t>Medidas de rendimiento</w:t>
      </w:r>
    </w:p>
    <w:p>
      <w:pPr>
        <w:pStyle w:val="Heading2"/>
        <w:spacing w:before="0" w:after="60" w:line="276" w:lineRule="auto"/>
        <w:keepNext/>
      </w:pPr>
      <w:r>
        <w:rPr>
          <w:b/>
          <w:color w:val="000000"/>
          <w:sz w:val="22"/>
          <w:szCs w:val="22"/>
          <w:rFonts w:ascii="Aptos" w:hAnsi="Aptos" w:cs="Aptos"/>
        </w:rPr>
        <w:t>Medidas principales</w:t>
      </w:r>
    </w:p>
    <w:p>
      <w:pPr>
        <w:numPr>
          <w:ilvl w:val="0"/>
          <w:numId w:val="1"/>
        </w:numPr>
        <w:spacing w:before="0" w:after="55" w:line="250" w:lineRule="auto"/>
        <w:ind w:left="520" w:hanging="300"/>
      </w:pPr>
      <w:r>
        <w:rPr>
          <w:color w:val="000000"/>
          <w:sz w:val="20"/>
          <w:szCs w:val="20"/>
          <w:rFonts w:ascii="Aptos" w:hAnsi="Aptos" w:cs="Aptos"/>
        </w:rPr>
        <w:t>Tiempo de espera en cola por pasajero, expresado como media y percentil 90.</w:t>
      </w:r>
    </w:p>
    <w:p>
      <w:pPr>
        <w:numPr>
          <w:ilvl w:val="0"/>
          <w:numId w:val="1"/>
        </w:numPr>
        <w:spacing w:before="0" w:after="55" w:line="250" w:lineRule="auto"/>
        <w:ind w:left="520" w:hanging="300"/>
      </w:pPr>
      <w:r>
        <w:rPr>
          <w:color w:val="000000"/>
          <w:sz w:val="20"/>
          <w:szCs w:val="20"/>
          <w:rFonts w:ascii="Aptos" w:hAnsi="Aptos" w:cs="Aptos"/>
        </w:rPr>
        <w:t>Proporción de pasajeros con una espera superior a 30 segundos.</w:t>
      </w:r>
    </w:p>
    <w:p>
      <w:pPr>
        <w:numPr>
          <w:ilvl w:val="0"/>
          <w:numId w:val="1"/>
        </w:numPr>
        <w:spacing w:before="0" w:after="55" w:line="250" w:lineRule="auto"/>
        <w:ind w:left="520" w:hanging="300"/>
      </w:pPr>
      <w:r>
        <w:rPr>
          <w:color w:val="000000"/>
          <w:sz w:val="20"/>
          <w:szCs w:val="20"/>
          <w:rFonts w:ascii="Aptos" w:hAnsi="Aptos" w:cs="Aptos"/>
        </w:rPr>
        <w:t>Tiempo de disipación de cada tanda, desde su llegada hasta que la cola vuelve a cero.</w:t>
      </w:r>
    </w:p>
    <w:p>
      <w:pPr>
        <w:pStyle w:val="Heading2"/>
        <w:spacing w:before="70" w:after="60" w:line="276" w:lineRule="auto"/>
        <w:keepNext/>
      </w:pPr>
      <w:r>
        <w:rPr>
          <w:b/>
          <w:color w:val="000000"/>
          <w:sz w:val="22"/>
          <w:szCs w:val="22"/>
          <w:rFonts w:ascii="Aptos" w:hAnsi="Aptos" w:cs="Aptos"/>
        </w:rPr>
        <w:t>Medidas secundarias</w:t>
      </w:r>
    </w:p>
    <w:p>
      <w:pPr>
        <w:numPr>
          <w:ilvl w:val="0"/>
          <w:numId w:val="1"/>
        </w:numPr>
        <w:spacing w:before="0" w:after="55" w:line="250" w:lineRule="auto"/>
        <w:ind w:left="520" w:hanging="300"/>
      </w:pPr>
      <w:r>
        <w:rPr>
          <w:color w:val="000000"/>
          <w:sz w:val="20"/>
          <w:szCs w:val="20"/>
          <w:rFonts w:ascii="Aptos" w:hAnsi="Aptos" w:cs="Aptos"/>
        </w:rPr>
        <w:t>Largo promedio temporal de la cola y máximo por réplica.</w:t>
      </w:r>
    </w:p>
    <w:p>
      <w:pPr>
        <w:numPr>
          <w:ilvl w:val="0"/>
          <w:numId w:val="1"/>
        </w:numPr>
        <w:spacing w:before="0" w:after="55" w:line="250" w:lineRule="auto"/>
        <w:ind w:left="520" w:hanging="300"/>
      </w:pPr>
      <w:r>
        <w:rPr>
          <w:color w:val="000000"/>
          <w:sz w:val="20"/>
          <w:szCs w:val="20"/>
          <w:rFonts w:ascii="Aptos" w:hAnsi="Aptos" w:cs="Aptos"/>
        </w:rPr>
        <w:t>Utilización de los molinetes y dispersión entre unidades.</w:t>
      </w:r>
    </w:p>
    <w:p>
      <w:pPr>
        <w:numPr>
          <w:ilvl w:val="0"/>
          <w:numId w:val="1"/>
        </w:numPr>
        <w:spacing w:before="0" w:after="55" w:line="250" w:lineRule="auto"/>
        <w:ind w:left="520" w:hanging="300"/>
      </w:pPr>
      <w:r>
        <w:rPr>
          <w:color w:val="000000"/>
          <w:sz w:val="20"/>
          <w:szCs w:val="20"/>
          <w:rFonts w:ascii="Aptos" w:hAnsi="Aptos" w:cs="Aptos"/>
        </w:rPr>
        <w:t>Pasajeros procesados y balance de la cohorte al cierre de la franja.</w:t>
      </w:r>
    </w:p>
    <w:p>
      <w:pPr>
        <w:spacing w:before="0" w:after="150" w:line="276" w:lineRule="auto"/>
      </w:pPr>
      <w:r>
        <w:rPr>
          <w:color w:val="000000"/>
          <w:sz w:val="21"/>
          <w:szCs w:val="21"/>
          <w:rFonts w:ascii="Aptos" w:hAnsi="Aptos" w:cs="Aptos"/>
        </w:rPr>
        <w:t>La comparación final utilizará corridas múltiples. Se recomendará una configuración por su percentil 90 de espera únicamente si el intervalo de confianza del 95 % de la diferencia apareada frente a E0 no contiene cero.</w:t>
      </w:r>
    </w:p>
    <w:p>
      <w:pPr>
        <w:pStyle w:val="Heading1"/>
        <w:spacing w:before="120" w:after="90" w:line="276" w:lineRule="auto"/>
        <w:keepNext/>
      </w:pPr>
      <w:r>
        <w:rPr>
          <w:b/>
          <w:color w:val="000000"/>
          <w:sz w:val="27"/>
          <w:szCs w:val="27"/>
          <w:rFonts w:ascii="Aptos" w:hAnsi="Aptos" w:cs="Aptos"/>
        </w:rPr>
        <w:t>Estado para la reunión</w:t>
      </w:r>
    </w:p>
    <w:tbl>
      <w:tblPr>
        <w:tblW w:w="0" w:type="auto"/>
        <w:tblLayout w:type="fixed"/>
        <w:tblCellMar>
          <w:top w:w="95" w:type="dxa"/>
          <w:left w:w="110" w:type="dxa"/>
          <w:bottom w:w="95" w:type="dxa"/>
          <w:right w:w="11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100"/>
        <w:gridCol w:w="6950"/>
      </w:tblGrid>
      <w:tr>
        <w:trPr>
          <w:tblHeader/>
        </w:trPr>
        <w:tc>
          <w:tcPr>
            <w:tcW w:w="210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Estado</w:t>
            </w:r>
          </w:p>
        </w:tc>
        <w:tc>
          <w:tcPr>
            <w:tcW w:w="6950" w:type="dxa"/>
            <w:shd w:val="clear" w:color="auto" w:fill="17365D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FFFFFF"/>
                <w:sz w:val="18"/>
                <w:szCs w:val="18"/>
                <w:rFonts w:ascii="Aptos" w:hAnsi="Aptos" w:cs="Aptos"/>
              </w:rPr>
              <w:t>Elemento</w:t>
            </w:r>
          </w:p>
        </w:tc>
      </w:tr>
      <w:tr>
        <w:tc>
          <w:tcPr>
            <w:tcW w:w="21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Listo</w:t>
            </w:r>
          </w:p>
        </w:tc>
        <w:tc>
          <w:tcPr>
            <w:tcW w:w="69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Línea, estación, vestíbulo, días, franja y pico definidos</w:t>
            </w:r>
          </w:p>
        </w:tc>
      </w:tr>
      <w:tr>
        <w:tc>
          <w:tcPr>
            <w:tcW w:w="21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Listo</w:t>
            </w:r>
          </w:p>
        </w:tc>
        <w:tc>
          <w:tcPr>
            <w:tcW w:w="69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Datos SBASE perfilados y fundamento del uso de simulación</w:t>
            </w:r>
          </w:p>
        </w:tc>
      </w:tr>
      <w:tr>
        <w:tc>
          <w:tcPr>
            <w:tcW w:w="21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Listo</w:t>
            </w:r>
          </w:p>
        </w:tc>
        <w:tc>
          <w:tcPr>
            <w:tcW w:w="69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Escenarios E0 a E3 y medidas de rendimiento</w:t>
            </w:r>
          </w:p>
        </w:tc>
      </w:tr>
      <w:tr>
        <w:tc>
          <w:tcPr>
            <w:tcW w:w="21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Listo</w:t>
            </w:r>
          </w:p>
        </w:tc>
        <w:tc>
          <w:tcPr>
            <w:tcW w:w="69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Modelo inicial y parámetros expuestos en AnyLogic</w:t>
            </w:r>
          </w:p>
        </w:tc>
      </w:tr>
      <w:tr>
        <w:tc>
          <w:tcPr>
            <w:tcW w:w="21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</w:t>
            </w:r>
          </w:p>
        </w:tc>
        <w:tc>
          <w:tcPr>
            <w:tcW w:w="69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Medición de servicio, tandas, molinetes habilitados y cola observada</w:t>
            </w:r>
          </w:p>
        </w:tc>
      </w:tr>
      <w:tr>
        <w:tc>
          <w:tcPr>
            <w:tcW w:w="210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</w:t>
            </w:r>
          </w:p>
        </w:tc>
        <w:tc>
          <w:tcPr>
            <w:tcW w:w="6950" w:type="dxa"/>
            <w:shd w:val="clear" w:color="auto" w:fill="F2F6FA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Compilación y ejecución completa del proyecto en el IDE</w:t>
            </w:r>
          </w:p>
        </w:tc>
      </w:tr>
      <w:tr>
        <w:tc>
          <w:tcPr>
            <w:tcW w:w="210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Pendiente</w:t>
            </w:r>
          </w:p>
        </w:tc>
        <w:tc>
          <w:tcPr>
            <w:tcW w:w="6950" w:type="dxa"/>
            <w:shd w:val="clear" w:color="auto" w:fill="FFFFFF"/>
            <w:vAlign w:val="center"/>
            <w:tcMar>
              <w:top w:w="95" w:type="dxa"/>
              <w:left w:w="110" w:type="dxa"/>
              <w:bottom w:w="95" w:type="dxa"/>
              <w:right w:w="11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color w:val="000000"/>
                <w:sz w:val="19"/>
                <w:szCs w:val="19"/>
                <w:rFonts w:ascii="Aptos" w:hAnsi="Aptos" w:cs="Aptos"/>
              </w:rPr>
              <w:t>Edición del último envío del formulario con el tema del subte</w:t>
            </w:r>
          </w:p>
        </w:tc>
      </w:tr>
    </w:tbl>
    <w:p>
      <w:pPr>
        <w:spacing w:before="0" w:after="70" w:line="276" w:lineRule="auto"/>
      </w:pPr>
      <w:r>
        <w:rPr>
          <w:color w:val="000000"/>
          <w:sz w:val="21"/>
          <w:szCs w:val="21"/>
          <w:rFonts w:ascii="Aptos" w:hAnsi="Aptos" w:cs="Aptos"/>
        </w:rPr>
        <w:t/>
      </w:r>
    </w:p>
    <w:p>
      <w:pPr>
        <w:spacing w:before="30" w:after="0" w:line="276" w:lineRule="auto"/>
      </w:pPr>
      <w:r>
        <w:rPr>
          <w:b/>
          <w:color w:val="000000"/>
          <w:sz w:val="21"/>
          <w:szCs w:val="21"/>
          <w:rFonts w:ascii="Aptos" w:hAnsi="Aptos" w:cs="Aptos"/>
        </w:rPr>
        <w:t xml:space="preserve">Próximo paso. </w:t>
      </w:r>
      <w:r>
        <w:rPr>
          <w:color w:val="000000"/>
          <w:sz w:val="21"/>
          <w:szCs w:val="21"/>
          <w:rFonts w:ascii="Aptos" w:hAnsi="Aptos" w:cs="Aptos"/>
        </w:rPr>
        <w:t>Realizar la medición en campo, cargar los parámetros en el modelo y validar sus colas y caudales contra una jornada independiente.</w:t>
      </w:r>
    </w:p>
    <w:sectPr>
      <w:headerReference w:type="default" r:id="rId2"/>
      <w:footerReference w:type="default" r:id="rId3"/>
      <w:pgSz w:w="11906" w:h="16838"/>
      <w:pgMar w:top="900" w:right="950" w:bottom="900" w:left="950" w:header="420" w:footer="4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>
  <w:p>
    <w:pPr>
      <w:spacing w:before="0" w:after="0" w:line="276" w:lineRule="auto"/>
      <w:jc w:val="center"/>
    </w:pPr>
    <w:r>
      <w:rPr>
        <w:color w:val="707070"/>
        <w:sz w:val="16"/>
        <w:szCs w:val="16"/>
        <w:rFonts w:ascii="Aptos" w:hAnsi="Aptos" w:cs="Aptos"/>
      </w:rPr>
      <w:t>Comisión 401  |  Bonadeo y Estevez  |  20 de septiembre de 2026</w:t>
    </w:r>
  </w:p>
</w:ftr>
</file>

<file path=word/header1.xml><?xml version="1.0" encoding="utf-8"?>
<w:hdr xmlns:w="http://schemas.openxmlformats.org/wordprocessingml/2006/main">
  <w:p>
    <w:pPr>
      <w:spacing w:before="0" w:after="0" w:line="276" w:lineRule="auto"/>
    </w:pPr>
    <w:r>
      <w:rPr>
        <w:b/>
        <w:color w:val="606060"/>
        <w:sz w:val="16"/>
        <w:szCs w:val="16"/>
        <w:rFonts w:ascii="Aptos" w:hAnsi="Aptos" w:cs="Aptos"/>
      </w:rPr>
      <w:t>SIM  |  TPI  |  MOLINETES DE CONSTITUCIÓN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520"/>
        </w:tabs>
        <w:ind w:left="520" w:hanging="30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  <w:color w:val="000000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keepNext/>
      <w:spacing w:after="70"/>
    </w:pPr>
    <w:rPr>
      <w:b/>
      <w:color w:val="000000"/>
      <w:sz w:val="34"/>
    </w:rPr>
  </w:style>
  <w:style w:type="paragraph" w:styleId="Subtitle">
    <w:name w:val="Subtitle"/>
    <w:basedOn w:val="Normal"/>
    <w:next w:val="Normal"/>
    <w:pPr>
      <w:keepNext/>
      <w:spacing w:after="210"/>
    </w:pPr>
    <w:rPr>
      <w:color w:val="404040"/>
      <w:sz w:val="23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90"/>
      <w:outlineLvl w:val="0"/>
    </w:pPr>
    <w:rPr>
      <w:b/>
      <w:color w:val="000000"/>
      <w:sz w:val="27"/>
    </w:rPr>
  </w:style>
  <w:style w:type="paragraph" w:styleId="Heading2">
    <w:name w:val="heading 2"/>
    <w:basedOn w:val="Normal"/>
    <w:next w:val="Normal"/>
    <w:qFormat/>
    <w:pPr>
      <w:keepNext/>
      <w:keepLines/>
      <w:spacing w:before="150" w:after="60"/>
      <w:outlineLvl w:val="1"/>
    </w:pPr>
    <w:rPr>
      <w:b/>
      <w:color w:val="000000"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Relationship Id="rId4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TPI Simulación de molinetes de subte</dc:title>
  <dc:creator>Juan Cruz Bonadeo y Matias Estevez</dc:creator>
  <dc:subject>Definición del caso y modelo inicial en AnyLogic</dc:subject>
  <dcterms:created xsi:type="dcterms:W3CDTF">2026-09-20T15:17:00Z</dcterms:created>
  <dcterms:modified xsi:type="dcterms:W3CDTF">2026-09-20T15:17:00Z</dcterms:modified>
</cp:coreProperties>
</file>