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60" w:before="560"/>
        <w:jc w:val="center"/>
      </w:pPr>
      <w:r>
        <w:rPr>
          <w:rFonts w:ascii="Arial" w:cs="Arial" w:eastAsia="Arial" w:hAnsi="Arial"/>
          <w:b/>
          <w:bCs/>
          <w:color w:val="1A1A1A"/>
          <w:spacing w:val="30"/>
          <w:sz w:val="25"/>
          <w:szCs w:val="25"/>
        </w:rPr>
        <w:t xml:space="preserve">ACTA DEL PROYECTO</w:t>
      </w:r>
    </w:p>
    <w:p>
      <w:pPr>
        <w:spacing w:after="140" w:line="288"/>
        <w:jc w:val="both"/>
      </w:pPr>
      <w:r>
        <w:rPr>
          <w:rFonts w:ascii="Arial" w:cs="Arial" w:eastAsia="Arial" w:hAnsi="Arial"/>
          <w:b/>
          <w:bCs/>
          <w:color w:val="1A1A1A"/>
          <w:sz w:val="22"/>
          <w:szCs w:val="22"/>
        </w:rPr>
        <w:t xml:space="preserve">Implementación de la Plataforma de Gestión de Órdenes de Trabajo de Campo (OT-Campo) para el proceso de instalación de internet con fibra óptica</w:t>
      </w:r>
    </w:p>
    <w:p>
      <w:pPr>
        <w:spacing w:after="260" w:before="0"/>
      </w:pPr>
    </w:p>
    <w:p>
      <w:pPr>
        <w:pStyle w:val="Heading2"/>
        <w:keepNext/>
        <w:spacing w:after="140" w:before="400"/>
      </w:pPr>
      <w:r>
        <w:rPr>
          <w:rFonts w:ascii="Arial" w:cs="Arial" w:eastAsia="Arial" w:hAnsi="Arial"/>
          <w:b/>
          <w:bCs/>
          <w:color w:val="1A1A1A"/>
          <w:spacing w:val="18"/>
          <w:sz w:val="21"/>
          <w:szCs w:val="21"/>
        </w:rPr>
        <w:t xml:space="preserve">DE</w:t>
      </w:r>
    </w:p>
    <w:p>
      <w:pPr>
        <w:spacing w:after="140" w:line="288"/>
        <w:jc w:val="both"/>
      </w:pPr>
      <w:r>
        <w:rPr>
          <w:rFonts w:ascii="Arial" w:cs="Arial" w:eastAsia="Arial" w:hAnsi="Arial"/>
          <w:b/>
          <w:bCs/>
          <w:color w:val="1A1A1A"/>
          <w:sz w:val="22"/>
          <w:szCs w:val="22"/>
        </w:rPr>
        <w:t xml:space="preserve">Gerencia de Operaciones</w:t>
      </w:r>
      <w:r>
        <w:rPr>
          <w:rFonts w:ascii="Arial" w:cs="Arial" w:eastAsia="Arial" w:hAnsi="Arial"/>
          <w:color w:val="1A1A1A"/>
          <w:sz w:val="22"/>
          <w:szCs w:val="22"/>
        </w:rPr>
        <w:t xml:space="preserve"> — Personal (Telecom Argentina)</w:t>
      </w:r>
    </w:p>
    <w:p>
      <w:pPr>
        <w:spacing w:after="140" w:line="288"/>
        <w:jc w:val="both"/>
      </w:pPr>
      <w:r>
        <w:rPr>
          <w:rFonts w:ascii="Arial" w:cs="Arial" w:eastAsia="Arial" w:hAnsi="Arial"/>
          <w:i/>
          <w:iCs/>
          <w:color w:val="1A1A1A"/>
          <w:sz w:val="22"/>
          <w:szCs w:val="22"/>
        </w:rPr>
        <w:t xml:space="preserve">Patrocinador del proyecto. Es el área titular del proceso crítico afectado y de los objetivos de negocio que el proyecto compromete.</w:t>
      </w:r>
    </w:p>
    <w:p>
      <w:pPr>
        <w:pStyle w:val="Heading2"/>
        <w:keepNext/>
        <w:spacing w:after="140" w:before="400"/>
      </w:pPr>
      <w:r>
        <w:rPr>
          <w:rFonts w:ascii="Arial" w:cs="Arial" w:eastAsia="Arial" w:hAnsi="Arial"/>
          <w:b/>
          <w:bCs/>
          <w:color w:val="1A1A1A"/>
          <w:spacing w:val="18"/>
          <w:sz w:val="21"/>
          <w:szCs w:val="21"/>
        </w:rPr>
        <w:t xml:space="preserve">PARA</w:t>
      </w:r>
    </w:p>
    <w:p>
      <w:pPr>
        <w:spacing w:after="140" w:line="288"/>
        <w:jc w:val="both"/>
      </w:pPr>
      <w:r>
        <w:rPr>
          <w:rFonts w:ascii="Arial" w:cs="Arial" w:eastAsia="Arial" w:hAnsi="Arial"/>
          <w:color w:val="1A1A1A"/>
          <w:sz w:val="22"/>
          <w:szCs w:val="22"/>
        </w:rPr>
        <w:t xml:space="preserve">Integrantes de las áreas de la organización que deben tomar conocimiento del proyecto:</w:t>
      </w:r>
    </w:p>
    <w:p>
      <w:pPr>
        <w:pStyle w:val="ListParagraph"/>
        <w:numPr>
          <w:ilvl w:val="0"/>
          <w:numId w:val="1"/>
        </w:numPr>
        <w:spacing w:after="100" w:line="276"/>
        <w:jc w:val="both"/>
      </w:pPr>
      <w:r>
        <w:rPr>
          <w:rFonts w:ascii="Arial" w:cs="Arial" w:eastAsia="Arial" w:hAnsi="Arial"/>
          <w:color w:val="1A1A1A"/>
          <w:sz w:val="22"/>
          <w:szCs w:val="22"/>
        </w:rPr>
        <w:t xml:space="preserve">Gerencia de Operaciones — Supervisión de Instalaciones</w:t>
      </w:r>
    </w:p>
    <w:p>
      <w:pPr>
        <w:pStyle w:val="ListParagraph"/>
        <w:numPr>
          <w:ilvl w:val="0"/>
          <w:numId w:val="1"/>
        </w:numPr>
        <w:spacing w:after="100" w:line="276"/>
        <w:jc w:val="both"/>
      </w:pPr>
      <w:r>
        <w:rPr>
          <w:rFonts w:ascii="Arial" w:cs="Arial" w:eastAsia="Arial" w:hAnsi="Arial"/>
          <w:color w:val="1A1A1A"/>
          <w:sz w:val="22"/>
          <w:szCs w:val="22"/>
        </w:rPr>
        <w:t xml:space="preserve">Gerencia de Tecnología y Sistemas — Desarrollo, Infraestructura y Seguridad de la Información</w:t>
      </w:r>
    </w:p>
    <w:p>
      <w:pPr>
        <w:pStyle w:val="ListParagraph"/>
        <w:numPr>
          <w:ilvl w:val="0"/>
          <w:numId w:val="1"/>
        </w:numPr>
        <w:spacing w:after="100" w:line="276"/>
        <w:jc w:val="both"/>
      </w:pPr>
      <w:r>
        <w:rPr>
          <w:rFonts w:ascii="Arial" w:cs="Arial" w:eastAsia="Arial" w:hAnsi="Arial"/>
          <w:color w:val="1A1A1A"/>
          <w:sz w:val="22"/>
          <w:szCs w:val="22"/>
        </w:rPr>
        <w:t xml:space="preserve">Centro de Operaciones de Red (NOC)</w:t>
      </w:r>
    </w:p>
    <w:p>
      <w:pPr>
        <w:pStyle w:val="ListParagraph"/>
        <w:numPr>
          <w:ilvl w:val="0"/>
          <w:numId w:val="1"/>
        </w:numPr>
        <w:spacing w:after="100" w:line="276"/>
        <w:jc w:val="both"/>
      </w:pPr>
      <w:r>
        <w:rPr>
          <w:rFonts w:ascii="Arial" w:cs="Arial" w:eastAsia="Arial" w:hAnsi="Arial"/>
          <w:color w:val="1A1A1A"/>
          <w:sz w:val="22"/>
          <w:szCs w:val="22"/>
        </w:rPr>
        <w:t xml:space="preserve">Gerencia Comercial — Atención al Cliente</w:t>
      </w:r>
    </w:p>
    <w:p>
      <w:pPr>
        <w:pStyle w:val="ListParagraph"/>
        <w:numPr>
          <w:ilvl w:val="0"/>
          <w:numId w:val="1"/>
        </w:numPr>
        <w:spacing w:after="100" w:line="276"/>
        <w:jc w:val="both"/>
      </w:pPr>
      <w:r>
        <w:rPr>
          <w:rFonts w:ascii="Arial" w:cs="Arial" w:eastAsia="Arial" w:hAnsi="Arial"/>
          <w:color w:val="1A1A1A"/>
          <w:sz w:val="22"/>
          <w:szCs w:val="22"/>
        </w:rPr>
        <w:t xml:space="preserve">Logística y Almacenes</w:t>
      </w:r>
    </w:p>
    <w:p>
      <w:pPr>
        <w:pStyle w:val="ListParagraph"/>
        <w:numPr>
          <w:ilvl w:val="0"/>
          <w:numId w:val="1"/>
        </w:numPr>
        <w:spacing w:after="100" w:line="276"/>
        <w:jc w:val="both"/>
      </w:pPr>
      <w:r>
        <w:rPr>
          <w:rFonts w:ascii="Arial" w:cs="Arial" w:eastAsia="Arial" w:hAnsi="Arial"/>
          <w:color w:val="1A1A1A"/>
          <w:sz w:val="22"/>
          <w:szCs w:val="22"/>
        </w:rPr>
        <w:t xml:space="preserve">Compras y Abastecimiento</w:t>
      </w:r>
    </w:p>
    <w:p>
      <w:pPr>
        <w:pStyle w:val="ListParagraph"/>
        <w:numPr>
          <w:ilvl w:val="0"/>
          <w:numId w:val="1"/>
        </w:numPr>
        <w:spacing w:after="100" w:line="276"/>
        <w:jc w:val="both"/>
      </w:pPr>
      <w:r>
        <w:rPr>
          <w:rFonts w:ascii="Arial" w:cs="Arial" w:eastAsia="Arial" w:hAnsi="Arial"/>
          <w:color w:val="1A1A1A"/>
          <w:sz w:val="22"/>
          <w:szCs w:val="22"/>
        </w:rPr>
        <w:t xml:space="preserve">Recursos Humanos</w:t>
      </w:r>
    </w:p>
    <w:p>
      <w:pPr>
        <w:pStyle w:val="ListParagraph"/>
        <w:numPr>
          <w:ilvl w:val="0"/>
          <w:numId w:val="1"/>
        </w:numPr>
        <w:spacing w:after="100" w:line="276"/>
        <w:jc w:val="both"/>
      </w:pPr>
      <w:r>
        <w:rPr>
          <w:rFonts w:ascii="Arial" w:cs="Arial" w:eastAsia="Arial" w:hAnsi="Arial"/>
          <w:color w:val="1A1A1A"/>
          <w:sz w:val="22"/>
          <w:szCs w:val="22"/>
        </w:rPr>
        <w:t xml:space="preserve">Servicio de Higiene y Seguridad Laboral</w:t>
      </w:r>
    </w:p>
    <w:p>
      <w:pPr>
        <w:spacing w:after="140" w:line="288"/>
        <w:jc w:val="both"/>
      </w:pPr>
      <w:r>
        <w:rPr>
          <w:rFonts w:ascii="Arial" w:cs="Arial" w:eastAsia="Arial" w:hAnsi="Arial"/>
          <w:color w:val="1A1A1A"/>
          <w:sz w:val="22"/>
          <w:szCs w:val="22"/>
        </w:rPr>
        <w:t xml:space="preserve">Y el equipo del proyecto, inicialmente conformado por las personas indicadas en el apartado DESIGNACIÓN.</w:t>
      </w:r>
    </w:p>
    <w:p>
      <w:pPr>
        <w:pStyle w:val="Heading2"/>
        <w:keepNext/>
        <w:spacing w:after="140" w:before="400"/>
      </w:pPr>
      <w:r>
        <w:rPr>
          <w:rFonts w:ascii="Arial" w:cs="Arial" w:eastAsia="Arial" w:hAnsi="Arial"/>
          <w:b/>
          <w:bCs/>
          <w:color w:val="1A1A1A"/>
          <w:spacing w:val="18"/>
          <w:sz w:val="21"/>
          <w:szCs w:val="21"/>
        </w:rPr>
        <w:t xml:space="preserve">DESIGNACIÓN</w:t>
      </w:r>
    </w:p>
    <w:p>
      <w:pPr>
        <w:spacing w:after="140" w:line="288"/>
        <w:jc w:val="both"/>
      </w:pPr>
      <w:r>
        <w:rPr>
          <w:rFonts w:ascii="Arial" w:cs="Arial" w:eastAsia="Arial" w:hAnsi="Arial"/>
          <w:color w:val="1A1A1A"/>
          <w:sz w:val="22"/>
          <w:szCs w:val="22"/>
        </w:rPr>
        <w:t xml:space="preserve">El patrocinador designa los siguientes roles para la ejecución del proyecto:</w:t>
      </w:r>
    </w:p>
    <w:tbl>
      <w:tblPr>
        <w:tblW w:type="dxa" w:w="9638"/>
        <w:tblBorders>
          <w:top w:val="single" w:color="C7CBCF" w:sz="4"/>
          <w:left w:val="single" w:color="E2E5E8" w:sz="2"/>
          <w:bottom w:val="single" w:color="C7CBCF" w:sz="4"/>
          <w:right w:val="single" w:color="E2E5E8" w:sz="2"/>
          <w:insideH w:val="single" w:color="C7CBCF" w:sz="2"/>
          <w:insideV w:val="single" w:color="E2E5E8" w:sz="2"/>
        </w:tblBorders>
        <w:tblLayout w:type="fixed"/>
      </w:tblPr>
      <w:tblGrid>
        <w:gridCol w:w="4241"/>
        <w:gridCol w:w="5397"/>
      </w:tblGrid>
      <w:tr>
        <w:trPr>
          <w:cantSplit/>
          <w:tblHeader/>
        </w:trPr>
        <w:tc>
          <w:tcPr>
            <w:tcW w:type="dxa" w:w="4241"/>
            <w:shd w:fill="F4F5F6"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1A1A1A"/>
                <w:sz w:val="18"/>
                <w:szCs w:val="18"/>
              </w:rPr>
              <w:t xml:space="preserve">Rol designado</w:t>
            </w:r>
          </w:p>
        </w:tc>
        <w:tc>
          <w:tcPr>
            <w:tcW w:type="dxa" w:w="5397"/>
            <w:shd w:fill="F4F5F6"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1A1A1A"/>
                <w:sz w:val="18"/>
                <w:szCs w:val="18"/>
              </w:rPr>
              <w:t xml:space="preserve">Área de procedencia</w:t>
            </w:r>
          </w:p>
        </w:tc>
      </w:tr>
      <w:tr>
        <w:trPr>
          <w:cantSplit/>
          <w:tblHeader w:val="false"/>
        </w:trPr>
        <w:tc>
          <w:tcPr>
            <w:tcW w:type="dxa" w:w="424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Director de Proyecto</w:t>
            </w:r>
          </w:p>
        </w:tc>
        <w:tc>
          <w:tcPr>
            <w:tcW w:type="dxa" w:w="539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Gerencia de Tecnología y Sistemas</w:t>
            </w:r>
          </w:p>
        </w:tc>
      </w:tr>
      <w:tr>
        <w:trPr>
          <w:cantSplit/>
          <w:tblHeader w:val="false"/>
        </w:trPr>
        <w:tc>
          <w:tcPr>
            <w:tcW w:type="dxa" w:w="424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Arquitecto de Software / Líder Técnico</w:t>
            </w:r>
          </w:p>
        </w:tc>
        <w:tc>
          <w:tcPr>
            <w:tcW w:type="dxa" w:w="539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Gerencia de Tecnología y Sistemas — Desarrollo</w:t>
            </w:r>
          </w:p>
        </w:tc>
      </w:tr>
      <w:tr>
        <w:trPr>
          <w:cantSplit/>
          <w:tblHeader w:val="false"/>
        </w:trPr>
        <w:tc>
          <w:tcPr>
            <w:tcW w:type="dxa" w:w="424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Analista Funcional</w:t>
            </w:r>
          </w:p>
        </w:tc>
        <w:tc>
          <w:tcPr>
            <w:tcW w:type="dxa" w:w="539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Gerencia de Tecnología y Sistemas — Desarrollo</w:t>
            </w:r>
          </w:p>
        </w:tc>
      </w:tr>
      <w:tr>
        <w:trPr>
          <w:cantSplit/>
          <w:tblHeader w:val="false"/>
        </w:trPr>
        <w:tc>
          <w:tcPr>
            <w:tcW w:type="dxa" w:w="424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Responsable de Seguridad de la Información</w:t>
            </w:r>
          </w:p>
        </w:tc>
        <w:tc>
          <w:tcPr>
            <w:tcW w:type="dxa" w:w="539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Gerencia de Tecnología y Sistemas — Seguridad de la Información</w:t>
            </w:r>
          </w:p>
        </w:tc>
      </w:tr>
      <w:tr>
        <w:trPr>
          <w:cantSplit/>
          <w:tblHeader w:val="false"/>
        </w:trPr>
        <w:tc>
          <w:tcPr>
            <w:tcW w:type="dxa" w:w="424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Referente de Operaciones</w:t>
            </w:r>
          </w:p>
        </w:tc>
        <w:tc>
          <w:tcPr>
            <w:tcW w:type="dxa" w:w="539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Gerencia de Operaciones — Supervisión de Instalaciones</w:t>
            </w:r>
          </w:p>
        </w:tc>
      </w:tr>
    </w:tbl>
    <w:p>
      <w:pPr>
        <w:spacing w:after="200"/>
      </w:pPr>
    </w:p>
    <w:p>
      <w:pPr>
        <w:spacing w:after="140" w:line="288"/>
        <w:jc w:val="both"/>
      </w:pPr>
      <w:r>
        <w:rPr>
          <w:rFonts w:ascii="Arial" w:cs="Arial" w:eastAsia="Arial" w:hAnsi="Arial"/>
          <w:color w:val="1A1A1A"/>
          <w:sz w:val="22"/>
          <w:szCs w:val="22"/>
        </w:rPr>
        <w:t xml:space="preserve">El resto del equipo —desarrollo, experiencia de usuario, datos, pruebas, infraestructura y capacitación— es conformado por el Director de Proyecto según los perfiles y competencias descriptos en el punto 5 de esta etapa.</w:t>
      </w:r>
    </w:p>
    <w:p>
      <w:pPr>
        <w:pStyle w:val="Heading2"/>
        <w:keepNext/>
        <w:spacing w:after="140" w:before="400"/>
      </w:pPr>
      <w:r>
        <w:rPr>
          <w:rFonts w:ascii="Arial" w:cs="Arial" w:eastAsia="Arial" w:hAnsi="Arial"/>
          <w:b/>
          <w:bCs/>
          <w:color w:val="1A1A1A"/>
          <w:spacing w:val="18"/>
          <w:sz w:val="21"/>
          <w:szCs w:val="21"/>
        </w:rPr>
        <w:t xml:space="preserve">DESCRIPCIÓN DE SU RESPONSABILIDAD</w:t>
      </w:r>
    </w:p>
    <w:p>
      <w:pPr>
        <w:spacing w:after="140" w:line="288"/>
        <w:jc w:val="both"/>
      </w:pPr>
      <w:r>
        <w:rPr>
          <w:rFonts w:ascii="Arial" w:cs="Arial" w:eastAsia="Arial" w:hAnsi="Arial"/>
          <w:b/>
          <w:bCs/>
          <w:color w:val="1A1A1A"/>
          <w:sz w:val="22"/>
          <w:szCs w:val="22"/>
        </w:rPr>
        <w:t xml:space="preserve">Director de Proyecto.</w:t>
      </w:r>
      <w:r>
        <w:rPr>
          <w:rFonts w:ascii="Arial" w:cs="Arial" w:eastAsia="Arial" w:hAnsi="Arial"/>
          <w:color w:val="1A1A1A"/>
          <w:sz w:val="22"/>
          <w:szCs w:val="22"/>
        </w:rPr>
        <w:t xml:space="preserve"> Dirigir el proyecto y </w:t>
      </w:r>
      <w:r>
        <w:rPr>
          <w:rFonts w:ascii="Arial" w:cs="Arial" w:eastAsia="Arial" w:hAnsi="Arial"/>
          <w:b/>
          <w:bCs/>
          <w:color w:val="1A1A1A"/>
          <w:sz w:val="22"/>
          <w:szCs w:val="22"/>
        </w:rPr>
        <w:t xml:space="preserve">conformar el equipo que lo llevará adelante</w:t>
      </w:r>
      <w:r>
        <w:rPr>
          <w:rFonts w:ascii="Arial" w:cs="Arial" w:eastAsia="Arial" w:hAnsi="Arial"/>
          <w:color w:val="1A1A1A"/>
          <w:sz w:val="22"/>
          <w:szCs w:val="22"/>
        </w:rPr>
        <w:t xml:space="preserve">: desarrollo, diseño de experiencia de usuario, datos, pruebas, infraestructura y capacitación. Los perfiles y competencias de ese equipo se detallan en el punto 5 de esta etapa. Es responsable de la planificación, del cumplimiento del cronograma, del presupuesto aprobado, de la gestión de riesgos y de las comunicaciones con el patrocinador y las áreas involucradas. Responde por la entrega de los entregables comprometidos en este Acta.</w:t>
      </w:r>
    </w:p>
    <w:p>
      <w:pPr>
        <w:spacing w:after="140" w:line="288"/>
        <w:jc w:val="both"/>
      </w:pPr>
      <w:r>
        <w:rPr>
          <w:rFonts w:ascii="Arial" w:cs="Arial" w:eastAsia="Arial" w:hAnsi="Arial"/>
          <w:b/>
          <w:bCs/>
          <w:color w:val="1A1A1A"/>
          <w:sz w:val="22"/>
          <w:szCs w:val="22"/>
        </w:rPr>
        <w:t xml:space="preserve">Arquitecto de Software / Líder Técnico.</w:t>
      </w:r>
      <w:r>
        <w:rPr>
          <w:rFonts w:ascii="Arial" w:cs="Arial" w:eastAsia="Arial" w:hAnsi="Arial"/>
          <w:color w:val="1A1A1A"/>
          <w:sz w:val="22"/>
          <w:szCs w:val="22"/>
        </w:rPr>
        <w:t xml:space="preserve"> Definir la arquitectura de la plataforma y de las integraciones con SGOT, CRM, la base de datos de clientes y órdenes de trabajo, y el sistema de gestión de red (NMS). Conducir técnicamente al equipo de desarrollo que designe el Director de Proyecto y responder por la calidad técnica de los entregables.</w:t>
      </w:r>
    </w:p>
    <w:p>
      <w:pPr>
        <w:spacing w:after="140" w:line="288"/>
        <w:jc w:val="both"/>
      </w:pPr>
      <w:r>
        <w:rPr>
          <w:rFonts w:ascii="Arial" w:cs="Arial" w:eastAsia="Arial" w:hAnsi="Arial"/>
          <w:b/>
          <w:bCs/>
          <w:color w:val="1A1A1A"/>
          <w:sz w:val="22"/>
          <w:szCs w:val="22"/>
        </w:rPr>
        <w:t xml:space="preserve">Analista Funcional.</w:t>
      </w:r>
      <w:r>
        <w:rPr>
          <w:rFonts w:ascii="Arial" w:cs="Arial" w:eastAsia="Arial" w:hAnsi="Arial"/>
          <w:color w:val="1A1A1A"/>
          <w:sz w:val="22"/>
          <w:szCs w:val="22"/>
        </w:rPr>
        <w:t xml:space="preserve"> Relevar y validar los requerimientos con Supervisión de Instalaciones, técnicos de campo, NOC y Logística. Responsable de la </w:t>
      </w:r>
      <w:r>
        <w:rPr>
          <w:rFonts w:ascii="Arial" w:cs="Arial" w:eastAsia="Arial" w:hAnsi="Arial"/>
          <w:b/>
          <w:bCs/>
          <w:color w:val="1A1A1A"/>
          <w:sz w:val="22"/>
          <w:szCs w:val="22"/>
        </w:rPr>
        <w:t xml:space="preserve">medición de las líneas base</w:t>
      </w:r>
      <w:r>
        <w:rPr>
          <w:rFonts w:ascii="Arial" w:cs="Arial" w:eastAsia="Arial" w:hAnsi="Arial"/>
          <w:color w:val="1A1A1A"/>
          <w:sz w:val="22"/>
          <w:szCs w:val="22"/>
        </w:rPr>
        <w:t xml:space="preserve"> de los indicadores comprometidos en los objetivos, y de la definición de las reglas de priorización y del motor de asignación.</w:t>
      </w:r>
    </w:p>
    <w:p>
      <w:pPr>
        <w:spacing w:after="140" w:line="288"/>
        <w:jc w:val="both"/>
      </w:pPr>
      <w:r>
        <w:rPr>
          <w:rFonts w:ascii="Arial" w:cs="Arial" w:eastAsia="Arial" w:hAnsi="Arial"/>
          <w:b/>
          <w:bCs/>
          <w:color w:val="1A1A1A"/>
          <w:sz w:val="22"/>
          <w:szCs w:val="22"/>
        </w:rPr>
        <w:t xml:space="preserve">Responsable de Seguridad de la Información.</w:t>
      </w:r>
      <w:r>
        <w:rPr>
          <w:rFonts w:ascii="Arial" w:cs="Arial" w:eastAsia="Arial" w:hAnsi="Arial"/>
          <w:color w:val="1A1A1A"/>
          <w:sz w:val="22"/>
          <w:szCs w:val="22"/>
        </w:rPr>
        <w:t xml:space="preserve"> Definir e implementar los controles de acceso, autenticación y auditoría de la plataforma, incluida la baja automática de credenciales integrada con Recursos Humanos. Verificar el cumplimiento de la Ley 25.326 de Protección de Datos Personales sobre los datos de clientes que la aplicación de campo trata.</w:t>
      </w:r>
    </w:p>
    <w:p>
      <w:pPr>
        <w:spacing w:after="140" w:line="288"/>
        <w:jc w:val="both"/>
      </w:pPr>
      <w:r>
        <w:rPr>
          <w:rFonts w:ascii="Arial" w:cs="Arial" w:eastAsia="Arial" w:hAnsi="Arial"/>
          <w:b/>
          <w:bCs/>
          <w:color w:val="1A1A1A"/>
          <w:sz w:val="22"/>
          <w:szCs w:val="22"/>
        </w:rPr>
        <w:t xml:space="preserve">Referente de Operaciones.</w:t>
      </w:r>
      <w:r>
        <w:rPr>
          <w:rFonts w:ascii="Arial" w:cs="Arial" w:eastAsia="Arial" w:hAnsi="Arial"/>
          <w:color w:val="1A1A1A"/>
          <w:sz w:val="22"/>
          <w:szCs w:val="22"/>
        </w:rPr>
        <w:t xml:space="preserve"> Ser el nexo entre el equipo del proyecto y la operación. Facilitar el acceso a la información del proceso, a los técnicos y a las zonas de trabajo; coordinar el piloto y validar funcionalmente los entregables antes de su aceptación.</w:t>
      </w:r>
    </w:p>
    <w:p>
      <w:pPr>
        <w:pStyle w:val="Heading2"/>
        <w:keepNext/>
        <w:spacing w:after="140" w:before="400"/>
      </w:pPr>
      <w:r>
        <w:rPr>
          <w:rFonts w:ascii="Arial" w:cs="Arial" w:eastAsia="Arial" w:hAnsi="Arial"/>
          <w:b/>
          <w:bCs/>
          <w:color w:val="1A1A1A"/>
          <w:spacing w:val="18"/>
          <w:sz w:val="21"/>
          <w:szCs w:val="21"/>
        </w:rPr>
        <w:t xml:space="preserve">DESCRIPCIÓN DE SU AUTORIDAD</w:t>
      </w:r>
    </w:p>
    <w:p>
      <w:pPr>
        <w:spacing w:after="140" w:line="288"/>
        <w:jc w:val="both"/>
      </w:pPr>
      <w:r>
        <w:rPr>
          <w:rFonts w:ascii="Arial" w:cs="Arial" w:eastAsia="Arial" w:hAnsi="Arial"/>
          <w:b/>
          <w:bCs/>
          <w:color w:val="1A1A1A"/>
          <w:sz w:val="22"/>
          <w:szCs w:val="22"/>
        </w:rPr>
        <w:t xml:space="preserve">Director de Proyecto.</w:t>
      </w:r>
      <w:r>
        <w:rPr>
          <w:rFonts w:ascii="Arial" w:cs="Arial" w:eastAsia="Arial" w:hAnsi="Arial"/>
          <w:color w:val="1A1A1A"/>
          <w:sz w:val="22"/>
          <w:szCs w:val="22"/>
        </w:rPr>
        <w:t xml:space="preserve"> Tiene autoridad para asignar trabajo dentro del equipo del proyecto, coordinar con las áreas involucradas y con proveedores, y validar entregables intermedios. Puede aprobar cambios que </w:t>
      </w:r>
      <w:r>
        <w:rPr>
          <w:rFonts w:ascii="Arial" w:cs="Arial" w:eastAsia="Arial" w:hAnsi="Arial"/>
          <w:b/>
          <w:bCs/>
          <w:color w:val="1A1A1A"/>
          <w:sz w:val="22"/>
          <w:szCs w:val="22"/>
        </w:rPr>
        <w:t xml:space="preserve">no afecten</w:t>
      </w:r>
      <w:r>
        <w:rPr>
          <w:rFonts w:ascii="Arial" w:cs="Arial" w:eastAsia="Arial" w:hAnsi="Arial"/>
          <w:color w:val="1A1A1A"/>
          <w:sz w:val="22"/>
          <w:szCs w:val="22"/>
        </w:rPr>
        <w:t xml:space="preserve"> el alcance, el costo total ni la fecha de finalización comprometidos en este Acta; todo cambio que afecte alguno de esos tres factores debe elevarse al patrocinador para su aprobación. Tiene autoridad para acceder a las instalaciones de la organización en horario de funcionamiento y, cuando el proyecto lo requiera, fuera de él, coordinando previamente con el Referente de Operaciones.</w:t>
      </w:r>
    </w:p>
    <w:p>
      <w:pPr>
        <w:spacing w:after="140" w:line="288"/>
        <w:jc w:val="both"/>
      </w:pPr>
      <w:r>
        <w:rPr>
          <w:rFonts w:ascii="Arial" w:cs="Arial" w:eastAsia="Arial" w:hAnsi="Arial"/>
          <w:b/>
          <w:bCs/>
          <w:color w:val="1A1A1A"/>
          <w:sz w:val="22"/>
          <w:szCs w:val="22"/>
        </w:rPr>
        <w:t xml:space="preserve">Arquitecto de Software / Líder Técnico.</w:t>
      </w:r>
      <w:r>
        <w:rPr>
          <w:rFonts w:ascii="Arial" w:cs="Arial" w:eastAsia="Arial" w:hAnsi="Arial"/>
          <w:color w:val="1A1A1A"/>
          <w:sz w:val="22"/>
          <w:szCs w:val="22"/>
        </w:rPr>
        <w:t xml:space="preserve"> Tiene autoridad para definir la arquitectura técnica y aprobar o rechazar diseños de integración. Las decisiones que impliquen modificar los sistemas existentes (SGOT, CRM, NMS) requieren acuerdo previo del área propietaria de cada sistema.</w:t>
      </w:r>
    </w:p>
    <w:p>
      <w:pPr>
        <w:spacing w:after="140" w:line="288"/>
        <w:jc w:val="both"/>
      </w:pPr>
      <w:r>
        <w:rPr>
          <w:rFonts w:ascii="Arial" w:cs="Arial" w:eastAsia="Arial" w:hAnsi="Arial"/>
          <w:b/>
          <w:bCs/>
          <w:color w:val="1A1A1A"/>
          <w:sz w:val="22"/>
          <w:szCs w:val="22"/>
        </w:rPr>
        <w:t xml:space="preserve">Analista Funcional.</w:t>
      </w:r>
      <w:r>
        <w:rPr>
          <w:rFonts w:ascii="Arial" w:cs="Arial" w:eastAsia="Arial" w:hAnsi="Arial"/>
          <w:color w:val="1A1A1A"/>
          <w:sz w:val="22"/>
          <w:szCs w:val="22"/>
        </w:rPr>
        <w:t xml:space="preserve"> Tiene autoridad para convocar a usuarios clave de Operaciones, NOC y Logística a instancias de relevamiento y validación, dentro de la disponibilidad acordada con cada área.</w:t>
      </w:r>
    </w:p>
    <w:p>
      <w:pPr>
        <w:spacing w:after="140" w:line="288"/>
        <w:jc w:val="both"/>
      </w:pPr>
      <w:r>
        <w:rPr>
          <w:rFonts w:ascii="Arial" w:cs="Arial" w:eastAsia="Arial" w:hAnsi="Arial"/>
          <w:b/>
          <w:bCs/>
          <w:color w:val="1A1A1A"/>
          <w:sz w:val="22"/>
          <w:szCs w:val="22"/>
        </w:rPr>
        <w:t xml:space="preserve">Responsable de Seguridad de la Información.</w:t>
      </w:r>
      <w:r>
        <w:rPr>
          <w:rFonts w:ascii="Arial" w:cs="Arial" w:eastAsia="Arial" w:hAnsi="Arial"/>
          <w:color w:val="1A1A1A"/>
          <w:sz w:val="22"/>
          <w:szCs w:val="22"/>
        </w:rPr>
        <w:t xml:space="preserve"> Tiene autoridad para </w:t>
      </w:r>
      <w:r>
        <w:rPr>
          <w:rFonts w:ascii="Arial" w:cs="Arial" w:eastAsia="Arial" w:hAnsi="Arial"/>
          <w:b/>
          <w:bCs/>
          <w:color w:val="1A1A1A"/>
          <w:sz w:val="22"/>
          <w:szCs w:val="22"/>
        </w:rPr>
        <w:t xml:space="preserve">bloquear la puesta en producción</w:t>
      </w:r>
      <w:r>
        <w:rPr>
          <w:rFonts w:ascii="Arial" w:cs="Arial" w:eastAsia="Arial" w:hAnsi="Arial"/>
          <w:color w:val="1A1A1A"/>
          <w:sz w:val="22"/>
          <w:szCs w:val="22"/>
        </w:rPr>
        <w:t xml:space="preserve"> de cualquier componente que no cumpla las políticas de seguridad de la organización o la normativa de protección de datos personales. Esta decisión solo puede ser revertida por la Gerencia de Tecnología y Sistemas.</w:t>
      </w:r>
    </w:p>
    <w:p>
      <w:pPr>
        <w:spacing w:after="140" w:line="288"/>
        <w:jc w:val="both"/>
      </w:pPr>
      <w:r>
        <w:rPr>
          <w:rFonts w:ascii="Arial" w:cs="Arial" w:eastAsia="Arial" w:hAnsi="Arial"/>
          <w:b/>
          <w:bCs/>
          <w:color w:val="1A1A1A"/>
          <w:sz w:val="22"/>
          <w:szCs w:val="22"/>
        </w:rPr>
        <w:t xml:space="preserve">Referente de Operaciones.</w:t>
      </w:r>
      <w:r>
        <w:rPr>
          <w:rFonts w:ascii="Arial" w:cs="Arial" w:eastAsia="Arial" w:hAnsi="Arial"/>
          <w:color w:val="1A1A1A"/>
          <w:sz w:val="22"/>
          <w:szCs w:val="22"/>
        </w:rPr>
        <w:t xml:space="preserve"> Tiene autoridad para autorizar el ingreso del equipo del proyecto a las zonas operativas y para definir, junto con Supervisión de Instalaciones, la zona y el momento del piloto.</w:t>
      </w:r>
    </w:p>
    <w:p>
      <w:pPr>
        <w:spacing w:after="140" w:line="288"/>
        <w:jc w:val="both"/>
      </w:pPr>
      <w:r>
        <w:rPr>
          <w:rFonts w:ascii="Arial" w:cs="Arial" w:eastAsia="Arial" w:hAnsi="Arial"/>
          <w:i/>
          <w:iCs/>
          <w:color w:val="B00020"/>
          <w:sz w:val="22"/>
          <w:szCs w:val="22"/>
        </w:rPr>
        <w:t xml:space="preserve">⚠ </w:t>
      </w:r>
      <w:r>
        <w:rPr>
          <w:rFonts w:ascii="Arial" w:cs="Arial" w:eastAsia="Arial" w:hAnsi="Arial"/>
          <w:i/>
          <w:iCs/>
          <w:color w:val="B00020"/>
          <w:sz w:val="22"/>
          <w:szCs w:val="22"/>
        </w:rPr>
        <w:t xml:space="preserve">Autoridad de compra: el Director de Proyecto puede aprobar adquisiciones hasta el monto fijado por la política de compras vigente de la organización; para excederlo debe solicitar autorización a la Gerencia de Administración y Finanzas.</w:t>
      </w:r>
      <w:r>
        <w:rPr>
          <w:rFonts w:ascii="Arial" w:cs="Arial" w:eastAsia="Arial" w:hAnsi="Arial"/>
          <w:i/>
          <w:iCs/>
          <w:color w:val="B00020"/>
          <w:sz w:val="22"/>
          <w:szCs w:val="22"/>
        </w:rPr>
        <w:t xml:space="preserve"> </w:t>
      </w:r>
      <w:r>
        <w:rPr>
          <w:rFonts w:ascii="Arial" w:cs="Arial" w:eastAsia="Arial" w:hAnsi="Arial"/>
          <w:b/>
          <w:bCs/>
          <w:i/>
          <w:iCs/>
          <w:color w:val="B00020"/>
          <w:sz w:val="22"/>
          <w:szCs w:val="22"/>
        </w:rPr>
        <w:t xml:space="preserve">(Completar con el monto real si el grupo lo define. Este es el campo donde el ejemplo de cátedra es más concreto — conviene no dejarlo genérico.)</w:t>
      </w:r>
    </w:p>
    <w:p>
      <w:pPr>
        <w:spacing w:after="260" w:before="0"/>
      </w:pPr>
    </w:p>
    <w:p>
      <w:pPr>
        <w:pStyle w:val="Heading1"/>
        <w:keepNext/>
        <w:spacing w:after="260" w:before="560"/>
        <w:jc w:val="center"/>
      </w:pPr>
      <w:r>
        <w:rPr>
          <w:rFonts w:ascii="Arial" w:cs="Arial" w:eastAsia="Arial" w:hAnsi="Arial"/>
          <w:b/>
          <w:bCs/>
          <w:color w:val="1A1A1A"/>
          <w:spacing w:val="30"/>
          <w:sz w:val="25"/>
          <w:szCs w:val="25"/>
        </w:rPr>
        <w:t xml:space="preserve">ALCANCE DEL PROYECTO</w:t>
      </w:r>
    </w:p>
    <w:p>
      <w:pPr>
        <w:pStyle w:val="Heading2"/>
        <w:keepNext/>
        <w:spacing w:after="140" w:before="400"/>
      </w:pPr>
      <w:r>
        <w:rPr>
          <w:rFonts w:ascii="Arial" w:cs="Arial" w:eastAsia="Arial" w:hAnsi="Arial"/>
          <w:b/>
          <w:bCs/>
          <w:color w:val="1A1A1A"/>
          <w:spacing w:val="18"/>
          <w:sz w:val="21"/>
          <w:szCs w:val="21"/>
        </w:rPr>
        <w:t xml:space="preserve">JUSTIFICACIÓN</w:t>
      </w:r>
    </w:p>
    <w:p>
      <w:pPr>
        <w:spacing w:after="140" w:line="288"/>
        <w:jc w:val="both"/>
      </w:pPr>
      <w:r>
        <w:rPr>
          <w:rFonts w:ascii="Arial" w:cs="Arial" w:eastAsia="Arial" w:hAnsi="Arial"/>
          <w:color w:val="1A1A1A"/>
          <w:sz w:val="22"/>
          <w:szCs w:val="22"/>
        </w:rPr>
        <w:t xml:space="preserve">El proceso de instalación de internet con fibra óptica, relevado y modelado en la Etapa 1 de este trabajo, presenta tres debilidades que fueron identificadas y documentadas en las etapas anteriores y que hoy no tienen tratamiento:</w:t>
      </w:r>
    </w:p>
    <w:p>
      <w:pPr>
        <w:pStyle w:val="ListParagraph"/>
        <w:numPr>
          <w:ilvl w:val="0"/>
          <w:numId w:val="2"/>
        </w:numPr>
        <w:spacing w:after="100" w:line="276"/>
        <w:jc w:val="both"/>
      </w:pPr>
      <w:r>
        <w:rPr>
          <w:rFonts w:ascii="Arial" w:cs="Arial" w:eastAsia="Arial" w:hAnsi="Arial"/>
          <w:b/>
          <w:bCs/>
          <w:color w:val="1A1A1A"/>
          <w:sz w:val="22"/>
          <w:szCs w:val="22"/>
        </w:rPr>
        <w:t xml:space="preserve">Falta de trazabilidad de la orden de trabajo.</w:t>
      </w:r>
      <w:r>
        <w:rPr>
          <w:rFonts w:ascii="Arial" w:cs="Arial" w:eastAsia="Arial" w:hAnsi="Arial"/>
          <w:color w:val="1A1A1A"/>
          <w:sz w:val="22"/>
          <w:szCs w:val="22"/>
        </w:rPr>
        <w:t xml:space="preserve"> El estado real de la instalación no está disponible en tiempo real para las áreas que lo necesitan, lo que genera reclamos duplicados y consultas manuales entre Operaciones, NOC y el área Comercial.</w:t>
      </w:r>
    </w:p>
    <w:p>
      <w:pPr>
        <w:pStyle w:val="ListParagraph"/>
        <w:numPr>
          <w:ilvl w:val="0"/>
          <w:numId w:val="2"/>
        </w:numPr>
        <w:spacing w:after="100" w:line="276"/>
        <w:jc w:val="both"/>
      </w:pPr>
      <w:r>
        <w:rPr>
          <w:rFonts w:ascii="Arial" w:cs="Arial" w:eastAsia="Arial" w:hAnsi="Arial"/>
          <w:b/>
          <w:bCs/>
          <w:color w:val="1A1A1A"/>
          <w:sz w:val="22"/>
          <w:szCs w:val="22"/>
        </w:rPr>
        <w:t xml:space="preserve">Ausencia de criterio de priorización en la cola de órdenes de trabajo.</w:t>
      </w:r>
      <w:r>
        <w:rPr>
          <w:rFonts w:ascii="Arial" w:cs="Arial" w:eastAsia="Arial" w:hAnsi="Arial"/>
          <w:color w:val="1A1A1A"/>
          <w:sz w:val="22"/>
          <w:szCs w:val="22"/>
        </w:rPr>
        <w:t xml:space="preserve"> Identificado en la Etapa 2 como riesgo </w:t>
      </w:r>
      <w:r>
        <w:rPr>
          <w:rFonts w:ascii="Arial" w:cs="Arial" w:eastAsia="Arial" w:hAnsi="Arial"/>
          <w:b/>
          <w:bCs/>
          <w:color w:val="1A1A1A"/>
          <w:sz w:val="22"/>
          <w:szCs w:val="22"/>
        </w:rPr>
        <w:t xml:space="preserve">R07</w:t>
      </w:r>
      <w:r>
        <w:rPr>
          <w:rFonts w:ascii="Arial" w:cs="Arial" w:eastAsia="Arial" w:hAnsi="Arial"/>
          <w:color w:val="1A1A1A"/>
          <w:sz w:val="22"/>
          <w:szCs w:val="22"/>
        </w:rPr>
        <w:t xml:space="preserve">, valorado en severidad 12 y </w:t>
      </w:r>
      <w:r>
        <w:rPr>
          <w:rFonts w:ascii="Arial" w:cs="Arial" w:eastAsia="Arial" w:hAnsi="Arial"/>
          <w:b/>
          <w:bCs/>
          <w:color w:val="1A1A1A"/>
          <w:sz w:val="22"/>
          <w:szCs w:val="22"/>
        </w:rPr>
        <w:t xml:space="preserve">sin plan de tratamiento</w:t>
      </w:r>
      <w:r>
        <w:rPr>
          <w:rFonts w:ascii="Arial" w:cs="Arial" w:eastAsia="Arial" w:hAnsi="Arial"/>
          <w:color w:val="1A1A1A"/>
          <w:sz w:val="22"/>
          <w:szCs w:val="22"/>
        </w:rPr>
        <w:t xml:space="preserve">.</w:t>
      </w:r>
    </w:p>
    <w:p>
      <w:pPr>
        <w:pStyle w:val="ListParagraph"/>
        <w:numPr>
          <w:ilvl w:val="0"/>
          <w:numId w:val="2"/>
        </w:numPr>
        <w:spacing w:after="100" w:line="276"/>
        <w:jc w:val="both"/>
      </w:pPr>
      <w:r>
        <w:rPr>
          <w:rFonts w:ascii="Arial" w:cs="Arial" w:eastAsia="Arial" w:hAnsi="Arial"/>
          <w:b/>
          <w:bCs/>
          <w:color w:val="1A1A1A"/>
          <w:sz w:val="22"/>
          <w:szCs w:val="22"/>
        </w:rPr>
        <w:t xml:space="preserve">Falta de control de competencias técnicas al asignar una orden.</w:t>
      </w:r>
      <w:r>
        <w:rPr>
          <w:rFonts w:ascii="Arial" w:cs="Arial" w:eastAsia="Arial" w:hAnsi="Arial"/>
          <w:color w:val="1A1A1A"/>
          <w:sz w:val="22"/>
          <w:szCs w:val="22"/>
        </w:rPr>
        <w:t xml:space="preserve"> Identificado en la Etapa 2 como riesgo </w:t>
      </w:r>
      <w:r>
        <w:rPr>
          <w:rFonts w:ascii="Arial" w:cs="Arial" w:eastAsia="Arial" w:hAnsi="Arial"/>
          <w:b/>
          <w:bCs/>
          <w:color w:val="1A1A1A"/>
          <w:sz w:val="22"/>
          <w:szCs w:val="22"/>
        </w:rPr>
        <w:t xml:space="preserve">R04</w:t>
      </w:r>
      <w:r>
        <w:rPr>
          <w:rFonts w:ascii="Arial" w:cs="Arial" w:eastAsia="Arial" w:hAnsi="Arial"/>
          <w:color w:val="1A1A1A"/>
          <w:sz w:val="22"/>
          <w:szCs w:val="22"/>
        </w:rPr>
        <w:t xml:space="preserve"> — técnico sin capacitación en el nuevo modelo de ONT —, valorado en severidad 12 y </w:t>
      </w:r>
      <w:r>
        <w:rPr>
          <w:rFonts w:ascii="Arial" w:cs="Arial" w:eastAsia="Arial" w:hAnsi="Arial"/>
          <w:b/>
          <w:bCs/>
          <w:color w:val="1A1A1A"/>
          <w:sz w:val="22"/>
          <w:szCs w:val="22"/>
        </w:rPr>
        <w:t xml:space="preserve">también sin plan de tratamiento</w:t>
      </w:r>
      <w:r>
        <w:rPr>
          <w:rFonts w:ascii="Arial" w:cs="Arial" w:eastAsia="Arial" w:hAnsi="Arial"/>
          <w:color w:val="1A1A1A"/>
          <w:sz w:val="22"/>
          <w:szCs w:val="22"/>
        </w:rPr>
        <w:t xml:space="preserve">.</w:t>
      </w:r>
    </w:p>
    <w:p>
      <w:pPr>
        <w:spacing w:after="140" w:line="288"/>
        <w:jc w:val="both"/>
      </w:pPr>
      <w:r>
        <w:rPr>
          <w:rFonts w:ascii="Arial" w:cs="Arial" w:eastAsia="Arial" w:hAnsi="Arial"/>
          <w:color w:val="1A1A1A"/>
          <w:sz w:val="22"/>
          <w:szCs w:val="22"/>
        </w:rPr>
        <w:t xml:space="preserve">Este proyecto constituye el tratamiento de los riesgos R04 y R07, cubriendo un hueco de la etapa anterior, y contribuye adicionalmente a la mitigación de R06 (ausencia de flujo de escalamiento en el CRM) al eliminar aguas arriba la causa de los reclamos duplicados, y de R05 (credenciales de contratistas sin baja), dado que la aplicación de campo es el control ya comprometido en la Etapa 2 para que los técnicos contratistas operen sin acceso a los sistemas de backend.</w:t>
      </w:r>
    </w:p>
    <w:p>
      <w:pPr>
        <w:spacing w:after="140" w:line="288"/>
        <w:jc w:val="both"/>
      </w:pPr>
      <w:r>
        <w:rPr>
          <w:rFonts w:ascii="Arial" w:cs="Arial" w:eastAsia="Arial" w:hAnsi="Arial"/>
          <w:color w:val="1A1A1A"/>
          <w:sz w:val="22"/>
          <w:szCs w:val="22"/>
        </w:rPr>
        <w:t xml:space="preserve">Asimismo, el proyecto da cumplimiento al </w:t>
      </w:r>
      <w:r>
        <w:rPr>
          <w:rFonts w:ascii="Arial" w:cs="Arial" w:eastAsia="Arial" w:hAnsi="Arial"/>
          <w:b/>
          <w:bCs/>
          <w:color w:val="1A1A1A"/>
          <w:sz w:val="22"/>
          <w:szCs w:val="22"/>
        </w:rPr>
        <w:t xml:space="preserve">objetivo de TI ya definido por la organización en la Etapa 1</w:t>
      </w:r>
      <w:r>
        <w:rPr>
          <w:rFonts w:ascii="Arial" w:cs="Arial" w:eastAsia="Arial" w:hAnsi="Arial"/>
          <w:color w:val="1A1A1A"/>
          <w:sz w:val="22"/>
          <w:szCs w:val="22"/>
        </w:rPr>
        <w:t xml:space="preserve"> — </w:t>
      </w:r>
      <w:r>
        <w:rPr>
          <w:rFonts w:ascii="Arial" w:cs="Arial" w:eastAsia="Arial" w:hAnsi="Arial"/>
          <w:i/>
          <w:iCs/>
          <w:color w:val="1A1A1A"/>
          <w:sz w:val="22"/>
          <w:szCs w:val="22"/>
        </w:rPr>
        <w:t xml:space="preserve">implementar una aplicación de gestión para técnicos de campo que permita aumentar la productividad operativa en un 5%</w:t>
      </w:r>
      <w:r>
        <w:rPr>
          <w:rFonts w:ascii="Arial" w:cs="Arial" w:eastAsia="Arial" w:hAnsi="Arial"/>
          <w:color w:val="1A1A1A"/>
          <w:sz w:val="22"/>
          <w:szCs w:val="22"/>
        </w:rPr>
        <w:t xml:space="preserve"> — y a la meta de TI </w:t>
      </w:r>
      <w:r>
        <w:rPr>
          <w:rFonts w:ascii="Arial" w:cs="Arial" w:eastAsia="Arial" w:hAnsi="Arial"/>
          <w:i/>
          <w:iCs/>
          <w:color w:val="1A1A1A"/>
          <w:sz w:val="22"/>
          <w:szCs w:val="22"/>
        </w:rPr>
        <w:t xml:space="preserve">Asignación Optimizada de Técnicos</w:t>
      </w:r>
      <w:r>
        <w:rPr>
          <w:rFonts w:ascii="Arial" w:cs="Arial" w:eastAsia="Arial" w:hAnsi="Arial"/>
          <w:color w:val="1A1A1A"/>
          <w:sz w:val="22"/>
          <w:szCs w:val="22"/>
        </w:rPr>
        <w:t xml:space="preserve">, ambos alineados con el objetivo de negocio de </w:t>
      </w:r>
      <w:r>
        <w:rPr>
          <w:rFonts w:ascii="Arial" w:cs="Arial" w:eastAsia="Arial" w:hAnsi="Arial"/>
          <w:i/>
          <w:iCs/>
          <w:color w:val="1A1A1A"/>
          <w:sz w:val="22"/>
          <w:szCs w:val="22"/>
        </w:rPr>
        <w:t xml:space="preserve">aumentar el rendimiento de los técnicos en un 5%, medido como instalaciones sobre horas de trabajo</w:t>
      </w:r>
      <w:r>
        <w:rPr>
          <w:rFonts w:ascii="Arial" w:cs="Arial" w:eastAsia="Arial" w:hAnsi="Arial"/>
          <w:color w:val="1A1A1A"/>
          <w:sz w:val="22"/>
          <w:szCs w:val="22"/>
        </w:rPr>
        <w:t xml:space="preserve">.</w:t>
      </w:r>
    </w:p>
    <w:p>
      <w:pPr>
        <w:pStyle w:val="Heading2"/>
        <w:keepNext/>
        <w:spacing w:after="140" w:before="400"/>
      </w:pPr>
      <w:r>
        <w:rPr>
          <w:rFonts w:ascii="Arial" w:cs="Arial" w:eastAsia="Arial" w:hAnsi="Arial"/>
          <w:b/>
          <w:bCs/>
          <w:color w:val="1A1A1A"/>
          <w:spacing w:val="18"/>
          <w:sz w:val="21"/>
          <w:szCs w:val="21"/>
        </w:rPr>
        <w:t xml:space="preserve">PRODUCTO</w:t>
      </w:r>
    </w:p>
    <w:p>
      <w:pPr>
        <w:spacing w:after="140" w:line="288"/>
        <w:jc w:val="both"/>
      </w:pPr>
      <w:r>
        <w:rPr>
          <w:rFonts w:ascii="Arial" w:cs="Arial" w:eastAsia="Arial" w:hAnsi="Arial"/>
          <w:b/>
          <w:bCs/>
          <w:color w:val="1A1A1A"/>
          <w:sz w:val="22"/>
          <w:szCs w:val="22"/>
        </w:rPr>
        <w:t xml:space="preserve">Plataforma de Gestión de Órdenes de Trabajo de Campo (OT-Campo)</w:t>
      </w:r>
      <w:r>
        <w:rPr>
          <w:rFonts w:ascii="Arial" w:cs="Arial" w:eastAsia="Arial" w:hAnsi="Arial"/>
          <w:color w:val="1A1A1A"/>
          <w:sz w:val="22"/>
          <w:szCs w:val="22"/>
        </w:rPr>
        <w:t xml:space="preserve">: solución de desarrollo interno, en producción e integrada con los sistemas existentes, que gestiona el ciclo completo de la orden de trabajo de instalación de fibra óptica, desde el despacho hasta el cierre con conformidad del cliente.</w:t>
      </w:r>
    </w:p>
    <w:p>
      <w:pPr>
        <w:spacing w:after="140" w:line="288"/>
        <w:jc w:val="both"/>
      </w:pPr>
      <w:r>
        <w:rPr>
          <w:rFonts w:ascii="Arial" w:cs="Arial" w:eastAsia="Arial" w:hAnsi="Arial"/>
          <w:color w:val="1A1A1A"/>
          <w:sz w:val="22"/>
          <w:szCs w:val="22"/>
        </w:rPr>
        <w:t xml:space="preserve">Comprende seis componentes:</w:t>
      </w:r>
    </w:p>
    <w:p>
      <w:pPr>
        <w:pStyle w:val="ListParagraph"/>
        <w:numPr>
          <w:ilvl w:val="0"/>
          <w:numId w:val="2"/>
        </w:numPr>
        <w:spacing w:after="100" w:line="276"/>
        <w:jc w:val="both"/>
      </w:pPr>
      <w:r>
        <w:rPr>
          <w:rFonts w:ascii="Arial" w:cs="Arial" w:eastAsia="Arial" w:hAnsi="Arial"/>
          <w:color w:val="1A1A1A"/>
          <w:sz w:val="22"/>
          <w:szCs w:val="22"/>
        </w:rPr>
        <w:t xml:space="preserve">Módulo de despacho y priorización, con cola única alimentada por CRM, SGOT y excepciones del NMS, cronómetro de SLA y escalamiento.</w:t>
      </w:r>
    </w:p>
    <w:p>
      <w:pPr>
        <w:pStyle w:val="ListParagraph"/>
        <w:numPr>
          <w:ilvl w:val="0"/>
          <w:numId w:val="2"/>
        </w:numPr>
        <w:spacing w:after="100" w:line="276"/>
        <w:jc w:val="both"/>
      </w:pPr>
      <w:r>
        <w:rPr>
          <w:rFonts w:ascii="Arial" w:cs="Arial" w:eastAsia="Arial" w:hAnsi="Arial"/>
          <w:color w:val="1A1A1A"/>
          <w:sz w:val="22"/>
          <w:szCs w:val="22"/>
        </w:rPr>
        <w:t xml:space="preserve">Motor de asignación por competencia certificada, zona o nodo, carga del día, ventana horaria y stock del vehículo.</w:t>
      </w:r>
    </w:p>
    <w:p>
      <w:pPr>
        <w:pStyle w:val="ListParagraph"/>
        <w:numPr>
          <w:ilvl w:val="0"/>
          <w:numId w:val="2"/>
        </w:numPr>
        <w:spacing w:after="100" w:line="276"/>
        <w:jc w:val="both"/>
      </w:pPr>
      <w:r>
        <w:rPr>
          <w:rFonts w:ascii="Arial" w:cs="Arial" w:eastAsia="Arial" w:hAnsi="Arial"/>
          <w:color w:val="1A1A1A"/>
          <w:sz w:val="22"/>
          <w:szCs w:val="22"/>
        </w:rPr>
        <w:t xml:space="preserve">Aplicación móvil de campo </w:t>
      </w:r>
      <w:r>
        <w:rPr>
          <w:rFonts w:ascii="Arial" w:cs="Arial" w:eastAsia="Arial" w:hAnsi="Arial"/>
          <w:i/>
          <w:iCs/>
          <w:color w:val="1A1A1A"/>
          <w:sz w:val="22"/>
          <w:szCs w:val="22"/>
        </w:rPr>
        <w:t xml:space="preserve">offline-first</w:t>
      </w:r>
      <w:r>
        <w:rPr>
          <w:rFonts w:ascii="Arial" w:cs="Arial" w:eastAsia="Arial" w:hAnsi="Arial"/>
          <w:color w:val="1A1A1A"/>
          <w:sz w:val="22"/>
          <w:szCs w:val="22"/>
        </w:rPr>
        <w:t xml:space="preserve">, con agenda, ficha de orden de trabajo, checklist por modelo de ONT, registro de mediciones ópticas, evidencia fotográfica, geolocalización, consumo de materiales, tipificación obligatoria del motivo cuando la visita no se completa y conformidad del cliente con firma digital.</w:t>
      </w:r>
    </w:p>
    <w:p>
      <w:pPr>
        <w:pStyle w:val="ListParagraph"/>
        <w:numPr>
          <w:ilvl w:val="0"/>
          <w:numId w:val="2"/>
        </w:numPr>
        <w:spacing w:after="100" w:line="276"/>
        <w:jc w:val="both"/>
      </w:pPr>
      <w:r>
        <w:rPr>
          <w:rFonts w:ascii="Arial" w:cs="Arial" w:eastAsia="Arial" w:hAnsi="Arial"/>
          <w:color w:val="1A1A1A"/>
          <w:sz w:val="22"/>
          <w:szCs w:val="22"/>
        </w:rPr>
        <w:t xml:space="preserve">Integraciones con SGOT, CRM, base de datos de clientes y órdenes de trabajo, NMS y sistema de stock.</w:t>
      </w:r>
    </w:p>
    <w:p>
      <w:pPr>
        <w:pStyle w:val="ListParagraph"/>
        <w:numPr>
          <w:ilvl w:val="0"/>
          <w:numId w:val="2"/>
        </w:numPr>
        <w:spacing w:after="100" w:line="276"/>
        <w:jc w:val="both"/>
      </w:pPr>
      <w:r>
        <w:rPr>
          <w:rFonts w:ascii="Arial" w:cs="Arial" w:eastAsia="Arial" w:hAnsi="Arial"/>
          <w:color w:val="1A1A1A"/>
          <w:sz w:val="22"/>
          <w:szCs w:val="22"/>
        </w:rPr>
        <w:t xml:space="preserve">Capa de seguridad: inicio de sesión único con doble factor, mínimo privilegio, baja automática de credenciales integrada con Recursos Humanos y registro de auditoría.</w:t>
      </w:r>
    </w:p>
    <w:p>
      <w:pPr>
        <w:pStyle w:val="ListParagraph"/>
        <w:numPr>
          <w:ilvl w:val="0"/>
          <w:numId w:val="2"/>
        </w:numPr>
        <w:spacing w:after="100" w:line="276"/>
        <w:jc w:val="both"/>
      </w:pPr>
      <w:r>
        <w:rPr>
          <w:rFonts w:ascii="Arial" w:cs="Arial" w:eastAsia="Arial" w:hAnsi="Arial"/>
          <w:color w:val="1A1A1A"/>
          <w:sz w:val="22"/>
          <w:szCs w:val="22"/>
        </w:rPr>
        <w:t xml:space="preserve">Tablero de indicadores para Supervisión y Gerencia de Operaciones.</w:t>
      </w:r>
    </w:p>
    <w:p>
      <w:pPr>
        <w:spacing w:after="140" w:line="288"/>
        <w:jc w:val="both"/>
      </w:pPr>
      <w:r>
        <w:rPr>
          <w:rFonts w:ascii="Arial" w:cs="Arial" w:eastAsia="Arial" w:hAnsi="Arial"/>
          <w:i/>
          <w:iCs/>
          <w:color w:val="B00020"/>
          <w:sz w:val="22"/>
          <w:szCs w:val="22"/>
        </w:rPr>
        <w:t xml:space="preserve">⚠ </w:t>
      </w:r>
      <w:r>
        <w:rPr>
          <w:rFonts w:ascii="Arial" w:cs="Arial" w:eastAsia="Arial" w:hAnsi="Arial"/>
          <w:i/>
          <w:iCs/>
          <w:color w:val="B00020"/>
          <w:sz w:val="22"/>
          <w:szCs w:val="22"/>
        </w:rPr>
        <w:t xml:space="preserve">Si el docente objeta el desarrollo interno, este apartado cambia a "solución de mercado configurada e integrada" y el componente 3 pasa a ser configuración de la aplicación del proveedor.</w:t>
      </w:r>
    </w:p>
    <w:p>
      <w:pPr>
        <w:pStyle w:val="Heading2"/>
        <w:keepNext/>
        <w:spacing w:after="140" w:before="400"/>
      </w:pPr>
      <w:r>
        <w:rPr>
          <w:rFonts w:ascii="Arial" w:cs="Arial" w:eastAsia="Arial" w:hAnsi="Arial"/>
          <w:b/>
          <w:bCs/>
          <w:color w:val="1A1A1A"/>
          <w:spacing w:val="18"/>
          <w:sz w:val="21"/>
          <w:szCs w:val="21"/>
        </w:rPr>
        <w:t xml:space="preserve">ENTREGABLES</w:t>
      </w:r>
    </w:p>
    <w:p>
      <w:pPr>
        <w:spacing w:after="140" w:line="288"/>
        <w:jc w:val="both"/>
      </w:pPr>
      <w:r>
        <w:rPr>
          <w:rFonts w:ascii="Arial" w:cs="Arial" w:eastAsia="Arial" w:hAnsi="Arial"/>
          <w:color w:val="1A1A1A"/>
          <w:sz w:val="22"/>
          <w:szCs w:val="22"/>
        </w:rPr>
        <w:t xml:space="preserve">Primera aproximación de la Estructura de Desglose de Trabajo, con los entregables principales por fase:</w:t>
      </w:r>
    </w:p>
    <w:tbl>
      <w:tblPr>
        <w:tblW w:type="dxa" w:w="9638"/>
        <w:tblBorders>
          <w:top w:val="single" w:color="C7CBCF" w:sz="4"/>
          <w:left w:val="single" w:color="E2E5E8" w:sz="2"/>
          <w:bottom w:val="single" w:color="C7CBCF" w:sz="4"/>
          <w:right w:val="single" w:color="E2E5E8" w:sz="2"/>
          <w:insideH w:val="single" w:color="C7CBCF" w:sz="2"/>
          <w:insideV w:val="single" w:color="E2E5E8" w:sz="2"/>
        </w:tblBorders>
        <w:tblLayout w:type="fixed"/>
      </w:tblPr>
      <w:tblGrid>
        <w:gridCol w:w="2891"/>
        <w:gridCol w:w="6747"/>
      </w:tblGrid>
      <w:tr>
        <w:trPr>
          <w:cantSplit/>
          <w:tblHeader/>
        </w:trPr>
        <w:tc>
          <w:tcPr>
            <w:tcW w:type="dxa" w:w="2891"/>
            <w:shd w:fill="F4F5F6"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1A1A1A"/>
                <w:sz w:val="18"/>
                <w:szCs w:val="18"/>
              </w:rPr>
              <w:t xml:space="preserve">Fase</w:t>
            </w:r>
          </w:p>
        </w:tc>
        <w:tc>
          <w:tcPr>
            <w:tcW w:type="dxa" w:w="6747"/>
            <w:shd w:fill="F4F5F6"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1A1A1A"/>
                <w:sz w:val="18"/>
                <w:szCs w:val="18"/>
              </w:rPr>
              <w:t xml:space="preserve">Entregable principal</w:t>
            </w:r>
          </w:p>
        </w:tc>
      </w:tr>
      <w:tr>
        <w:trPr>
          <w:cantSplit/>
          <w:tblHeader w:val="false"/>
        </w:trPr>
        <w:tc>
          <w:tcPr>
            <w:tcW w:type="dxa" w:w="289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1. Inicio</w:t>
            </w:r>
          </w:p>
        </w:tc>
        <w:tc>
          <w:tcPr>
            <w:tcW w:type="dxa" w:w="674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Acta de Proyecto aprobada</w:t>
            </w:r>
          </w:p>
        </w:tc>
      </w:tr>
      <w:tr>
        <w:trPr>
          <w:cantSplit/>
          <w:tblHeader w:val="false"/>
        </w:trPr>
        <w:tc>
          <w:tcPr>
            <w:tcW w:type="dxa" w:w="289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2. Relevamiento y análisis</w:t>
            </w:r>
          </w:p>
        </w:tc>
        <w:tc>
          <w:tcPr>
            <w:tcW w:type="dxa" w:w="674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Documento de requerimientos validado y </w:t>
            </w:r>
            <w:r>
              <w:rPr>
                <w:rFonts w:ascii="Arial" w:cs="Arial" w:eastAsia="Arial" w:hAnsi="Arial"/>
                <w:b/>
                <w:bCs/>
                <w:color w:val="1A1A1A"/>
                <w:sz w:val="18"/>
                <w:szCs w:val="18"/>
              </w:rPr>
              <w:t xml:space="preserve">medición de las líneas base</w:t>
            </w:r>
            <w:r>
              <w:rPr>
                <w:rFonts w:ascii="Arial" w:cs="Arial" w:eastAsia="Arial" w:hAnsi="Arial"/>
                <w:color w:val="1A1A1A"/>
                <w:sz w:val="18"/>
                <w:szCs w:val="18"/>
              </w:rPr>
              <w:t xml:space="preserve"> de los indicadores</w:t>
            </w:r>
          </w:p>
        </w:tc>
      </w:tr>
      <w:tr>
        <w:trPr>
          <w:cantSplit/>
          <w:tblHeader w:val="false"/>
        </w:trPr>
        <w:tc>
          <w:tcPr>
            <w:tcW w:type="dxa" w:w="289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3. Arquitectura y diseño técnico</w:t>
            </w:r>
          </w:p>
        </w:tc>
        <w:tc>
          <w:tcPr>
            <w:tcW w:type="dxa" w:w="674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Documento de arquitectura y diseño de integraciones aprobado</w:t>
            </w:r>
          </w:p>
        </w:tc>
      </w:tr>
      <w:tr>
        <w:trPr>
          <w:cantSplit/>
          <w:tblHeader w:val="false"/>
        </w:trPr>
        <w:tc>
          <w:tcPr>
            <w:tcW w:type="dxa" w:w="289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4. Adquisiciones</w:t>
            </w:r>
          </w:p>
        </w:tc>
        <w:tc>
          <w:tcPr>
            <w:tcW w:type="dxa" w:w="674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Dispositivos, infraestructura y servicios contratados</w:t>
            </w:r>
          </w:p>
        </w:tc>
      </w:tr>
      <w:tr>
        <w:trPr>
          <w:cantSplit/>
          <w:tblHeader w:val="false"/>
        </w:trPr>
        <w:tc>
          <w:tcPr>
            <w:tcW w:type="dxa" w:w="289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5. Desarrollo por módulos</w:t>
            </w:r>
          </w:p>
        </w:tc>
        <w:tc>
          <w:tcPr>
            <w:tcW w:type="dxa" w:w="674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Módulos de despacho, motor de asignación y aplicación móvil construidos</w:t>
            </w:r>
          </w:p>
        </w:tc>
      </w:tr>
      <w:tr>
        <w:trPr>
          <w:cantSplit/>
          <w:tblHeader w:val="false"/>
        </w:trPr>
        <w:tc>
          <w:tcPr>
            <w:tcW w:type="dxa" w:w="289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6. Integración y seguridad</w:t>
            </w:r>
          </w:p>
        </w:tc>
        <w:tc>
          <w:tcPr>
            <w:tcW w:type="dxa" w:w="674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Integraciones operativas y controles de seguridad implementados</w:t>
            </w:r>
          </w:p>
        </w:tc>
      </w:tr>
      <w:tr>
        <w:trPr>
          <w:cantSplit/>
          <w:tblHeader w:val="false"/>
        </w:trPr>
        <w:tc>
          <w:tcPr>
            <w:tcW w:type="dxa" w:w="289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7. Migración de datos</w:t>
            </w:r>
          </w:p>
        </w:tc>
        <w:tc>
          <w:tcPr>
            <w:tcW w:type="dxa" w:w="674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Matriz de competencias y datos maestros cargados</w:t>
            </w:r>
          </w:p>
        </w:tc>
      </w:tr>
      <w:tr>
        <w:trPr>
          <w:cantSplit/>
          <w:tblHeader w:val="false"/>
        </w:trPr>
        <w:tc>
          <w:tcPr>
            <w:tcW w:type="dxa" w:w="289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8. Pruebas</w:t>
            </w:r>
          </w:p>
        </w:tc>
        <w:tc>
          <w:tcPr>
            <w:tcW w:type="dxa" w:w="674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Informe de pruebas funcionales, de integración y de seguridad</w:t>
            </w:r>
          </w:p>
        </w:tc>
      </w:tr>
      <w:tr>
        <w:trPr>
          <w:cantSplit/>
          <w:tblHeader w:val="false"/>
        </w:trPr>
        <w:tc>
          <w:tcPr>
            <w:tcW w:type="dxa" w:w="289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9. Piloto</w:t>
            </w:r>
          </w:p>
        </w:tc>
        <w:tc>
          <w:tcPr>
            <w:tcW w:type="dxa" w:w="674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Informe de piloto en zona acotada, con ajustes aplicados</w:t>
            </w:r>
          </w:p>
        </w:tc>
      </w:tr>
      <w:tr>
        <w:trPr>
          <w:cantSplit/>
          <w:tblHeader w:val="false"/>
        </w:trPr>
        <w:tc>
          <w:tcPr>
            <w:tcW w:type="dxa" w:w="289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10. Capacitación</w:t>
            </w:r>
          </w:p>
        </w:tc>
        <w:tc>
          <w:tcPr>
            <w:tcW w:type="dxa" w:w="674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Técnicos, supervisores y despachantes capacitados</w:t>
            </w:r>
          </w:p>
        </w:tc>
      </w:tr>
      <w:tr>
        <w:trPr>
          <w:cantSplit/>
          <w:tblHeader w:val="false"/>
        </w:trPr>
        <w:tc>
          <w:tcPr>
            <w:tcW w:type="dxa" w:w="289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11. Despliegue por olas</w:t>
            </w:r>
          </w:p>
        </w:tc>
        <w:tc>
          <w:tcPr>
            <w:tcW w:type="dxa" w:w="674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Plataforma en producción en todas las zonas</w:t>
            </w:r>
          </w:p>
        </w:tc>
      </w:tr>
      <w:tr>
        <w:trPr>
          <w:cantSplit/>
          <w:tblHeader w:val="false"/>
        </w:trPr>
        <w:tc>
          <w:tcPr>
            <w:tcW w:type="dxa" w:w="2891"/>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12. Estabilización y cierre</w:t>
            </w:r>
          </w:p>
        </w:tc>
        <w:tc>
          <w:tcPr>
            <w:tcW w:type="dxa" w:w="6747"/>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Documentación, transferencia operativa, alta del elemento de configuración en la CMDB y cierre formal</w:t>
            </w:r>
          </w:p>
        </w:tc>
      </w:tr>
    </w:tbl>
    <w:p>
      <w:pPr>
        <w:spacing w:after="200"/>
      </w:pPr>
    </w:p>
    <w:p>
      <w:pPr>
        <w:pStyle w:val="Heading2"/>
        <w:keepNext/>
        <w:spacing w:after="140" w:before="400"/>
      </w:pPr>
      <w:r>
        <w:rPr>
          <w:rFonts w:ascii="Arial" w:cs="Arial" w:eastAsia="Arial" w:hAnsi="Arial"/>
          <w:b/>
          <w:bCs/>
          <w:color w:val="1A1A1A"/>
          <w:spacing w:val="18"/>
          <w:sz w:val="21"/>
          <w:szCs w:val="21"/>
        </w:rPr>
        <w:t xml:space="preserve">OBJETIVOS</w:t>
      </w:r>
    </w:p>
    <w:tbl>
      <w:tblPr>
        <w:tblW w:type="dxa" w:w="9638"/>
        <w:tblBorders>
          <w:top w:val="single" w:color="C7CBCF" w:sz="4"/>
          <w:left w:val="single" w:color="E2E5E8" w:sz="2"/>
          <w:bottom w:val="single" w:color="C7CBCF" w:sz="4"/>
          <w:right w:val="single" w:color="E2E5E8" w:sz="2"/>
          <w:insideH w:val="single" w:color="C7CBCF" w:sz="2"/>
          <w:insideV w:val="single" w:color="E2E5E8" w:sz="2"/>
        </w:tblBorders>
        <w:tblLayout w:type="fixed"/>
      </w:tblPr>
      <w:tblGrid>
        <w:gridCol w:w="482"/>
        <w:gridCol w:w="2120"/>
        <w:gridCol w:w="2602"/>
        <w:gridCol w:w="1542"/>
        <w:gridCol w:w="1253"/>
        <w:gridCol w:w="1639"/>
      </w:tblGrid>
      <w:tr>
        <w:trPr>
          <w:cantSplit/>
          <w:tblHeader/>
        </w:trPr>
        <w:tc>
          <w:tcPr>
            <w:tcW w:type="dxa" w:w="482"/>
            <w:shd w:fill="F4F5F6"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1A1A1A"/>
                <w:sz w:val="18"/>
                <w:szCs w:val="18"/>
              </w:rPr>
              <w:t xml:space="preserve">#</w:t>
            </w:r>
          </w:p>
        </w:tc>
        <w:tc>
          <w:tcPr>
            <w:tcW w:type="dxa" w:w="2120"/>
            <w:shd w:fill="F4F5F6"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1A1A1A"/>
                <w:sz w:val="18"/>
                <w:szCs w:val="18"/>
              </w:rPr>
              <w:t xml:space="preserve">Objetivo</w:t>
            </w:r>
          </w:p>
        </w:tc>
        <w:tc>
          <w:tcPr>
            <w:tcW w:type="dxa" w:w="2602"/>
            <w:shd w:fill="F4F5F6"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1A1A1A"/>
                <w:sz w:val="18"/>
                <w:szCs w:val="18"/>
              </w:rPr>
              <w:t xml:space="preserve">Indicador</w:t>
            </w:r>
          </w:p>
        </w:tc>
        <w:tc>
          <w:tcPr>
            <w:tcW w:type="dxa" w:w="1542"/>
            <w:shd w:fill="F4F5F6"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1A1A1A"/>
                <w:sz w:val="18"/>
                <w:szCs w:val="18"/>
              </w:rPr>
              <w:t xml:space="preserve">Línea base</w:t>
            </w:r>
          </w:p>
        </w:tc>
        <w:tc>
          <w:tcPr>
            <w:tcW w:type="dxa" w:w="1253"/>
            <w:shd w:fill="F4F5F6"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1A1A1A"/>
                <w:sz w:val="18"/>
                <w:szCs w:val="18"/>
              </w:rPr>
              <w:t xml:space="preserve">Meta</w:t>
            </w:r>
          </w:p>
        </w:tc>
        <w:tc>
          <w:tcPr>
            <w:tcW w:type="dxa" w:w="1639"/>
            <w:shd w:fill="F4F5F6"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1A1A1A"/>
                <w:sz w:val="18"/>
                <w:szCs w:val="18"/>
              </w:rPr>
              <w:t xml:space="preserve">Plazo</w:t>
            </w:r>
          </w:p>
        </w:tc>
      </w:tr>
      <w:tr>
        <w:trPr>
          <w:cantSplit/>
          <w:tblHeader w:val="false"/>
        </w:trPr>
        <w:tc>
          <w:tcPr>
            <w:tcW w:type="dxa" w:w="482"/>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O1</w:t>
            </w:r>
          </w:p>
        </w:tc>
        <w:tc>
          <w:tcPr>
            <w:tcW w:type="dxa" w:w="2120"/>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Aumentar la productividad del técnico de campo</w:t>
            </w:r>
          </w:p>
        </w:tc>
        <w:tc>
          <w:tcPr>
            <w:tcW w:type="dxa" w:w="2602"/>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Instalaciones finalizadas conformes ÷ horas-técnico disponibles</w:t>
            </w:r>
          </w:p>
        </w:tc>
        <w:tc>
          <w:tcPr>
            <w:tcW w:type="dxa" w:w="1542"/>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0,50 inst./hora-técnico </w:t>
            </w:r>
            <w:r>
              <w:rPr>
                <w:rFonts w:ascii="Arial" w:cs="Arial" w:eastAsia="Arial" w:hAnsi="Arial"/>
                <w:i/>
                <w:iCs/>
                <w:color w:val="1A1A1A"/>
                <w:sz w:val="18"/>
                <w:szCs w:val="18"/>
              </w:rPr>
              <w:t xml:space="preserve">(supuesto)</w:t>
            </w:r>
          </w:p>
        </w:tc>
        <w:tc>
          <w:tcPr>
            <w:tcW w:type="dxa" w:w="1253"/>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0,525 (+5%)</w:t>
            </w:r>
          </w:p>
        </w:tc>
        <w:tc>
          <w:tcPr>
            <w:tcW w:type="dxa" w:w="1639"/>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6 meses desde la puesta en producción</w:t>
            </w:r>
          </w:p>
        </w:tc>
      </w:tr>
      <w:tr>
        <w:trPr>
          <w:cantSplit/>
          <w:tblHeader w:val="false"/>
        </w:trPr>
        <w:tc>
          <w:tcPr>
            <w:tcW w:type="dxa" w:w="482"/>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O2</w:t>
            </w:r>
          </w:p>
        </w:tc>
        <w:tc>
          <w:tcPr>
            <w:tcW w:type="dxa" w:w="2120"/>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Reducir la latencia de registro del cierre de la orden de trabajo</w:t>
            </w:r>
          </w:p>
        </w:tc>
        <w:tc>
          <w:tcPr>
            <w:tcW w:type="dxa" w:w="2602"/>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 de órdenes cerradas en el sistema dentro de los 15 minutos de terminada la visita, y tiempo medio entre asignación y cierre</w:t>
            </w:r>
          </w:p>
        </w:tc>
        <w:tc>
          <w:tcPr>
            <w:tcW w:type="dxa" w:w="1542"/>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20% · 26 h </w:t>
            </w:r>
            <w:r>
              <w:rPr>
                <w:rFonts w:ascii="Arial" w:cs="Arial" w:eastAsia="Arial" w:hAnsi="Arial"/>
                <w:i/>
                <w:iCs/>
                <w:color w:val="1A1A1A"/>
                <w:sz w:val="18"/>
                <w:szCs w:val="18"/>
              </w:rPr>
              <w:t xml:space="preserve">(supuesto)</w:t>
            </w:r>
          </w:p>
        </w:tc>
        <w:tc>
          <w:tcPr>
            <w:tcW w:type="dxa" w:w="1253"/>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≥90% · ≤8 h</w:t>
            </w:r>
          </w:p>
        </w:tc>
        <w:tc>
          <w:tcPr>
            <w:tcW w:type="dxa" w:w="1639"/>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Mes 4, sostenido 3 meses</w:t>
            </w:r>
          </w:p>
        </w:tc>
      </w:tr>
      <w:tr>
        <w:trPr>
          <w:cantSplit/>
          <w:tblHeader w:val="false"/>
        </w:trPr>
        <w:tc>
          <w:tcPr>
            <w:tcW w:type="dxa" w:w="482"/>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O3</w:t>
            </w:r>
          </w:p>
        </w:tc>
        <w:tc>
          <w:tcPr>
            <w:tcW w:type="dxa" w:w="2120"/>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Reducir las visitas fallidas por causa evitable</w:t>
            </w:r>
          </w:p>
        </w:tc>
        <w:tc>
          <w:tcPr>
            <w:tcW w:type="dxa" w:w="2602"/>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Órdenes reprogramadas por "técnico sin competencia" o "kit incompleto" ÷ órdenes despachadas</w:t>
            </w:r>
          </w:p>
        </w:tc>
        <w:tc>
          <w:tcPr>
            <w:tcW w:type="dxa" w:w="1542"/>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12% </w:t>
            </w:r>
            <w:r>
              <w:rPr>
                <w:rFonts w:ascii="Arial" w:cs="Arial" w:eastAsia="Arial" w:hAnsi="Arial"/>
                <w:i/>
                <w:iCs/>
                <w:color w:val="1A1A1A"/>
                <w:sz w:val="18"/>
                <w:szCs w:val="18"/>
              </w:rPr>
              <w:t xml:space="preserve">(supuesto)</w:t>
            </w:r>
          </w:p>
        </w:tc>
        <w:tc>
          <w:tcPr>
            <w:tcW w:type="dxa" w:w="1253"/>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≤6%</w:t>
            </w:r>
          </w:p>
        </w:tc>
        <w:tc>
          <w:tcPr>
            <w:tcW w:type="dxa" w:w="1639"/>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6 meses desde la puesta en producción</w:t>
            </w:r>
          </w:p>
        </w:tc>
      </w:tr>
      <w:tr>
        <w:trPr>
          <w:cantSplit/>
          <w:tblHeader w:val="false"/>
        </w:trPr>
        <w:tc>
          <w:tcPr>
            <w:tcW w:type="dxa" w:w="482"/>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O4</w:t>
            </w:r>
          </w:p>
        </w:tc>
        <w:tc>
          <w:tcPr>
            <w:tcW w:type="dxa" w:w="2120"/>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Asegurar el cumplimiento de la priorización de la cola</w:t>
            </w:r>
          </w:p>
        </w:tc>
        <w:tc>
          <w:tcPr>
            <w:tcW w:type="dxa" w:w="2602"/>
            <w:tcMar>
              <w:top w:type="dxa" w:w="90"/>
              <w:left w:type="dxa" w:w="120"/>
              <w:bottom w:type="dxa" w:w="90"/>
              <w:right w:type="dxa" w:w="120"/>
            </w:tcMar>
            <w:vAlign w:val="top"/>
          </w:tcPr>
          <w:p>
            <w:pPr>
              <w:spacing w:after="0" w:before="0" w:line="252"/>
              <w:jc w:val="both"/>
            </w:pPr>
            <w:r>
              <w:rPr>
                <w:rFonts w:ascii="Arial" w:cs="Arial" w:eastAsia="Arial" w:hAnsi="Arial"/>
                <w:color w:val="1A1A1A"/>
                <w:sz w:val="18"/>
                <w:szCs w:val="18"/>
              </w:rPr>
              <w:t xml:space="preserve">% de órdenes despachadas según el orden del motor de priorización, y % de cumplimiento del SLA de primera respuesta</w:t>
            </w:r>
          </w:p>
        </w:tc>
        <w:tc>
          <w:tcPr>
            <w:tcW w:type="dxa" w:w="1542"/>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No medible en la situación actual — esa imposibilidad </w:t>
            </w:r>
            <w:r>
              <w:rPr>
                <w:rFonts w:ascii="Arial" w:cs="Arial" w:eastAsia="Arial" w:hAnsi="Arial"/>
                <w:b/>
                <w:bCs/>
                <w:color w:val="1A1A1A"/>
                <w:sz w:val="18"/>
                <w:szCs w:val="18"/>
              </w:rPr>
              <w:t xml:space="preserve">es</w:t>
            </w:r>
            <w:r>
              <w:rPr>
                <w:rFonts w:ascii="Arial" w:cs="Arial" w:eastAsia="Arial" w:hAnsi="Arial"/>
                <w:color w:val="1A1A1A"/>
                <w:sz w:val="18"/>
                <w:szCs w:val="18"/>
              </w:rPr>
              <w:t xml:space="preserve"> la definición del riesgo R07</w:t>
            </w:r>
          </w:p>
        </w:tc>
        <w:tc>
          <w:tcPr>
            <w:tcW w:type="dxa" w:w="1253"/>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≥95% · ≥90%</w:t>
            </w:r>
          </w:p>
        </w:tc>
        <w:tc>
          <w:tcPr>
            <w:tcW w:type="dxa" w:w="1639"/>
            <w:tcMar>
              <w:top w:type="dxa" w:w="90"/>
              <w:left w:type="dxa" w:w="120"/>
              <w:bottom w:type="dxa" w:w="90"/>
              <w:right w:type="dxa" w:w="120"/>
            </w:tcMar>
            <w:vAlign w:val="top"/>
          </w:tcPr>
          <w:p>
            <w:pPr>
              <w:spacing w:after="0" w:before="0" w:line="252"/>
              <w:jc w:val="left"/>
            </w:pPr>
            <w:r>
              <w:rPr>
                <w:rFonts w:ascii="Arial" w:cs="Arial" w:eastAsia="Arial" w:hAnsi="Arial"/>
                <w:color w:val="1A1A1A"/>
                <w:sz w:val="18"/>
                <w:szCs w:val="18"/>
              </w:rPr>
              <w:t xml:space="preserve">Mes 3 desde la puesta en producción</w:t>
            </w:r>
          </w:p>
        </w:tc>
      </w:tr>
    </w:tbl>
    <w:p>
      <w:pPr>
        <w:spacing w:after="200"/>
      </w:pPr>
    </w:p>
    <w:p>
      <w:pPr>
        <w:spacing w:after="260" w:before="180" w:line="264"/>
        <w:ind w:left="454" w:right="454"/>
        <w:jc w:val="both"/>
      </w:pPr>
      <w:r>
        <w:rPr>
          <w:rFonts w:ascii="Arial" w:cs="Arial" w:eastAsia="Arial" w:hAnsi="Arial"/>
          <w:b/>
          <w:bCs/>
          <w:color w:val="1A1A1A"/>
          <w:sz w:val="20"/>
          <w:szCs w:val="20"/>
        </w:rPr>
        <w:t xml:space="preserve">Sobre las líneas base.</w:t>
      </w:r>
      <w:r>
        <w:rPr>
          <w:rFonts w:ascii="Arial" w:cs="Arial" w:eastAsia="Arial" w:hAnsi="Arial"/>
          <w:color w:val="1A1A1A"/>
          <w:sz w:val="20"/>
          <w:szCs w:val="20"/>
        </w:rPr>
        <w:t xml:space="preserve"> Los valores indicados como </w:t>
      </w:r>
      <w:r>
        <w:rPr>
          <w:rFonts w:ascii="Arial" w:cs="Arial" w:eastAsia="Arial" w:hAnsi="Arial"/>
          <w:i/>
          <w:iCs/>
          <w:color w:val="1A1A1A"/>
          <w:sz w:val="20"/>
          <w:szCs w:val="20"/>
        </w:rPr>
        <w:t xml:space="preserve">supuesto</w:t>
      </w:r>
      <w:r>
        <w:rPr>
          <w:rFonts w:ascii="Arial" w:cs="Arial" w:eastAsia="Arial" w:hAnsi="Arial"/>
          <w:color w:val="1A1A1A"/>
          <w:sz w:val="20"/>
          <w:szCs w:val="20"/>
        </w:rPr>
        <w:t xml:space="preserve"> son estimaciones: las Etapas 1 y 2 de este trabajo no relevaron indicadores de operación. Su medición formal constituye un entregable propio de la fase 2 (Relevamiento y análisis), y las metas se recalibrarán sobre los valores reales medidos.</w:t>
      </w:r>
    </w:p>
    <w:p>
      <w:pPr>
        <w:pStyle w:val="Heading2"/>
        <w:keepNext/>
        <w:spacing w:after="140" w:before="400"/>
      </w:pPr>
      <w:r>
        <w:rPr>
          <w:rFonts w:ascii="Arial" w:cs="Arial" w:eastAsia="Arial" w:hAnsi="Arial"/>
          <w:b/>
          <w:bCs/>
          <w:color w:val="1A1A1A"/>
          <w:spacing w:val="18"/>
          <w:sz w:val="21"/>
          <w:szCs w:val="21"/>
        </w:rPr>
        <w:t xml:space="preserve">LÍMITE</w:t>
      </w:r>
    </w:p>
    <w:p>
      <w:pPr>
        <w:spacing w:after="140" w:line="288"/>
        <w:jc w:val="both"/>
      </w:pPr>
      <w:r>
        <w:rPr>
          <w:rFonts w:ascii="Arial" w:cs="Arial" w:eastAsia="Arial" w:hAnsi="Arial"/>
          <w:color w:val="1A1A1A"/>
          <w:sz w:val="22"/>
          <w:szCs w:val="22"/>
        </w:rPr>
        <w:t xml:space="preserve">El proyecto </w:t>
      </w:r>
      <w:r>
        <w:rPr>
          <w:rFonts w:ascii="Arial" w:cs="Arial" w:eastAsia="Arial" w:hAnsi="Arial"/>
          <w:b/>
          <w:bCs/>
          <w:color w:val="1A1A1A"/>
          <w:sz w:val="22"/>
          <w:szCs w:val="22"/>
        </w:rPr>
        <w:t xml:space="preserve">no incluye</w:t>
      </w:r>
      <w:r>
        <w:rPr>
          <w:rFonts w:ascii="Arial" w:cs="Arial" w:eastAsia="Arial" w:hAnsi="Arial"/>
          <w:color w:val="1A1A1A"/>
          <w:sz w:val="22"/>
          <w:szCs w:val="22"/>
        </w:rPr>
        <w:t xml:space="preserve">:</w:t>
      </w:r>
    </w:p>
    <w:p>
      <w:pPr>
        <w:pStyle w:val="ListParagraph"/>
        <w:numPr>
          <w:ilvl w:val="0"/>
          <w:numId w:val="1"/>
        </w:numPr>
        <w:spacing w:after="100" w:line="276"/>
        <w:jc w:val="both"/>
      </w:pPr>
      <w:r>
        <w:rPr>
          <w:rFonts w:ascii="Arial" w:cs="Arial" w:eastAsia="Arial" w:hAnsi="Arial"/>
          <w:color w:val="1A1A1A"/>
          <w:sz w:val="22"/>
          <w:szCs w:val="22"/>
        </w:rPr>
        <w:t xml:space="preserve">El rediseño del flujo de escalamiento del CRM (riesgo R06), que cuenta con plan de tratamiento propio en la Etapa 2.</w:t>
      </w:r>
    </w:p>
    <w:p>
      <w:pPr>
        <w:pStyle w:val="ListParagraph"/>
        <w:numPr>
          <w:ilvl w:val="0"/>
          <w:numId w:val="1"/>
        </w:numPr>
        <w:spacing w:after="100" w:line="276"/>
        <w:jc w:val="both"/>
      </w:pPr>
      <w:r>
        <w:rPr>
          <w:rFonts w:ascii="Arial" w:cs="Arial" w:eastAsia="Arial" w:hAnsi="Arial"/>
          <w:color w:val="1A1A1A"/>
          <w:sz w:val="22"/>
          <w:szCs w:val="22"/>
        </w:rPr>
        <w:t xml:space="preserve">El reemplazo o la migración del CRM, del SGOT o de la base de datos de clientes y órdenes de trabajo.</w:t>
      </w:r>
    </w:p>
    <w:p>
      <w:pPr>
        <w:pStyle w:val="ListParagraph"/>
        <w:numPr>
          <w:ilvl w:val="0"/>
          <w:numId w:val="1"/>
        </w:numPr>
        <w:spacing w:after="100" w:line="276"/>
        <w:jc w:val="both"/>
      </w:pPr>
      <w:r>
        <w:rPr>
          <w:rFonts w:ascii="Arial" w:cs="Arial" w:eastAsia="Arial" w:hAnsi="Arial"/>
          <w:color w:val="1A1A1A"/>
          <w:sz w:val="22"/>
          <w:szCs w:val="22"/>
        </w:rPr>
        <w:t xml:space="preserve">Obra civil, tendido troncal, ampliación de nodos (riesgo R11) y mantenimiento preventivo del cable (riesgo R08).</w:t>
      </w:r>
    </w:p>
    <w:p>
      <w:pPr>
        <w:pStyle w:val="ListParagraph"/>
        <w:numPr>
          <w:ilvl w:val="0"/>
          <w:numId w:val="1"/>
        </w:numPr>
        <w:spacing w:after="100" w:line="276"/>
        <w:jc w:val="both"/>
      </w:pPr>
      <w:r>
        <w:rPr>
          <w:rFonts w:ascii="Arial" w:cs="Arial" w:eastAsia="Arial" w:hAnsi="Arial"/>
          <w:color w:val="1A1A1A"/>
          <w:sz w:val="22"/>
          <w:szCs w:val="22"/>
        </w:rPr>
        <w:t xml:space="preserve">El reemplazo del firewall (riesgo R03), la redundancia del balanceador de carga (riesgo R09) y la correlación de eventos del NMS (riesgo R10).</w:t>
      </w:r>
    </w:p>
    <w:p>
      <w:pPr>
        <w:pStyle w:val="ListParagraph"/>
        <w:numPr>
          <w:ilvl w:val="0"/>
          <w:numId w:val="1"/>
        </w:numPr>
        <w:spacing w:after="100" w:line="276"/>
        <w:jc w:val="both"/>
      </w:pPr>
      <w:r>
        <w:rPr>
          <w:rFonts w:ascii="Arial" w:cs="Arial" w:eastAsia="Arial" w:hAnsi="Arial"/>
          <w:color w:val="1A1A1A"/>
          <w:sz w:val="22"/>
          <w:szCs w:val="22"/>
        </w:rPr>
        <w:t xml:space="preserve">Los procesos de venta, facturación y recupero de clientes.</w:t>
      </w:r>
    </w:p>
    <w:p>
      <w:pPr>
        <w:pStyle w:val="ListParagraph"/>
        <w:numPr>
          <w:ilvl w:val="0"/>
          <w:numId w:val="1"/>
        </w:numPr>
        <w:spacing w:after="100" w:line="276"/>
        <w:jc w:val="both"/>
      </w:pPr>
      <w:r>
        <w:rPr>
          <w:rFonts w:ascii="Arial" w:cs="Arial" w:eastAsia="Arial" w:hAnsi="Arial"/>
          <w:color w:val="1A1A1A"/>
          <w:sz w:val="22"/>
          <w:szCs w:val="22"/>
        </w:rPr>
        <w:t xml:space="preserve">Otros procesos de campo distintos de la instalación: reparaciones, mudanzas y desinstalaciones.</w:t>
      </w:r>
    </w:p>
    <w:p>
      <w:pPr>
        <w:pStyle w:val="ListParagraph"/>
        <w:numPr>
          <w:ilvl w:val="0"/>
          <w:numId w:val="1"/>
        </w:numPr>
        <w:spacing w:after="100" w:line="276"/>
        <w:jc w:val="both"/>
      </w:pPr>
      <w:r>
        <w:rPr>
          <w:rFonts w:ascii="Arial" w:cs="Arial" w:eastAsia="Arial" w:hAnsi="Arial"/>
          <w:color w:val="1A1A1A"/>
          <w:sz w:val="22"/>
          <w:szCs w:val="22"/>
        </w:rPr>
        <w:t xml:space="preserve">La adquisición de vehículos y fusionadoras de fibra óptica.</w:t>
      </w:r>
    </w:p>
    <w:p>
      <w:pPr>
        <w:pStyle w:val="ListParagraph"/>
        <w:numPr>
          <w:ilvl w:val="0"/>
          <w:numId w:val="1"/>
        </w:numPr>
        <w:spacing w:after="100" w:line="276"/>
        <w:jc w:val="both"/>
      </w:pPr>
      <w:r>
        <w:rPr>
          <w:rFonts w:ascii="Arial" w:cs="Arial" w:eastAsia="Arial" w:hAnsi="Arial"/>
          <w:color w:val="1A1A1A"/>
          <w:sz w:val="22"/>
          <w:szCs w:val="22"/>
        </w:rPr>
        <w:t xml:space="preserve">Las actividades 1 y 2 del proceso modelado en la Etapa 1 —recepción de la solicitud y verificación de cobertura—, que continúan gestionándose en el CRM.</w:t>
      </w:r>
    </w:p>
    <w:p>
      <w:pPr>
        <w:spacing w:after="260" w:before="0"/>
      </w:pPr>
    </w:p>
    <w:p>
      <w:pPr>
        <w:pStyle w:val="Heading2"/>
        <w:keepNext/>
        <w:spacing w:after="140" w:before="400"/>
      </w:pPr>
      <w:r>
        <w:rPr>
          <w:rFonts w:ascii="Arial" w:cs="Arial" w:eastAsia="Arial" w:hAnsi="Arial"/>
          <w:b/>
          <w:bCs/>
          <w:color w:val="1A1A1A"/>
          <w:spacing w:val="18"/>
          <w:sz w:val="21"/>
          <w:szCs w:val="21"/>
        </w:rPr>
        <w:t xml:space="preserve">FIRMA AUTORIZANTE</w:t>
      </w:r>
    </w:p>
    <w:p>
      <w:pPr>
        <w:spacing w:after="140" w:line="288"/>
        <w:jc w:val="both"/>
      </w:pPr>
      <w:r>
        <w:rPr>
          <w:rFonts w:ascii="Arial" w:cs="Arial" w:eastAsia="Arial" w:hAnsi="Arial"/>
          <w:color w:val="1A1A1A"/>
          <w:sz w:val="22"/>
          <w:szCs w:val="22"/>
        </w:rPr>
        <w:t xml:space="preserve">Nombre: _______________________________________________</w:t>
      </w:r>
    </w:p>
    <w:p>
      <w:pPr>
        <w:spacing w:after="140" w:line="288"/>
        <w:jc w:val="both"/>
      </w:pPr>
      <w:r>
        <w:rPr>
          <w:rFonts w:ascii="Arial" w:cs="Arial" w:eastAsia="Arial" w:hAnsi="Arial"/>
          <w:color w:val="1A1A1A"/>
          <w:sz w:val="22"/>
          <w:szCs w:val="22"/>
        </w:rPr>
        <w:t xml:space="preserve">Título: _______________________________________________</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Arial" w:cs="Arial" w:eastAsia="Arial" w:hAnsi="Arial"/>
        <w:color w:val="6B7075"/>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2026-08-19T15:08:40.142Z</dcterms:created>
  <dcterms:modified xsi:type="dcterms:W3CDTF">2026-08-19T15:08:40.144Z</dcterms:modified>
</cp:coreProperties>
</file>

<file path=docProps/custom.xml><?xml version="1.0" encoding="utf-8"?>
<Properties xmlns="http://schemas.openxmlformats.org/officeDocument/2006/custom-properties" xmlns:vt="http://schemas.openxmlformats.org/officeDocument/2006/docPropsVTypes"/>
</file>