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ACTA DEL PROYECTO</w:t>
      </w:r>
    </w:p>
    <w:p>
      <w:pPr>
        <w:spacing w:after="260" w:line="288"/>
        <w:jc w:val="center"/>
      </w:pPr>
      <w:r>
        <w:rPr>
          <w:rFonts w:ascii="Arial" w:cs="Arial" w:eastAsia="Arial" w:hAnsi="Arial"/>
          <w:b/>
          <w:bCs/>
          <w:color w:val="1A1A1A"/>
          <w:sz w:val="22"/>
          <w:szCs w:val="22"/>
          <w:lang w:val="es-AR"/>
        </w:rPr>
        <w:t xml:space="preserve">Implementación de la Plataforma de Gestión de Órdenes de Trabajo de Campo (OT-Campo) para el proceso de instalación de internet con fibra óptica</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DE</w:t>
      </w:r>
    </w:p>
    <w:p>
      <w:pPr>
        <w:spacing w:after="120" w:line="280"/>
        <w:jc w:val="both"/>
      </w:pPr>
      <w:r>
        <w:rPr>
          <w:rFonts w:ascii="Arial" w:cs="Arial" w:eastAsia="Arial" w:hAnsi="Arial"/>
          <w:b/>
          <w:bCs/>
          <w:color w:val="1A1A1A"/>
          <w:sz w:val="22"/>
          <w:szCs w:val="22"/>
          <w:lang w:val="es-AR"/>
        </w:rPr>
        <w:t xml:space="preserve">Gerencia de Operaciones</w:t>
      </w:r>
      <w:r>
        <w:rPr>
          <w:rFonts w:ascii="Arial" w:cs="Arial" w:eastAsia="Arial" w:hAnsi="Arial"/>
          <w:color w:val="1A1A1A"/>
          <w:sz w:val="22"/>
          <w:szCs w:val="22"/>
          <w:lang w:val="es-AR"/>
        </w:rPr>
        <w:t xml:space="preserve"> — Personal (Telecom Argentina)</w:t>
      </w:r>
    </w:p>
    <w:p>
      <w:pPr>
        <w:spacing w:after="120" w:line="280"/>
        <w:jc w:val="both"/>
      </w:pPr>
      <w:r>
        <w:rPr>
          <w:rFonts w:ascii="Arial" w:cs="Arial" w:eastAsia="Arial" w:hAnsi="Arial"/>
          <w:i/>
          <w:iCs/>
          <w:color w:val="1A1A1A"/>
          <w:sz w:val="22"/>
          <w:szCs w:val="22"/>
          <w:lang w:val="es-AR"/>
        </w:rPr>
        <w:t xml:space="preserve">Patrocinador del proyecto. Es el área titular del proceso crítico afectado y de los objetivos de negocio que el proyecto compromete.</w:t>
      </w:r>
    </w:p>
    <w:p>
      <w:pPr>
        <w:pStyle w:val="Heading2"/>
        <w:keepNext/>
        <w:spacing w:after="120" w:before="300"/>
      </w:pPr>
      <w:r>
        <w:rPr>
          <w:rFonts w:ascii="Arial" w:cs="Arial" w:eastAsia="Arial" w:hAnsi="Arial"/>
          <w:b/>
          <w:bCs/>
          <w:color w:val="1A1A1A"/>
          <w:spacing w:val="18"/>
          <w:sz w:val="21"/>
          <w:szCs w:val="21"/>
          <w:lang w:val="es-AR"/>
        </w:rPr>
        <w:t xml:space="preserve">PARA</w:t>
      </w:r>
    </w:p>
    <w:p>
      <w:pPr>
        <w:spacing w:after="120" w:line="280"/>
        <w:jc w:val="both"/>
      </w:pPr>
      <w:r>
        <w:rPr>
          <w:rFonts w:ascii="Arial" w:cs="Arial" w:eastAsia="Arial" w:hAnsi="Arial"/>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lang w:val="es-AR"/>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lang w:val="es-AR"/>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lang w:val="es-AR"/>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lang w:val="es-AR"/>
        </w:rPr>
        <w:t xml:space="preserve">Recursos Humanos</w:t>
      </w:r>
    </w:p>
    <w:p>
      <w:pPr>
        <w:pStyle w:val="ListParagraph"/>
        <w:numPr>
          <w:ilvl w:val="0"/>
          <w:numId w:val="1"/>
        </w:numPr>
        <w:spacing w:after="100" w:line="276"/>
        <w:jc w:val="both"/>
      </w:pPr>
      <w:r>
        <w:rPr>
          <w:rFonts w:ascii="Arial" w:cs="Arial" w:eastAsia="Arial" w:hAnsi="Arial"/>
          <w:color w:val="1A1A1A"/>
          <w:sz w:val="22"/>
          <w:szCs w:val="22"/>
          <w:lang w:val="es-AR"/>
        </w:rPr>
        <w:t xml:space="preserve">Servicio de Higiene y Seguridad Laboral</w:t>
      </w:r>
    </w:p>
    <w:p>
      <w:pPr>
        <w:spacing w:after="120" w:line="280"/>
        <w:jc w:val="both"/>
      </w:pPr>
      <w:r>
        <w:rPr>
          <w:rFonts w:ascii="Arial" w:cs="Arial" w:eastAsia="Arial" w:hAnsi="Arial"/>
          <w:color w:val="1A1A1A"/>
          <w:sz w:val="22"/>
          <w:szCs w:val="22"/>
          <w:lang w:val="es-AR"/>
        </w:rPr>
        <w:t xml:space="preserve">Y el equipo del proyecto, inicialmente conformado por las personas indicadas en el apartado DESIGNACIÓN.</w:t>
      </w:r>
    </w:p>
    <w:p>
      <w:pPr>
        <w:pStyle w:val="Heading2"/>
        <w:keepNext/>
        <w:spacing w:after="120" w:before="300"/>
      </w:pPr>
      <w:r>
        <w:rPr>
          <w:rFonts w:ascii="Arial" w:cs="Arial" w:eastAsia="Arial" w:hAnsi="Arial"/>
          <w:b/>
          <w:bCs/>
          <w:color w:val="1A1A1A"/>
          <w:spacing w:val="18"/>
          <w:sz w:val="21"/>
          <w:szCs w:val="21"/>
          <w:lang w:val="es-AR"/>
        </w:rPr>
        <w:t xml:space="preserve">DESIGNACIÓN</w:t>
      </w:r>
    </w:p>
    <w:p>
      <w:pPr>
        <w:spacing w:after="120" w:line="280"/>
        <w:jc w:val="both"/>
      </w:pPr>
      <w:r>
        <w:rPr>
          <w:rFonts w:ascii="Arial" w:cs="Arial" w:eastAsia="Arial" w:hAnsi="Arial"/>
          <w:color w:val="1A1A1A"/>
          <w:sz w:val="22"/>
          <w:szCs w:val="22"/>
          <w:lang w:val="es-AR"/>
        </w:rPr>
        <w:t xml:space="preserve">El patrocinador designa los siguientes roles para la ejecución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241"/>
        <w:gridCol w:w="5397"/>
      </w:tblGrid>
      <w:tr>
        <w:trPr>
          <w:cantSplit/>
          <w:tblHeader/>
        </w:trPr>
        <w:tc>
          <w:tcPr>
            <w:tcW w:type="dxa" w:w="424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Rol designado</w:t>
            </w:r>
          </w:p>
        </w:tc>
        <w:tc>
          <w:tcPr>
            <w:tcW w:type="dxa" w:w="539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Gerencia de Operaciones — Supervisión de Instalaciones</w:t>
            </w:r>
          </w:p>
        </w:tc>
      </w:tr>
    </w:tbl>
    <w:p>
      <w:pPr>
        <w:spacing w:after="160"/>
      </w:pPr>
    </w:p>
    <w:p>
      <w:pPr>
        <w:spacing w:after="120" w:line="280"/>
        <w:jc w:val="both"/>
      </w:pPr>
      <w:r>
        <w:rPr>
          <w:rFonts w:ascii="Arial" w:cs="Arial" w:eastAsia="Arial" w:hAnsi="Arial"/>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2"/>
        <w:keepNext/>
        <w:spacing w:after="120" w:before="300"/>
      </w:pPr>
      <w:r>
        <w:rPr>
          <w:rFonts w:ascii="Arial" w:cs="Arial" w:eastAsia="Arial" w:hAnsi="Arial"/>
          <w:b/>
          <w:bCs/>
          <w:color w:val="1A1A1A"/>
          <w:spacing w:val="18"/>
          <w:sz w:val="21"/>
          <w:szCs w:val="21"/>
          <w:lang w:val="es-AR"/>
        </w:rPr>
        <w:t xml:space="preserve">DESCRIPCIÓN DE SU RESPONSABILIDAD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Dirigir el proyecto y </w:t>
      </w:r>
      <w:r>
        <w:rPr>
          <w:rFonts w:ascii="Arial" w:cs="Arial" w:eastAsia="Arial" w:hAnsi="Arial"/>
          <w:b/>
          <w:bCs/>
          <w:color w:val="1A1A1A"/>
          <w:sz w:val="22"/>
          <w:szCs w:val="22"/>
          <w:lang w:val="es-AR"/>
        </w:rPr>
        <w:t xml:space="preserve">conformar el equipo que lo llevará adelante</w:t>
      </w:r>
      <w:r>
        <w:rPr>
          <w:rFonts w:ascii="Arial" w:cs="Arial" w:eastAsia="Arial" w:hAnsi="Arial"/>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Relevar y validar los requerimientos con Supervisión de Instalaciones, técnicos de campo, NOC y Logística. Responsable de la </w:t>
      </w:r>
      <w:r>
        <w:rPr>
          <w:rFonts w:ascii="Arial" w:cs="Arial" w:eastAsia="Arial" w:hAnsi="Arial"/>
          <w:b/>
          <w:bCs/>
          <w:color w:val="1A1A1A"/>
          <w:sz w:val="22"/>
          <w:szCs w:val="22"/>
          <w:lang w:val="es-AR"/>
        </w:rPr>
        <w:t xml:space="preserve">medición de las líneas base</w:t>
      </w:r>
      <w:r>
        <w:rPr>
          <w:rFonts w:ascii="Arial" w:cs="Arial" w:eastAsia="Arial" w:hAnsi="Arial"/>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2"/>
        <w:keepNext/>
        <w:spacing w:after="120" w:before="300"/>
      </w:pPr>
      <w:r>
        <w:rPr>
          <w:rFonts w:ascii="Arial" w:cs="Arial" w:eastAsia="Arial" w:hAnsi="Arial"/>
          <w:b/>
          <w:bCs/>
          <w:color w:val="1A1A1A"/>
          <w:spacing w:val="18"/>
          <w:sz w:val="21"/>
          <w:szCs w:val="21"/>
          <w:lang w:val="es-AR"/>
        </w:rPr>
        <w:t xml:space="preserve">DESCRIPCIÓN DE SU AUTORIDAD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lang w:val="es-AR"/>
        </w:rPr>
        <w:t xml:space="preserve">no afecten</w:t>
      </w:r>
      <w:r>
        <w:rPr>
          <w:rFonts w:ascii="Arial" w:cs="Arial" w:eastAsia="Arial" w:hAnsi="Arial"/>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Tiene autoridad para </w:t>
      </w:r>
      <w:r>
        <w:rPr>
          <w:rFonts w:ascii="Arial" w:cs="Arial" w:eastAsia="Arial" w:hAnsi="Arial"/>
          <w:b/>
          <w:bCs/>
          <w:color w:val="1A1A1A"/>
          <w:sz w:val="22"/>
          <w:szCs w:val="22"/>
          <w:lang w:val="es-AR"/>
        </w:rPr>
        <w:t xml:space="preserve">bloquear la puesta en producción</w:t>
      </w:r>
      <w:r>
        <w:rPr>
          <w:rFonts w:ascii="Arial" w:cs="Arial" w:eastAsia="Arial" w:hAnsi="Arial"/>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lang w:val="es-AR"/>
        </w:rPr>
        <w:t xml:space="preserve"> </w:t>
      </w:r>
      <w:r>
        <w:rPr>
          <w:rFonts w:ascii="Arial" w:cs="Arial" w:eastAsia="Arial" w:hAnsi="Arial"/>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ALCANCE DEL PROYECTO</w:t>
      </w:r>
    </w:p>
    <w:p>
      <w:pPr>
        <w:pStyle w:val="Heading2"/>
        <w:keepNext/>
        <w:spacing w:after="120" w:before="300"/>
      </w:pPr>
      <w:r>
        <w:rPr>
          <w:rFonts w:ascii="Arial" w:cs="Arial" w:eastAsia="Arial" w:hAnsi="Arial"/>
          <w:b/>
          <w:bCs/>
          <w:color w:val="1A1A1A"/>
          <w:spacing w:val="18"/>
          <w:sz w:val="21"/>
          <w:szCs w:val="21"/>
          <w:lang w:val="es-AR"/>
        </w:rPr>
        <w:t xml:space="preserve">JUSTIFICACIÓN</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valorado en severidad 12 y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2"/>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 técnico sin capacitación en el nuevo modelo de ONT —, valorado en severidad 12 y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Arial" w:cs="Arial" w:eastAsia="Arial" w:hAnsi="Arial"/>
          <w:color w:val="1A1A1A"/>
          <w:sz w:val="22"/>
          <w:szCs w:val="22"/>
          <w:lang w:val="es-AR"/>
        </w:rPr>
        <w:t xml:space="preserve">Asimismo, el proyecto da cumplimiento al </w:t>
      </w:r>
      <w:r>
        <w:rPr>
          <w:rFonts w:ascii="Arial" w:cs="Arial" w:eastAsia="Arial" w:hAnsi="Arial"/>
          <w:b/>
          <w:bCs/>
          <w:color w:val="1A1A1A"/>
          <w:sz w:val="22"/>
          <w:szCs w:val="22"/>
          <w:lang w:val="es-AR"/>
        </w:rPr>
        <w:t xml:space="preserve">objetivo de TI ya definido por la organización en la Etapa 1</w:t>
      </w:r>
      <w:r>
        <w:rPr>
          <w:rFonts w:ascii="Arial" w:cs="Arial" w:eastAsia="Arial" w:hAnsi="Arial"/>
          <w:color w:val="1A1A1A"/>
          <w:sz w:val="22"/>
          <w:szCs w:val="22"/>
          <w:lang w:val="es-AR"/>
        </w:rPr>
        <w:t xml:space="preserve"> — </w:t>
      </w:r>
      <w:r>
        <w:rPr>
          <w:rFonts w:ascii="Arial" w:cs="Arial" w:eastAsia="Arial" w:hAnsi="Arial"/>
          <w:i/>
          <w:iCs/>
          <w:color w:val="1A1A1A"/>
          <w:sz w:val="22"/>
          <w:szCs w:val="22"/>
          <w:lang w:val="es-AR"/>
        </w:rPr>
        <w:t xml:space="preserve">implementar una aplicación de gestión para técnicos de campo que permita aumentar la productividad operativa en un 5%</w:t>
      </w:r>
      <w:r>
        <w:rPr>
          <w:rFonts w:ascii="Arial" w:cs="Arial" w:eastAsia="Arial" w:hAnsi="Arial"/>
          <w:color w:val="1A1A1A"/>
          <w:sz w:val="22"/>
          <w:szCs w:val="22"/>
          <w:lang w:val="es-AR"/>
        </w:rPr>
        <w:t xml:space="preserve"> — y a la meta de TI </w:t>
      </w:r>
      <w:r>
        <w:rPr>
          <w:rFonts w:ascii="Arial" w:cs="Arial" w:eastAsia="Arial" w:hAnsi="Arial"/>
          <w:i/>
          <w:iCs/>
          <w:color w:val="1A1A1A"/>
          <w:sz w:val="22"/>
          <w:szCs w:val="22"/>
          <w:lang w:val="es-AR"/>
        </w:rPr>
        <w:t xml:space="preserve">Asignación Optimizada de Técnicos</w:t>
      </w:r>
      <w:r>
        <w:rPr>
          <w:rFonts w:ascii="Arial" w:cs="Arial" w:eastAsia="Arial" w:hAnsi="Arial"/>
          <w:color w:val="1A1A1A"/>
          <w:sz w:val="22"/>
          <w:szCs w:val="22"/>
          <w:lang w:val="es-AR"/>
        </w:rPr>
        <w:t xml:space="preserve">, ambos alineados con el objetivo de negocio de </w:t>
      </w:r>
      <w:r>
        <w:rPr>
          <w:rFonts w:ascii="Arial" w:cs="Arial" w:eastAsia="Arial" w:hAnsi="Arial"/>
          <w:i/>
          <w:iCs/>
          <w:color w:val="1A1A1A"/>
          <w:sz w:val="22"/>
          <w:szCs w:val="22"/>
          <w:lang w:val="es-AR"/>
        </w:rPr>
        <w:t xml:space="preserve">aumentar el rendimiento de los técnicos en un 5%, medido como instalaciones sobre horas de trabajo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PRODUCTO</w:t>
      </w:r>
    </w:p>
    <w:p>
      <w:pPr>
        <w:spacing w:after="120" w:line="280"/>
        <w:jc w:val="both"/>
      </w:pPr>
      <w:r>
        <w:rPr>
          <w:rFonts w:ascii="Arial" w:cs="Arial" w:eastAsia="Arial" w:hAnsi="Arial"/>
          <w:b/>
          <w:bCs/>
          <w:color w:val="1A1A1A"/>
          <w:sz w:val="22"/>
          <w:szCs w:val="22"/>
          <w:lang w:val="es-AR"/>
        </w:rPr>
        <w:t xml:space="preserve">Plataforma de Gestión de Órdenes de Trabajo de Campo (OT-Campo)</w:t>
      </w:r>
      <w:r>
        <w:rPr>
          <w:rFonts w:ascii="Arial" w:cs="Arial" w:eastAsia="Arial" w:hAnsi="Arial"/>
          <w:color w:val="1A1A1A"/>
          <w:sz w:val="22"/>
          <w:szCs w:val="22"/>
          <w:lang w:val="es-AR"/>
        </w:rPr>
        <w:t xml:space="preserve">: solución de desarrollo interno, en producción e integrada con los sistemas existentes, que gestiona el ciclo completo de la orden de trabajo de instalación de fibra óptica, desde el despacho hasta el cierre con conformidad del cliente.</w:t>
      </w:r>
    </w:p>
    <w:p>
      <w:pPr>
        <w:spacing w:after="120" w:line="280"/>
        <w:jc w:val="both"/>
      </w:pPr>
      <w:r>
        <w:rPr>
          <w:rFonts w:ascii="Arial" w:cs="Arial" w:eastAsia="Arial" w:hAnsi="Arial"/>
          <w:color w:val="1A1A1A"/>
          <w:sz w:val="22"/>
          <w:szCs w:val="22"/>
          <w:lang w:val="es-AR"/>
        </w:rPr>
        <w:t xml:space="preserve">Comprende seis componentes:</w:t>
      </w:r>
    </w:p>
    <w:p>
      <w:pPr>
        <w:pStyle w:val="ListParagraph"/>
        <w:numPr>
          <w:ilvl w:val="0"/>
          <w:numId w:val="3"/>
        </w:numPr>
        <w:spacing w:after="100" w:line="276"/>
        <w:jc w:val="both"/>
      </w:pPr>
      <w:r>
        <w:rPr>
          <w:rFonts w:ascii="Arial" w:cs="Arial" w:eastAsia="Arial" w:hAnsi="Arial"/>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3"/>
        </w:numPr>
        <w:spacing w:after="100" w:line="276"/>
        <w:jc w:val="both"/>
      </w:pPr>
      <w:r>
        <w:rPr>
          <w:rFonts w:ascii="Arial" w:cs="Arial" w:eastAsia="Arial" w:hAnsi="Arial"/>
          <w:color w:val="1A1A1A"/>
          <w:sz w:val="22"/>
          <w:szCs w:val="22"/>
          <w:lang w:val="es-AR"/>
        </w:rPr>
        <w:t xml:space="preserve">Motor de asignación por competencia certificada, zona o nodo, carga del día, ventana horaria y stock del vehículo.</w:t>
      </w:r>
    </w:p>
    <w:p>
      <w:pPr>
        <w:pStyle w:val="ListParagraph"/>
        <w:numPr>
          <w:ilvl w:val="0"/>
          <w:numId w:val="3"/>
        </w:numPr>
        <w:spacing w:after="100" w:line="276"/>
        <w:jc w:val="both"/>
      </w:pPr>
      <w:r>
        <w:rPr>
          <w:rFonts w:ascii="Arial" w:cs="Arial" w:eastAsia="Arial" w:hAnsi="Arial"/>
          <w:color w:val="1A1A1A"/>
          <w:sz w:val="22"/>
          <w:szCs w:val="22"/>
          <w:lang w:val="es-AR"/>
        </w:rPr>
        <w:t xml:space="preserve">Aplicación móvil de campo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3"/>
        </w:numPr>
        <w:spacing w:after="100" w:line="276"/>
        <w:jc w:val="both"/>
      </w:pPr>
      <w:r>
        <w:rPr>
          <w:rFonts w:ascii="Arial" w:cs="Arial" w:eastAsia="Arial" w:hAnsi="Arial"/>
          <w:color w:val="1A1A1A"/>
          <w:sz w:val="22"/>
          <w:szCs w:val="22"/>
          <w:lang w:val="es-AR"/>
        </w:rPr>
        <w:t xml:space="preserve">Integraciones con SGOT, CRM, base de datos de clientes y órdenes de trabajo, NMS y sistema de stock.</w:t>
      </w:r>
    </w:p>
    <w:p>
      <w:pPr>
        <w:pStyle w:val="ListParagraph"/>
        <w:numPr>
          <w:ilvl w:val="0"/>
          <w:numId w:val="3"/>
        </w:numPr>
        <w:spacing w:after="100" w:line="276"/>
        <w:jc w:val="both"/>
      </w:pPr>
      <w:r>
        <w:rPr>
          <w:rFonts w:ascii="Arial" w:cs="Arial" w:eastAsia="Arial" w:hAnsi="Arial"/>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3"/>
        </w:numPr>
        <w:spacing w:after="100" w:line="276"/>
        <w:jc w:val="both"/>
      </w:pPr>
      <w:r>
        <w:rPr>
          <w:rFonts w:ascii="Arial" w:cs="Arial" w:eastAsia="Arial" w:hAnsi="Arial"/>
          <w:color w:val="1A1A1A"/>
          <w:sz w:val="22"/>
          <w:szCs w:val="22"/>
          <w:lang w:val="es-AR"/>
        </w:rPr>
        <w:t xml:space="preserve">Tablero de indicadores para Supervisión y Gerencia de Operaciones.</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Si el docente objeta el desarrollo interno, este apartado cambia a "solución de mercado configurada e integrada" y el componente 3 pasa a ser configuración de la aplicación del proveedor.</w:t>
      </w:r>
    </w:p>
    <w:p>
      <w:pPr>
        <w:pStyle w:val="Heading2"/>
        <w:keepNext/>
        <w:spacing w:after="120" w:before="300"/>
      </w:pPr>
      <w:r>
        <w:rPr>
          <w:rFonts w:ascii="Arial" w:cs="Arial" w:eastAsia="Arial" w:hAnsi="Arial"/>
          <w:b/>
          <w:bCs/>
          <w:color w:val="1A1A1A"/>
          <w:spacing w:val="18"/>
          <w:sz w:val="21"/>
          <w:szCs w:val="21"/>
          <w:lang w:val="es-AR"/>
        </w:rPr>
        <w:t xml:space="preserve">ENTREGABLES</w:t>
      </w:r>
    </w:p>
    <w:p>
      <w:pPr>
        <w:spacing w:after="120" w:line="280"/>
        <w:jc w:val="both"/>
      </w:pPr>
      <w:r>
        <w:rPr>
          <w:rFonts w:ascii="Arial" w:cs="Arial" w:eastAsia="Arial" w:hAnsi="Arial"/>
          <w:color w:val="1A1A1A"/>
          <w:sz w:val="22"/>
          <w:szCs w:val="22"/>
          <w:lang w:val="es-AR"/>
        </w:rPr>
        <w:t xml:space="preserve">Primera aproximación de la Estructura de Desglose de Trabajo, con los entregables principales por fase: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6747"/>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674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validado y </w:t>
            </w:r>
            <w:r>
              <w:rPr>
                <w:rFonts w:ascii="Arial" w:cs="Arial" w:eastAsia="Arial" w:hAnsi="Arial"/>
                <w:b/>
                <w:bCs/>
                <w:color w:val="1A1A1A"/>
                <w:sz w:val="18"/>
                <w:szCs w:val="18"/>
                <w:lang w:val="es-AR"/>
              </w:rPr>
              <w:t xml:space="preserve">medición de las líneas base</w:t>
            </w:r>
            <w:r>
              <w:rPr>
                <w:rFonts w:ascii="Arial" w:cs="Arial" w:eastAsia="Arial" w:hAnsi="Arial"/>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Arquitectura y diseño técnico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arquitectura y diseño de integraciones aprobado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Adquisiciones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infraestructura y servicios contratados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Desarrollo por módulos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Módulos de despacho, motor de asignación y aplicación móvil construidos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transferencia operativa, alta del elemento de configuración en la CMDB y cierre formal</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indicados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2"/>
        <w:keepNext/>
        <w:spacing w:after="120" w:before="300"/>
      </w:pPr>
      <w:r>
        <w:rPr>
          <w:rFonts w:ascii="Arial" w:cs="Arial" w:eastAsia="Arial" w:hAnsi="Arial"/>
          <w:b/>
          <w:bCs/>
          <w:color w:val="1A1A1A"/>
          <w:spacing w:val="18"/>
          <w:sz w:val="21"/>
          <w:szCs w:val="21"/>
          <w:lang w:val="es-AR"/>
        </w:rPr>
        <w:t xml:space="preserve">LÍMITE</w:t>
      </w:r>
    </w:p>
    <w:p>
      <w:pPr>
        <w:spacing w:after="120" w:line="280"/>
        <w:jc w:val="both"/>
      </w:pPr>
      <w:r>
        <w:rPr>
          <w:rFonts w:ascii="Arial" w:cs="Arial" w:eastAsia="Arial" w:hAnsi="Arial"/>
          <w:color w:val="1A1A1A"/>
          <w:sz w:val="22"/>
          <w:szCs w:val="22"/>
          <w:lang w:val="es-AR"/>
        </w:rPr>
        <w:t xml:space="preserve">El proyecto </w:t>
      </w:r>
      <w:r>
        <w:rPr>
          <w:rFonts w:ascii="Arial" w:cs="Arial" w:eastAsia="Arial" w:hAnsi="Arial"/>
          <w:b/>
          <w:bCs/>
          <w:color w:val="1A1A1A"/>
          <w:sz w:val="22"/>
          <w:szCs w:val="22"/>
          <w:lang w:val="es-AR"/>
        </w:rPr>
        <w:t xml:space="preserve">no incluye</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FIRMA AUTORIZANTE</w:t>
      </w:r>
    </w:p>
    <w:p>
      <w:pPr>
        <w:keepNext/>
        <w:spacing w:after="120" w:line="280"/>
        <w:jc w:val="left"/>
      </w:pPr>
      <w:r>
        <w:rPr>
          <w:rFonts w:ascii="Arial" w:cs="Arial" w:eastAsia="Arial" w:hAnsi="Arial"/>
          <w:color w:val="1A1A1A"/>
          <w:sz w:val="22"/>
          <w:szCs w:val="22"/>
          <w:lang w:val="es-AR"/>
        </w:rPr>
        <w:t xml:space="preserve">Nombre: _______________________________________________</w:t>
      </w:r>
    </w:p>
    <w:p>
      <w:pPr>
        <w:keepNext/>
        <w:spacing w:after="120" w:line="280"/>
        <w:jc w:val="left"/>
      </w:pPr>
      <w:r>
        <w:rPr>
          <w:rFonts w:ascii="Arial" w:cs="Arial" w:eastAsia="Arial" w:hAnsi="Arial"/>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2026-08-19T15:26:33.181Z</dcterms:created>
  <dcterms:modified xsi:type="dcterms:W3CDTF">2026-08-19T15:26:33.181Z</dcterms:modified>
</cp:coreProperties>
</file>

<file path=docProps/custom.xml><?xml version="1.0" encoding="utf-8"?>
<Properties xmlns="http://schemas.openxmlformats.org/officeDocument/2006/custom-properties" xmlns:vt="http://schemas.openxmlformats.org/officeDocument/2006/docPropsVTypes"/>
</file>