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220" w:before="380"/>
        <w:jc w:val="center"/>
      </w:pPr>
      <w:r>
        <w:rPr>
          <w:rFonts w:ascii="Lexend" w:cs="Lexend" w:eastAsia="Lexend" w:hAnsi="Lexend"/>
          <w:b/>
          <w:bCs/>
          <w:color w:val="1A1A1A"/>
          <w:spacing w:val="30"/>
          <w:sz w:val="25"/>
          <w:szCs w:val="25"/>
          <w:lang w:val="es-AR"/>
        </w:rPr>
        <w:t xml:space="preserve">HERRAMIENTAS DE GESTIÓN DE REQUERIMIENTOS: COMPARACIÓN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Herramientas elegidas: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Tuleap Community Edition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(gratuita, de código abierto) 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IBM Engineering Requirements Management DOORS Next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(paga).</w:t>
      </w:r>
    </w:p>
    <w:tbl>
      <w:tblPr>
        <w:tblW w:type="dxa" w:w="9638"/>
        <w:tblBorders>
          <w:top w:val="single" w:color="BFD3E6" w:sz="4"/>
          <w:left w:val="single" w:color="DCE7F2" w:sz="2"/>
          <w:bottom w:val="single" w:color="BFD3E6" w:sz="4"/>
          <w:right w:val="single" w:color="DCE7F2" w:sz="2"/>
          <w:insideH w:val="single" w:color="BFD3E6" w:sz="2"/>
          <w:insideV w:val="single" w:color="DCE7F2" w:sz="2"/>
        </w:tblBorders>
        <w:tblLayout w:type="fixed"/>
      </w:tblPr>
      <w:tblGrid>
        <w:gridCol w:w="2120"/>
        <w:gridCol w:w="3759"/>
        <w:gridCol w:w="3759"/>
      </w:tblGrid>
      <w:tr>
        <w:trPr>
          <w:cantSplit/>
          <w:tblHeader/>
        </w:trPr>
        <w:tc>
          <w:tcPr>
            <w:tcW w:type="dxa" w:w="2120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Capacidad</w:t>
            </w:r>
          </w:p>
        </w:tc>
        <w:tc>
          <w:tcPr>
            <w:tcW w:type="dxa" w:w="3759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Tuleap Community Edition (gratuita)</w:t>
            </w:r>
          </w:p>
        </w:tc>
        <w:tc>
          <w:tcPr>
            <w:tcW w:type="dxa" w:w="3759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IBM DOORS Next (paga)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Licencia y costo</w:t>
            </w:r>
          </w:p>
        </w:tc>
        <w:tc>
          <w:tcPr>
            <w:tcW w:type="dxa" w:w="375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Código abierto (GPL). Gratis; existe una edición Enterprise paga con soporte, desde ~€1.560/año</w:t>
            </w:r>
          </w:p>
        </w:tc>
        <w:tc>
          <w:tcPr>
            <w:tcW w:type="dxa" w:w="375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Comercial. Desde ~US$ 164 por usuario/mes en la nube; on-premise por cotización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Instalación</w:t>
            </w:r>
          </w:p>
        </w:tc>
        <w:tc>
          <w:tcPr>
            <w:tcW w:type="dxa" w:w="375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Se instala en un servidor propio (Linux); acceso web</w:t>
            </w:r>
          </w:p>
        </w:tc>
        <w:tc>
          <w:tcPr>
            <w:tcW w:type="dxa" w:w="375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Nube de IBM o servidor propio; acceso web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Tipo de herramienta</w:t>
            </w:r>
          </w:p>
        </w:tc>
        <w:tc>
          <w:tcPr>
            <w:tcW w:type="dxa" w:w="375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Plataforma ALM completa: requisitos, planificación ágil, incidencias, pruebas y repositorios Git</w:t>
            </w:r>
          </w:p>
        </w:tc>
        <w:tc>
          <w:tcPr>
            <w:tcW w:type="dxa" w:w="375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Herramienta especializada en requisitos, parte de la suite IBM ELM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Captura y especificación</w:t>
            </w:r>
          </w:p>
        </w:tc>
        <w:tc>
          <w:tcPr>
            <w:tcW w:type="dxa" w:w="375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Requisitos como ítems de "trackers" configurables (campos, tipos, estados)</w:t>
            </w:r>
          </w:p>
        </w:tc>
        <w:tc>
          <w:tcPr>
            <w:tcW w:type="dxa" w:w="375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Requisitos dentro de módulos con formato de documento; importa Word, Excel y ReqIF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Atributos y tipos de requisito</w:t>
            </w:r>
          </w:p>
        </w:tc>
        <w:tc>
          <w:tcPr>
            <w:tcW w:type="dxa" w:w="375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Campos y tipos totalmente configurables por proyecto</w:t>
            </w:r>
          </w:p>
        </w:tc>
        <w:tc>
          <w:tcPr>
            <w:tcW w:type="dxa" w:w="375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Tipos de artefacto, atributos y tipos de vínculo configurables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Trazabilidad</w:t>
            </w:r>
          </w:p>
        </w:tc>
        <w:tc>
          <w:tcPr>
            <w:tcW w:type="dxa" w:w="375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Vínculos entre requisitos, historias, tareas, pruebas, defectos y commits; búsquedas entre trackers y vista de cobertura de requisitos por las pruebas</w:t>
            </w:r>
          </w:p>
        </w:tc>
        <w:tc>
          <w:tcPr>
            <w:tcW w:type="dxa" w:w="375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Vínculos tipados (satisface, deriva de, valida), vistas y matrices de trazabilidad hacia diseño y pruebas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Análisis de impacto</w:t>
            </w:r>
          </w:p>
        </w:tc>
        <w:tc>
          <w:tcPr>
            <w:tcW w:type="dxa" w:w="375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Siguiendo los vínculos manualmente o con consultas</w:t>
            </w:r>
          </w:p>
        </w:tc>
        <w:tc>
          <w:tcPr>
            <w:tcW w:type="dxa" w:w="375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Automático: al cambiar un requisito, marca como sospechosos los vínculos afectados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Gestión de cambios</w:t>
            </w:r>
          </w:p>
        </w:tc>
        <w:tc>
          <w:tcPr>
            <w:tcW w:type="dxa" w:w="375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Flujos de trabajo (workflow) con estados, permisos y transiciones; historial de cada ítem</w:t>
            </w:r>
          </w:p>
        </w:tc>
        <w:tc>
          <w:tcPr>
            <w:tcW w:type="dxa" w:w="375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Conjuntos de cambios, flujos de aprobación e historial completo con auditoría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Versiones y líneas base</w:t>
            </w:r>
          </w:p>
        </w:tc>
        <w:tc>
          <w:tcPr>
            <w:tcW w:type="dxa" w:w="375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Historial por ítem; líneas base y generación de documentos sólo en la edición Enterprise</w:t>
            </w:r>
          </w:p>
        </w:tc>
        <w:tc>
          <w:tcPr>
            <w:tcW w:type="dxa" w:w="375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Líneas base, comparación entre versiones y configuraciones por variante de producto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Revisión y aprobación</w:t>
            </w:r>
          </w:p>
        </w:tc>
        <w:tc>
          <w:tcPr>
            <w:tcW w:type="dxa" w:w="375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Por estados del workflow y comentarios</w:t>
            </w:r>
          </w:p>
        </w:tc>
        <w:tc>
          <w:tcPr>
            <w:tcW w:type="dxa" w:w="375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Revisiones formales con participantes, aprobaciones y firma electrónica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Gestión de pruebas</w:t>
            </w:r>
          </w:p>
        </w:tc>
        <w:tc>
          <w:tcPr>
            <w:tcW w:type="dxa" w:w="375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Incluida (campañas, casos de prueba y su vínculo con requisitos)</w:t>
            </w:r>
          </w:p>
        </w:tc>
        <w:tc>
          <w:tcPr>
            <w:tcW w:type="dxa" w:w="375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Mediante IBM Engineering Test Management (otra licencia)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Gestión ágil</w:t>
            </w:r>
          </w:p>
        </w:tc>
        <w:tc>
          <w:tcPr>
            <w:tcW w:type="dxa" w:w="375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Incluida (Scrum, Kanban, backlog, sprints)</w:t>
            </w:r>
          </w:p>
        </w:tc>
        <w:tc>
          <w:tcPr>
            <w:tcW w:type="dxa" w:w="375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Mediante otra herramienta de la suite (IBM EWM) o integración con Jira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Reportes</w:t>
            </w:r>
          </w:p>
        </w:tc>
        <w:tc>
          <w:tcPr>
            <w:tcW w:type="dxa" w:w="375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Tableros, gráficos y consultas configurables</w:t>
            </w:r>
          </w:p>
        </w:tc>
        <w:tc>
          <w:tcPr>
            <w:tcW w:type="dxa" w:w="375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Vistas, reportes y documentos exportables; revisión de la redacción con IA (complemento)</w:t>
            </w:r>
          </w:p>
        </w:tc>
      </w:tr>
    </w:tbl>
    <w:p>
      <w:pPr>
        <w:spacing w:after="160"/>
      </w:pPr>
    </w:p>
    <w:p>
      <w:pPr>
        <w:spacing w:after="260" w:line="288"/>
        <w:jc w:val="center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Ventajas y desventajas:</w:t>
      </w:r>
    </w:p>
    <w:tbl>
      <w:tblPr>
        <w:tblW w:type="dxa" w:w="9638"/>
        <w:tblBorders>
          <w:top w:val="single" w:color="BFD3E6" w:sz="4"/>
          <w:left w:val="single" w:color="DCE7F2" w:sz="2"/>
          <w:bottom w:val="single" w:color="BFD3E6" w:sz="4"/>
          <w:right w:val="single" w:color="DCE7F2" w:sz="2"/>
          <w:insideH w:val="single" w:color="BFD3E6" w:sz="2"/>
          <w:insideV w:val="single" w:color="DCE7F2" w:sz="2"/>
        </w:tblBorders>
        <w:tblLayout w:type="fixed"/>
      </w:tblPr>
      <w:tblGrid>
        <w:gridCol w:w="1542"/>
        <w:gridCol w:w="4048"/>
        <w:gridCol w:w="4048"/>
      </w:tblGrid>
      <w:tr>
        <w:trPr>
          <w:cantSplit/>
          <w:tblHeader/>
        </w:trPr>
        <w:tc>
          <w:tcPr>
            <w:tcW w:type="dxa" w:w="1542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sz w:val="18"/>
                <w:szCs w:val="18"/>
                <w:lang w:val="es-AR"/>
              </w:rPr>
              <w:t xml:space="preserve"/>
            </w:r>
          </w:p>
        </w:tc>
        <w:tc>
          <w:tcPr>
            <w:tcW w:type="dxa" w:w="4048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Tuleap Community Edition</w:t>
            </w:r>
          </w:p>
        </w:tc>
        <w:tc>
          <w:tcPr>
            <w:tcW w:type="dxa" w:w="4048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IBM DOORS Next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Ventajas</w:t>
            </w:r>
          </w:p>
        </w:tc>
        <w:tc>
          <w:tcPr>
            <w:tcW w:type="dxa" w:w="404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Sin costo de licencia · Todo el ciclo de vida en una sola herramienta (requisitos, pruebas, Git, agilidad) · Muy configurable · Trazabilidad de punta a punta</w:t>
            </w:r>
          </w:p>
        </w:tc>
        <w:tc>
          <w:tcPr>
            <w:tcW w:type="dxa" w:w="404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Estándar de la industria en sistemas críticos (aeroespacial, automotriz, defensa) · Análisis de impacto automático · Líneas base y configuraciones avanzadas · Revisiones formales con firma · Soporte oficial de IBM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Desventajas</w:t>
            </w:r>
          </w:p>
        </w:tc>
        <w:tc>
          <w:tcPr>
            <w:tcW w:type="dxa" w:w="404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Hay que instalarla y mantener el servidor · Sin soporte oficial (sólo la comunidad) · Líneas base y documentos sólo en la versión paga · Configurarla lleva tiempo</w:t>
            </w:r>
          </w:p>
        </w:tc>
        <w:tc>
          <w:tcPr>
            <w:tcW w:type="dxa" w:w="404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Costo alto por usuario · Curva de aprendizaje alta · Pruebas y gestión ágil requieren licencias aparte · Excesiva para proyectos chicos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Conviene para</w:t>
            </w:r>
          </w:p>
        </w:tc>
        <w:tc>
          <w:tcPr>
            <w:tcW w:type="dxa" w:w="404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Equipos chicos o medianos, proyectos académicos o empresas que quieren una ALM sin costo de licencia</w:t>
            </w:r>
          </w:p>
        </w:tc>
        <w:tc>
          <w:tcPr>
            <w:tcW w:type="dxa" w:w="404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Organizaciones grandes o reguladas, con muchos requisitos y obligación de auditoría</w:t>
            </w:r>
          </w:p>
        </w:tc>
      </w:tr>
    </w:tbl>
    <w:p>
      <w:pPr>
        <w:spacing w:after="160"/>
      </w:pP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Relación con REQM (CMMI):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las dos cubren las prácticas del área: entender y aceptar requisitos (estados y aprobaciones, SP 1.1 y 1.2), gestionar cambios (workflow e historial, SP 1.3), mantener la trazabilidad bidireccional (vínculos y matrices, SP 1.4) e identificar inconsistencias (consultas o vínculos sospechosos, SP 1.5). La diferencia está en el grado de automatización: DOORS Next detecta el impacto de un cambio por sí sola, mientras que en Tuleap hay que buscarlo siguiendo los vínculos.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20"/>
      <w:jc w:val="center"/>
    </w:pPr>
    <w:r>
      <w:rPr>
        <w:rFonts w:ascii="Lexend" w:cs="Lexend" w:eastAsia="Lexend" w:hAnsi="Lexend"/>
        <w:color w:val="6B7075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autoHyphenation/>
  <w:consecutiveHyphenLimit w:val="2"/>
  <w:doNotHyphenateCap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xend" w:cs="Lexend" w:eastAsia="Lexend" w:hAnsi="Lexend"/>
        <w:color w:val="1A1A1A"/>
        <w:sz w:val="22"/>
        <w:szCs w:val="22"/>
        <w:lang w:val="es-A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2026-10-15T14:55:06.201Z</dcterms:created>
  <dcterms:modified xsi:type="dcterms:W3CDTF">2026-10-15T14:55:06.202Z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