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UNIVERSIDAD TECNOLÓGICA NACIONAL</w:t>
      </w:r>
    </w:p>
    <w:p>
      <w:pPr>
        <w:pStyle w:val="Heading2"/>
        <w:keepNext/>
        <w:spacing w:after="120" w:before="300"/>
      </w:pPr>
      <w:r>
        <w:rPr>
          <w:rFonts w:ascii="Arial" w:cs="Arial" w:eastAsia="Arial" w:hAnsi="Arial"/>
          <w:b/>
          <w:bCs/>
          <w:color w:val="1A1A1A"/>
          <w:spacing w:val="18"/>
          <w:sz w:val="21"/>
          <w:szCs w:val="21"/>
          <w:lang w:val="es-AR"/>
        </w:rPr>
        <w:t xml:space="preserve">CÁTEDRA</w:t>
      </w:r>
    </w:p>
    <w:p>
      <w:pPr>
        <w:spacing w:after="120" w:line="280"/>
        <w:jc w:val="both"/>
      </w:pPr>
      <w:r>
        <w:rPr>
          <w:rFonts w:ascii="Arial" w:cs="Arial" w:eastAsia="Arial" w:hAnsi="Arial"/>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Arial" w:cs="Arial" w:eastAsia="Arial" w:hAnsi="Arial"/>
          <w:b/>
          <w:bCs/>
          <w:color w:val="1A1A1A"/>
          <w:spacing w:val="18"/>
          <w:sz w:val="21"/>
          <w:szCs w:val="21"/>
          <w:lang w:val="es-AR"/>
        </w:rPr>
        <w:t xml:space="preserve">TRABAJO PRÁCTICO INTEGRADOR 2026 — ETAPA 3</w:t>
      </w:r>
    </w:p>
    <w:p>
      <w:pPr>
        <w:spacing w:after="120" w:line="280"/>
        <w:jc w:val="both"/>
      </w:pPr>
      <w:r>
        <w:rPr>
          <w:rFonts w:ascii="Arial" w:cs="Arial" w:eastAsia="Arial" w:hAnsi="Arial"/>
          <w:b/>
          <w:bCs/>
          <w:color w:val="1A1A1A"/>
          <w:sz w:val="22"/>
          <w:szCs w:val="22"/>
          <w:lang w:val="es-AR"/>
        </w:rPr>
        <w:t xml:space="preserve">Planificación de un Proyecto de TI</w:t>
      </w:r>
    </w:p>
    <w:p>
      <w:pPr>
        <w:spacing w:after="120" w:line="280"/>
        <w:jc w:val="both"/>
      </w:pPr>
      <w:r>
        <w:rPr>
          <w:rFonts w:ascii="Arial" w:cs="Arial" w:eastAsia="Arial" w:hAnsi="Arial"/>
          <w:i/>
          <w:iCs/>
          <w:color w:val="1A1A1A"/>
          <w:sz w:val="22"/>
          <w:szCs w:val="22"/>
          <w:lang w:val="es-AR"/>
        </w:rPr>
        <w:t xml:space="preserve">Proyecto de TI para Personal (Telecom Argentina) — Proceso de instalación de internet con fibra óptica</w:t>
      </w:r>
    </w:p>
    <w:p>
      <w:pPr>
        <w:spacing w:after="120" w:line="280"/>
        <w:jc w:val="both"/>
      </w:pPr>
      <w:r>
        <w:rPr>
          <w:rFonts w:ascii="Arial" w:cs="Arial" w:eastAsia="Arial" w:hAnsi="Arial"/>
          <w:b/>
          <w:bCs/>
          <w:color w:val="1A1A1A"/>
          <w:sz w:val="22"/>
          <w:szCs w:val="22"/>
          <w:lang w:val="es-AR"/>
        </w:rPr>
        <w:t xml:space="preserve">Comisión Nº:</w:t>
      </w:r>
      <w:r>
        <w:rPr>
          <w:rFonts w:ascii="Arial" w:cs="Arial" w:eastAsia="Arial" w:hAnsi="Arial"/>
          <w:color w:val="1A1A1A"/>
          <w:sz w:val="22"/>
          <w:szCs w:val="22"/>
          <w:lang w:val="es-AR"/>
        </w:rPr>
        <w:t xml:space="preserve"> 403</w:t>
      </w:r>
    </w:p>
    <w:p>
      <w:pPr>
        <w:spacing w:after="120" w:line="280"/>
        <w:jc w:val="both"/>
      </w:pPr>
      <w:r>
        <w:rPr>
          <w:rFonts w:ascii="Arial" w:cs="Arial" w:eastAsia="Arial" w:hAnsi="Arial"/>
          <w:b/>
          <w:bCs/>
          <w:color w:val="1A1A1A"/>
          <w:sz w:val="22"/>
          <w:szCs w:val="22"/>
          <w:lang w:val="es-AR"/>
        </w:rPr>
        <w:t xml:space="preserve">Grupo Nº:</w:t>
      </w:r>
      <w:r>
        <w:rPr>
          <w:rFonts w:ascii="Arial" w:cs="Arial" w:eastAsia="Arial" w:hAnsi="Arial"/>
          <w:color w:val="1A1A1A"/>
          <w:sz w:val="22"/>
          <w:szCs w:val="22"/>
          <w:lang w:val="es-AR"/>
        </w:rPr>
        <w:t xml:space="preserve"> 310</w:t>
      </w:r>
    </w:p>
    <w:p>
      <w:pPr>
        <w:pStyle w:val="Heading2"/>
        <w:keepNext/>
        <w:spacing w:after="120" w:before="300"/>
      </w:pPr>
      <w:r>
        <w:rPr>
          <w:rFonts w:ascii="Arial" w:cs="Arial" w:eastAsia="Arial" w:hAnsi="Arial"/>
          <w:b/>
          <w:bCs/>
          <w:color w:val="1A1A1A"/>
          <w:spacing w:val="18"/>
          <w:sz w:val="21"/>
          <w:szCs w:val="21"/>
          <w:lang w:val="es-AR"/>
        </w:rPr>
        <w:t xml:space="preserve">INTEGRANTES</w:t>
      </w:r>
    </w:p>
    <w:p>
      <w:pPr>
        <w:spacing w:after="120" w:line="280"/>
        <w:jc w:val="both"/>
      </w:pPr>
      <w:r>
        <w:rPr>
          <w:rFonts w:ascii="Arial" w:cs="Arial" w:eastAsia="Arial" w:hAnsi="Arial"/>
          <w:i/>
          <w:iCs/>
          <w:color w:val="1A1A1A"/>
          <w:sz w:val="22"/>
          <w:szCs w:val="22"/>
          <w:lang w:val="es-AR"/>
        </w:rPr>
        <w:t xml:space="preserve">Legajo, Apellido y Nombres, Email</w:t>
      </w:r>
    </w:p>
    <w:p>
      <w:pPr>
        <w:pStyle w:val="ListParagraph"/>
        <w:numPr>
          <w:ilvl w:val="0"/>
          <w:numId w:val="1"/>
        </w:numPr>
        <w:spacing w:after="100" w:line="276"/>
        <w:jc w:val="both"/>
      </w:pPr>
      <w:r>
        <w:rPr>
          <w:rFonts w:ascii="Arial" w:cs="Arial" w:eastAsia="Arial" w:hAnsi="Arial"/>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53215, Lezcano Diego, diegolezcano209@gmail.com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52688, Lurati Ignacio, ignaciolurati2@gmail.com</w:t>
      </w:r>
    </w:p>
    <w:p>
      <w:pPr>
        <w:pStyle w:val="Heading2"/>
        <w:keepNext/>
        <w:spacing w:after="120" w:before="300"/>
      </w:pPr>
      <w:r>
        <w:rPr>
          <w:rFonts w:ascii="Arial" w:cs="Arial" w:eastAsia="Arial" w:hAnsi="Arial"/>
          <w:b/>
          <w:bCs/>
          <w:color w:val="1A1A1A"/>
          <w:spacing w:val="18"/>
          <w:sz w:val="21"/>
          <w:szCs w:val="21"/>
          <w:lang w:val="es-AR"/>
        </w:rPr>
        <w:t xml:space="preserve">VERSIÓN DEL DOCUMENTO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964"/>
        <w:gridCol w:w="1735"/>
        <w:gridCol w:w="2120"/>
        <w:gridCol w:w="4819"/>
      </w:tblGrid>
      <w:tr>
        <w:trPr>
          <w:cantSplit/>
          <w:tblHeader/>
        </w:trPr>
        <w:tc>
          <w:tcPr>
            <w:tcW w:type="dxa" w:w="964"/>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Mod</w:t>
            </w:r>
          </w:p>
        </w:tc>
        <w:tc>
          <w:tcPr>
            <w:tcW w:type="dxa" w:w="1735"/>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Fecha</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Autor</w:t>
            </w:r>
          </w:p>
        </w:tc>
        <w:tc>
          <w:tcPr>
            <w:tcW w:type="dxa" w:w="481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Descripción</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19/08/2026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Envío de los puntos 1 a 3 para validación del docente</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CC</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Validación del punto 3 y redefinición de las alternativas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Reformulación del punto 3 y avance de los puntos 4.1 y 4.2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ÍNDICE</w:t>
      </w:r>
    </w:p>
    <w:p>
      <w:pPr>
        <w:pStyle w:val="ListParagraph"/>
        <w:numPr>
          <w:ilvl w:val="0"/>
          <w:numId w:val="2"/>
        </w:numPr>
        <w:spacing w:after="100" w:line="276"/>
        <w:jc w:val="both"/>
      </w:pPr>
      <w:r>
        <w:rPr>
          <w:rFonts w:ascii="Arial" w:cs="Arial" w:eastAsia="Arial" w:hAnsi="Arial"/>
          <w:color w:val="1A1A1A"/>
          <w:sz w:val="22"/>
          <w:szCs w:val="22"/>
          <w:lang w:val="es-AR"/>
        </w:rPr>
        <w:t xml:space="preserve">Proyecto propuesto</w:t>
      </w:r>
    </w:p>
    <w:p>
      <w:pPr>
        <w:pStyle w:val="ListParagraph"/>
        <w:numPr>
          <w:ilvl w:val="0"/>
          <w:numId w:val="2"/>
        </w:numPr>
        <w:spacing w:after="100" w:line="276"/>
        <w:jc w:val="both"/>
      </w:pPr>
      <w:r>
        <w:rPr>
          <w:rFonts w:ascii="Arial" w:cs="Arial" w:eastAsia="Arial" w:hAnsi="Arial"/>
          <w:color w:val="1A1A1A"/>
          <w:sz w:val="22"/>
          <w:szCs w:val="22"/>
          <w:lang w:val="es-AR"/>
        </w:rPr>
        <w:t xml:space="preserve">Objetivos</w:t>
      </w:r>
    </w:p>
    <w:p>
      <w:pPr>
        <w:pStyle w:val="ListParagraph"/>
        <w:numPr>
          <w:ilvl w:val="0"/>
          <w:numId w:val="2"/>
        </w:numPr>
        <w:spacing w:after="100" w:line="276"/>
        <w:jc w:val="both"/>
      </w:pPr>
      <w:r>
        <w:rPr>
          <w:rFonts w:ascii="Arial" w:cs="Arial" w:eastAsia="Arial" w:hAnsi="Arial"/>
          <w:color w:val="1A1A1A"/>
          <w:sz w:val="22"/>
          <w:szCs w:val="22"/>
          <w:lang w:val="es-AR"/>
        </w:rPr>
        <w:t xml:space="preserve">Alternativas y selección</w:t>
      </w:r>
    </w:p>
    <w:p>
      <w:pPr>
        <w:pStyle w:val="ListParagraph"/>
        <w:numPr>
          <w:ilvl w:val="0"/>
          <w:numId w:val="2"/>
        </w:numPr>
        <w:spacing w:after="100" w:line="276"/>
        <w:jc w:val="both"/>
      </w:pPr>
      <w:r>
        <w:rPr>
          <w:rFonts w:ascii="Arial" w:cs="Arial" w:eastAsia="Arial" w:hAnsi="Arial"/>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Arial" w:cs="Arial" w:eastAsia="Arial" w:hAnsi="Arial"/>
          <w:color w:val="1A1A1A"/>
          <w:sz w:val="22"/>
          <w:szCs w:val="22"/>
          <w:lang w:val="es-AR"/>
        </w:rPr>
        <w:t xml:space="preserve">Recursos humanos — perfiles y competencias</w:t>
      </w:r>
    </w:p>
    <w:p>
      <w:pPr>
        <w:pStyle w:val="ListParagraph"/>
        <w:numPr>
          <w:ilvl w:val="0"/>
          <w:numId w:val="2"/>
        </w:numPr>
        <w:spacing w:after="100" w:line="276"/>
        <w:jc w:val="both"/>
      </w:pPr>
      <w:r>
        <w:rPr>
          <w:rFonts w:ascii="Arial" w:cs="Arial" w:eastAsia="Arial" w:hAnsi="Arial"/>
          <w:color w:val="1A1A1A"/>
          <w:sz w:val="22"/>
          <w:szCs w:val="22"/>
          <w:lang w:val="es-AR"/>
        </w:rPr>
        <w:t xml:space="preserve">Higiene y seguridad laboral</w:t>
      </w:r>
    </w:p>
    <w:p>
      <w:pPr>
        <w:pStyle w:val="ListParagraph"/>
        <w:numPr>
          <w:ilvl w:val="0"/>
          <w:numId w:val="2"/>
        </w:numPr>
        <w:spacing w:after="100" w:line="276"/>
        <w:jc w:val="both"/>
      </w:pPr>
      <w:r>
        <w:rPr>
          <w:rFonts w:ascii="Arial" w:cs="Arial" w:eastAsia="Arial" w:hAnsi="Arial"/>
          <w:color w:val="1A1A1A"/>
          <w:sz w:val="22"/>
          <w:szCs w:val="22"/>
          <w:lang w:val="es-AR"/>
        </w:rPr>
        <w:t xml:space="preserve">Activos a adquirir</w:t>
      </w:r>
    </w:p>
    <w:p>
      <w:pPr>
        <w:pStyle w:val="ListParagraph"/>
        <w:numPr>
          <w:ilvl w:val="0"/>
          <w:numId w:val="2"/>
        </w:numPr>
        <w:spacing w:after="100" w:line="276"/>
        <w:jc w:val="both"/>
      </w:pPr>
      <w:r>
        <w:rPr>
          <w:rFonts w:ascii="Arial" w:cs="Arial" w:eastAsia="Arial" w:hAnsi="Arial"/>
          <w:color w:val="1A1A1A"/>
          <w:sz w:val="22"/>
          <w:szCs w:val="22"/>
          <w:lang w:val="es-AR"/>
        </w:rPr>
        <w:t xml:space="preserve">Forma de adquisición</w:t>
      </w:r>
    </w:p>
    <w:p>
      <w:pPr>
        <w:pStyle w:val="ListParagraph"/>
        <w:numPr>
          <w:ilvl w:val="0"/>
          <w:numId w:val="2"/>
        </w:numPr>
        <w:spacing w:after="100" w:line="276"/>
        <w:jc w:val="both"/>
      </w:pPr>
      <w:r>
        <w:rPr>
          <w:rFonts w:ascii="Arial" w:cs="Arial" w:eastAsia="Arial" w:hAnsi="Arial"/>
          <w:color w:val="1A1A1A"/>
          <w:sz w:val="22"/>
          <w:szCs w:val="22"/>
          <w:lang w:val="es-AR"/>
        </w:rPr>
        <w:t xml:space="preserve">RFI y RFP</w:t>
      </w:r>
    </w:p>
    <w:p>
      <w:pPr>
        <w:pStyle w:val="ListParagraph"/>
        <w:numPr>
          <w:ilvl w:val="0"/>
          <w:numId w:val="2"/>
        </w:numPr>
        <w:spacing w:after="100" w:line="276"/>
        <w:jc w:val="both"/>
      </w:pPr>
      <w:r>
        <w:rPr>
          <w:rFonts w:ascii="Arial" w:cs="Arial" w:eastAsia="Arial" w:hAnsi="Arial"/>
          <w:color w:val="1A1A1A"/>
          <w:sz w:val="22"/>
          <w:szCs w:val="22"/>
          <w:lang w:val="es-AR"/>
        </w:rPr>
        <w:t xml:space="preserve">Tiempos del proyecto</w:t>
      </w:r>
    </w:p>
    <w:p>
      <w:pPr>
        <w:pStyle w:val="ListParagraph"/>
        <w:numPr>
          <w:ilvl w:val="0"/>
          <w:numId w:val="2"/>
        </w:numPr>
        <w:spacing w:after="100" w:line="276"/>
        <w:jc w:val="both"/>
      </w:pPr>
      <w:r>
        <w:rPr>
          <w:rFonts w:ascii="Arial" w:cs="Arial" w:eastAsia="Arial" w:hAnsi="Arial"/>
          <w:color w:val="1A1A1A"/>
          <w:sz w:val="22"/>
          <w:szCs w:val="22"/>
          <w:lang w:val="es-AR"/>
        </w:rPr>
        <w:t xml:space="preserve">Variables de costo</w:t>
      </w:r>
    </w:p>
    <w:p>
      <w:pPr>
        <w:pStyle w:val="ListParagraph"/>
        <w:numPr>
          <w:ilvl w:val="0"/>
          <w:numId w:val="2"/>
        </w:numPr>
        <w:spacing w:after="100" w:line="276"/>
        <w:jc w:val="both"/>
      </w:pPr>
      <w:r>
        <w:rPr>
          <w:rFonts w:ascii="Arial" w:cs="Arial" w:eastAsia="Arial" w:hAnsi="Arial"/>
          <w:color w:val="1A1A1A"/>
          <w:sz w:val="22"/>
          <w:szCs w:val="22"/>
          <w:lang w:val="es-AR"/>
        </w:rPr>
        <w:t xml:space="preserve">Análisis de factibilidad</w:t>
      </w:r>
    </w:p>
    <w:p>
      <w:pPr>
        <w:spacing w:after="120" w:line="280"/>
        <w:jc w:val="both"/>
      </w:pPr>
      <w:r>
        <w:rPr>
          <w:rFonts w:ascii="Arial" w:cs="Arial" w:eastAsia="Arial" w:hAnsi="Arial"/>
          <w:color w:val="1A1A1A"/>
          <w:sz w:val="22"/>
          <w:szCs w:val="22"/>
          <w:lang w:val="es-AR"/>
        </w:rPr>
        <w:t xml:space="preserve">Anexo I — Acta de Proyecto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 PROYECTO PROPUESTO</w:t>
      </w:r>
    </w:p>
    <w:p>
      <w:pPr>
        <w:pStyle w:val="Heading2"/>
        <w:keepNext/>
        <w:spacing w:after="120" w:before="300"/>
      </w:pPr>
      <w:r>
        <w:rPr>
          <w:rFonts w:ascii="Arial" w:cs="Arial" w:eastAsia="Arial" w:hAnsi="Arial"/>
          <w:b/>
          <w:bCs/>
          <w:color w:val="1A1A1A"/>
          <w:spacing w:val="18"/>
          <w:sz w:val="21"/>
          <w:szCs w:val="21"/>
          <w:lang w:val="es-AR"/>
        </w:rPr>
        <w:t xml:space="preserve">PROBLEMA O NECESIDAD DETECTADA</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severidad 12,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—técnico sin capacitación en el nuevo modelo de ONT—, severidad 12,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PROYECTO</w:t>
      </w:r>
    </w:p>
    <w:p>
      <w:pPr>
        <w:spacing w:after="120" w:line="280"/>
        <w:jc w:val="both"/>
      </w:pPr>
      <w:r>
        <w:rPr>
          <w:rFonts w:ascii="Arial" w:cs="Arial" w:eastAsia="Arial" w:hAnsi="Arial"/>
          <w:color w:val="1A1A1A"/>
          <w:sz w:val="22"/>
          <w:szCs w:val="22"/>
          <w:lang w:val="es-AR"/>
        </w:rPr>
        <w:t xml:space="preserve">Implementar una </w:t>
      </w: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para resolver trazabilidad, priorización y control de competencias técnicas en instalaciones de fibra óptica.</w:t>
      </w:r>
    </w:p>
    <w:p>
      <w:pPr>
        <w:spacing w:after="120" w:line="280"/>
        <w:jc w:val="both"/>
      </w:pPr>
      <w:r>
        <w:rPr>
          <w:rFonts w:ascii="Arial" w:cs="Arial" w:eastAsia="Arial" w:hAnsi="Arial"/>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Arial" w:cs="Arial" w:eastAsia="Arial" w:hAnsi="Arial"/>
          <w:b/>
          <w:bCs/>
          <w:color w:val="1A1A1A"/>
          <w:spacing w:val="18"/>
          <w:sz w:val="21"/>
          <w:szCs w:val="21"/>
          <w:lang w:val="es-AR"/>
        </w:rPr>
        <w:t xml:space="preserve">TRAZABILIDAD CON LAS ETAPAS ANTERIORES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120"/>
        <w:gridCol w:w="4626"/>
        <w:gridCol w:w="2892"/>
      </w:tblGrid>
      <w:tr>
        <w:trPr>
          <w:cantSplit/>
          <w:tblHeader/>
        </w:trPr>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Origen</w:t>
            </w:r>
          </w:p>
        </w:tc>
        <w:tc>
          <w:tcPr>
            <w:tcW w:type="dxa" w:w="462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Texto ya comprometido</w:t>
            </w:r>
          </w:p>
        </w:tc>
        <w:tc>
          <w:tcPr>
            <w:tcW w:type="dxa" w:w="289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Cómo lo ataca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Implementar una aplicación de gestión para técnicos de campo y aumentar la productividad operativa en un 5%</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Es el alcance del proyecto</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Meta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Asignación optimizada de técnicos</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Motor de asignación por competencia, zona, carga y ventana horaria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negocio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el rendimiento de los técnicos en un 5% (instalaciones sobre horas de trabajo)</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O1, con el mismo indicador</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Meta de negocio (Etapa 1)</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Mejorar el tiempo de instalación</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Objetivo O2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PROCESO AFECTADO Y USUARIOS</w:t>
      </w:r>
    </w:p>
    <w:p>
      <w:pPr>
        <w:spacing w:after="120" w:line="280"/>
        <w:jc w:val="both"/>
      </w:pPr>
      <w:r>
        <w:rPr>
          <w:rFonts w:ascii="Arial" w:cs="Arial" w:eastAsia="Arial" w:hAnsi="Arial"/>
          <w:color w:val="1A1A1A"/>
          <w:sz w:val="22"/>
          <w:szCs w:val="22"/>
          <w:lang w:val="es-AR"/>
        </w:rPr>
        <w:t xml:space="preserve">Afecta las </w:t>
      </w:r>
      <w:r>
        <w:rPr>
          <w:rFonts w:ascii="Arial" w:cs="Arial" w:eastAsia="Arial" w:hAnsi="Arial"/>
          <w:b/>
          <w:bCs/>
          <w:color w:val="1A1A1A"/>
          <w:sz w:val="22"/>
          <w:szCs w:val="22"/>
          <w:lang w:val="es-AR"/>
        </w:rPr>
        <w:t xml:space="preserve">actividades 3 a 9</w:t>
      </w:r>
      <w:r>
        <w:rPr>
          <w:rFonts w:ascii="Arial" w:cs="Arial" w:eastAsia="Arial" w:hAnsi="Arial"/>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Arial" w:cs="Arial" w:eastAsia="Arial" w:hAnsi="Arial"/>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Arial" w:cs="Arial" w:eastAsia="Arial" w:hAnsi="Arial"/>
          <w:b/>
          <w:bCs/>
          <w:color w:val="1A1A1A"/>
          <w:spacing w:val="18"/>
          <w:sz w:val="21"/>
          <w:szCs w:val="21"/>
          <w:lang w:val="es-AR"/>
        </w:rPr>
        <w:t xml:space="preserve">ALCANCE — QUÉ INCLUYE</w:t>
      </w:r>
    </w:p>
    <w:p>
      <w:pPr>
        <w:spacing w:after="120" w:line="280"/>
        <w:jc w:val="both"/>
      </w:pPr>
      <w:r>
        <w:rPr>
          <w:rFonts w:ascii="Arial" w:cs="Arial" w:eastAsia="Arial" w:hAnsi="Arial"/>
          <w:color w:val="1A1A1A"/>
          <w:sz w:val="22"/>
          <w:szCs w:val="22"/>
          <w:lang w:val="es-AR"/>
        </w:rPr>
        <w:t xml:space="preserve">Módulo de despacho y priorización con cola única · motor de asignación por competencia certificada, zona, carga y ventana horaria · aplicación móvil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Arial" w:cs="Arial" w:eastAsia="Arial" w:hAnsi="Arial"/>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Arial" w:cs="Arial" w:eastAsia="Arial" w:hAnsi="Arial"/>
          <w:color w:val="1A1A1A"/>
          <w:sz w:val="22"/>
          <w:szCs w:val="22"/>
          <w:lang w:val="es-AR"/>
        </w:rPr>
        <w:t xml:space="preserve">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2. 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marcados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no relevaron indicadores de operación. Se los declara explícitamente como supuestos y </w:t>
      </w:r>
      <w:r>
        <w:rPr>
          <w:rFonts w:ascii="Arial" w:cs="Arial" w:eastAsia="Arial" w:hAnsi="Arial"/>
          <w:b/>
          <w:bCs/>
          <w:color w:val="1A1A1A"/>
          <w:sz w:val="20"/>
          <w:szCs w:val="20"/>
          <w:lang w:val="es-AR"/>
        </w:rPr>
        <w:t xml:space="preserve">su medición formal es un entregable propio de la fase de Relevamiento y análisis</w:t>
      </w:r>
      <w:r>
        <w:rPr>
          <w:rFonts w:ascii="Arial" w:cs="Arial" w:eastAsia="Arial" w:hAnsi="Arial"/>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3. ALTERNATIVAS Y SELECCIÓN</w:t>
      </w:r>
    </w:p>
    <w:p>
      <w:pPr>
        <w:spacing w:after="120" w:line="280"/>
        <w:jc w:val="both"/>
      </w:pPr>
      <w:r>
        <w:rPr>
          <w:rFonts w:ascii="Arial" w:cs="Arial" w:eastAsia="Arial" w:hAnsi="Arial"/>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578"/>
        <w:gridCol w:w="2891"/>
        <w:gridCol w:w="4048"/>
        <w:gridCol w:w="2121"/>
      </w:tblGrid>
      <w:tr>
        <w:trPr>
          <w:cantSplit/>
          <w:tblHeader/>
        </w:trPr>
        <w:tc>
          <w:tcPr>
            <w:tcW w:type="dxa" w:w="57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sz w:val="18"/>
                <w:szCs w:val="18"/>
                <w:lang w:val="es-AR"/>
              </w:rPr>
              <w:t xml:space="preserve"/>
            </w:r>
          </w:p>
        </w:tc>
        <w:tc>
          <w:tcPr>
            <w:tcW w:type="dxa" w:w="289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Alternativa</w:t>
            </w:r>
          </w:p>
        </w:tc>
        <w:tc>
          <w:tcPr>
            <w:tcW w:type="dxa" w:w="404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Problema que ataca</w:t>
            </w:r>
          </w:p>
        </w:tc>
        <w:tc>
          <w:tcPr>
            <w:tcW w:type="dxa" w:w="212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Estado</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gestión de órdenes de trabajo con aplicación móvil de campo</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Seleccionada</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seguridad perimetral y gestión de identidades</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Mencionada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 de capacidad y mantenimiento preventivo de planta externa</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Mencionada</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JUSTIFICACIÓN DE LA SELECCIÓN</w:t>
      </w:r>
    </w:p>
    <w:p>
      <w:pPr>
        <w:spacing w:after="120" w:line="280"/>
        <w:jc w:val="both"/>
      </w:pPr>
      <w:r>
        <w:rPr>
          <w:rFonts w:ascii="Arial" w:cs="Arial" w:eastAsia="Arial" w:hAnsi="Arial"/>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Trata riesgos que quedaron sin tratamiento.</w:t>
      </w:r>
      <w:r>
        <w:rPr>
          <w:rFonts w:ascii="Arial" w:cs="Arial" w:eastAsia="Arial" w:hAnsi="Arial"/>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Ejecuta un objetivo ya comprometido.</w:t>
      </w:r>
      <w:r>
        <w:rPr>
          <w:rFonts w:ascii="Arial" w:cs="Arial" w:eastAsia="Arial" w:hAnsi="Arial"/>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Impacta directamente sobre el proceso crítico.</w:t>
      </w:r>
      <w:r>
        <w:rPr>
          <w:rFonts w:ascii="Arial" w:cs="Arial" w:eastAsia="Arial" w:hAnsi="Arial"/>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Habilita el resto de la planificación.</w:t>
      </w:r>
      <w:r>
        <w:rPr>
          <w:rFonts w:ascii="Arial" w:cs="Arial" w:eastAsia="Arial" w:hAnsi="Arial"/>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Arial" w:cs="Arial" w:eastAsia="Arial" w:hAnsi="Arial"/>
          <w:b/>
          <w:bCs/>
          <w:color w:val="1A1A1A"/>
          <w:spacing w:val="18"/>
          <w:sz w:val="21"/>
          <w:szCs w:val="21"/>
          <w:lang w:val="es-AR"/>
        </w:rPr>
        <w:t xml:space="preserve">MODO DE CONSTRUCCIÓN</w:t>
      </w:r>
    </w:p>
    <w:p>
      <w:pPr>
        <w:spacing w:after="120" w:line="280"/>
        <w:jc w:val="both"/>
      </w:pPr>
      <w:r>
        <w:rPr>
          <w:rFonts w:ascii="Arial" w:cs="Arial" w:eastAsia="Arial" w:hAnsi="Arial"/>
          <w:color w:val="1A1A1A"/>
          <w:sz w:val="22"/>
          <w:szCs w:val="22"/>
          <w:lang w:val="es-AR"/>
        </w:rPr>
        <w:t xml:space="preserve">La solución se implementa sobre una </w:t>
      </w:r>
      <w:r>
        <w:rPr>
          <w:rFonts w:ascii="Arial" w:cs="Arial" w:eastAsia="Arial" w:hAnsi="Arial"/>
          <w:b/>
          <w:bCs/>
          <w:color w:val="1A1A1A"/>
          <w:sz w:val="22"/>
          <w:szCs w:val="22"/>
          <w:lang w:val="es-AR"/>
        </w:rPr>
        <w:t xml:space="preserve">plataforma de Field Service Management (FSM) configurable, contratada como servicio (SaaS)</w:t>
      </w:r>
      <w:r>
        <w:rPr>
          <w:rFonts w:ascii="Arial" w:cs="Arial" w:eastAsia="Arial" w:hAnsi="Arial"/>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Arial" w:cs="Arial" w:eastAsia="Arial" w:hAnsi="Arial"/>
          <w:b/>
          <w:bCs/>
          <w:color w:val="1A1A1A"/>
          <w:sz w:val="22"/>
          <w:szCs w:val="22"/>
          <w:lang w:val="es-AR"/>
        </w:rPr>
        <w:t xml:space="preserve">integraciones</w:t>
      </w:r>
      <w:r>
        <w:rPr>
          <w:rFonts w:ascii="Arial" w:cs="Arial" w:eastAsia="Arial" w:hAnsi="Arial"/>
          <w:color w:val="1A1A1A"/>
          <w:sz w:val="22"/>
          <w:szCs w:val="22"/>
          <w:lang w:val="es-AR"/>
        </w:rPr>
        <w:t xml:space="preserve"> con los sistemas existentes y la </w:t>
      </w:r>
      <w:r>
        <w:rPr>
          <w:rFonts w:ascii="Arial" w:cs="Arial" w:eastAsia="Arial" w:hAnsi="Arial"/>
          <w:b/>
          <w:bCs/>
          <w:color w:val="1A1A1A"/>
          <w:sz w:val="22"/>
          <w:szCs w:val="22"/>
          <w:lang w:val="es-AR"/>
        </w:rPr>
        <w:t xml:space="preserve">capa de seguridad</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Contrapartida asumida.</w:t>
      </w:r>
      <w:r>
        <w:rPr>
          <w:rFonts w:ascii="Arial" w:cs="Arial" w:eastAsia="Arial" w:hAnsi="Arial"/>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4. CICLO DE VIDA, FASES Y ESTRUCTURA DE DESGLOSE DE TRABAJO</w:t>
      </w:r>
    </w:p>
    <w:p>
      <w:pPr>
        <w:pStyle w:val="Heading2"/>
        <w:keepNext/>
        <w:spacing w:after="120" w:before="300"/>
      </w:pPr>
      <w:r>
        <w:rPr>
          <w:rFonts w:ascii="Arial" w:cs="Arial" w:eastAsia="Arial" w:hAnsi="Arial"/>
          <w:b/>
          <w:bCs/>
          <w:color w:val="1A1A1A"/>
          <w:spacing w:val="18"/>
          <w:sz w:val="21"/>
          <w:szCs w:val="21"/>
          <w:lang w:val="es-AR"/>
        </w:rPr>
        <w:t xml:space="preserve">4.1 CICLO DE VIDA</w:t>
      </w:r>
    </w:p>
    <w:p>
      <w:pPr>
        <w:spacing w:after="120" w:line="280"/>
        <w:jc w:val="both"/>
      </w:pPr>
      <w:r>
        <w:rPr>
          <w:rFonts w:ascii="Arial" w:cs="Arial" w:eastAsia="Arial" w:hAnsi="Arial"/>
          <w:color w:val="1A1A1A"/>
          <w:sz w:val="22"/>
          <w:szCs w:val="22"/>
          <w:lang w:val="es-AR"/>
        </w:rPr>
        <w:t xml:space="preserve">Se adopta un </w:t>
      </w:r>
      <w:r>
        <w:rPr>
          <w:rFonts w:ascii="Arial" w:cs="Arial" w:eastAsia="Arial" w:hAnsi="Arial"/>
          <w:b/>
          <w:bCs/>
          <w:color w:val="1A1A1A"/>
          <w:sz w:val="22"/>
          <w:szCs w:val="22"/>
          <w:lang w:val="es-AR"/>
        </w:rPr>
        <w:t xml:space="preserve">ciclo de vida híbrido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Predictivo</w:t>
      </w:r>
      <w:r>
        <w:rPr>
          <w:rFonts w:ascii="Arial" w:cs="Arial" w:eastAsia="Arial" w:hAnsi="Arial"/>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Arial" w:cs="Arial" w:eastAsia="Arial" w:hAnsi="Arial"/>
          <w:b/>
          <w:bCs/>
          <w:color w:val="1A1A1A"/>
          <w:sz w:val="22"/>
          <w:szCs w:val="22"/>
          <w:lang w:val="es-AR"/>
        </w:rPr>
        <w:t xml:space="preserve">Incremental e iterativo</w:t>
      </w:r>
      <w:r>
        <w:rPr>
          <w:rFonts w:ascii="Arial" w:cs="Arial" w:eastAsia="Arial" w:hAnsi="Arial"/>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Arial" w:cs="Arial" w:eastAsia="Arial" w:hAnsi="Arial"/>
          <w:b/>
          <w:bCs/>
          <w:color w:val="1A1A1A"/>
          <w:sz w:val="22"/>
          <w:szCs w:val="22"/>
          <w:lang w:val="es-AR"/>
        </w:rPr>
        <w:t xml:space="preserve">Por qué no cascada pura.</w:t>
      </w:r>
      <w:r>
        <w:rPr>
          <w:rFonts w:ascii="Arial" w:cs="Arial" w:eastAsia="Arial" w:hAnsi="Arial"/>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Arial" w:cs="Arial" w:eastAsia="Arial" w:hAnsi="Arial"/>
          <w:b/>
          <w:bCs/>
          <w:color w:val="1A1A1A"/>
          <w:sz w:val="22"/>
          <w:szCs w:val="22"/>
          <w:lang w:val="es-AR"/>
        </w:rPr>
        <w:t xml:space="preserve">Por qué no ágil puro.</w:t>
      </w:r>
      <w:r>
        <w:rPr>
          <w:rFonts w:ascii="Arial" w:cs="Arial" w:eastAsia="Arial" w:hAnsi="Arial"/>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Arial" w:cs="Arial" w:eastAsia="Arial" w:hAnsi="Arial"/>
          <w:b/>
          <w:bCs/>
          <w:color w:val="1A1A1A"/>
          <w:spacing w:val="18"/>
          <w:sz w:val="21"/>
          <w:szCs w:val="21"/>
          <w:lang w:val="es-AR"/>
        </w:rPr>
        <w:t xml:space="preserve">4.2 FASES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3084"/>
        <w:gridCol w:w="5783"/>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578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y </w:t>
            </w:r>
            <w:r>
              <w:rPr>
                <w:rFonts w:ascii="Arial" w:cs="Arial" w:eastAsia="Arial" w:hAnsi="Arial"/>
                <w:b/>
                <w:bCs/>
                <w:color w:val="1A1A1A"/>
                <w:sz w:val="18"/>
                <w:szCs w:val="18"/>
                <w:lang w:val="es-AR"/>
              </w:rPr>
              <w:t xml:space="preserve">medición de las líneas base de O1 a O4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evaluación y contrato firmado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abiertas, padrón de técnicos y matriz de competencias inicial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de carga y de seguridad</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con ajustes de experiencia de uso y de reglas de priorización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NOC y almacén capacitados y evaluados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Sistema en producción en todo el alcance geográfico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Arial" w:cs="Arial" w:eastAsia="Arial" w:hAnsi="Arial"/>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Arial" w:cs="Arial" w:eastAsia="Arial" w:hAnsi="Arial"/>
          <w:b/>
          <w:bCs/>
          <w:color w:val="1A1A1A"/>
          <w:spacing w:val="18"/>
          <w:sz w:val="21"/>
          <w:szCs w:val="21"/>
          <w:lang w:val="es-AR"/>
        </w:rPr>
        <w:t xml:space="preserve">4.3 ESTRUCTURA DE DESGLOSE DE TRABAJO (EDT)</w:t>
      </w:r>
    </w:p>
    <w:p>
      <w:pPr>
        <w:spacing w:after="120" w:line="280"/>
        <w:jc w:val="both"/>
      </w:pPr>
      <w:r>
        <w:rPr>
          <w:rFonts w:ascii="Arial" w:cs="Arial" w:eastAsia="Arial" w:hAnsi="Arial"/>
          <w:color w:val="1A1A1A"/>
          <w:sz w:val="22"/>
          <w:szCs w:val="22"/>
          <w:lang w:val="es-AR"/>
        </w:rPr>
        <w:t xml:space="preserve">La estructura se descompone en once paquetes de primer nivel, correspondientes a las fases, y cuarenta y seis paquetes de trabajo. Cada paquete se define hasta el nivel que permite asignar un responsable, estimar una duración y verificar un entregable, según el criterio fijado por la cátedra.</w:t>
      </w:r>
    </w:p>
    <w:p>
      <w:pPr>
        <w:spacing w:after="120" w:line="280"/>
        <w:jc w:val="both"/>
      </w:pPr>
      <w:r>
        <w:rPr>
          <w:rFonts w:ascii="Arial" w:cs="Arial" w:eastAsia="Arial" w:hAnsi="Arial"/>
          <w:b/>
          <w:bCs/>
          <w:color w:val="1A1A1A"/>
          <w:sz w:val="22"/>
          <w:szCs w:val="22"/>
          <w:lang w:val="es-AR"/>
        </w:rPr>
        <w:t xml:space="preserve">Perfiles asignados.</w:t>
      </w:r>
      <w:r>
        <w:rPr>
          <w:rFonts w:ascii="Arial" w:cs="Arial" w:eastAsia="Arial" w:hAnsi="Arial"/>
          <w:color w:val="1A1A1A"/>
          <w:sz w:val="22"/>
          <w:szCs w:val="22"/>
          <w:lang w:val="es-AR"/>
        </w:rPr>
        <w:t xml:space="preserve"> Se identifican con la sigla que se utiliza en la columna correspondiente: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964"/>
        <w:gridCol w:w="3084"/>
        <w:gridCol w:w="5590"/>
      </w:tblGrid>
      <w:tr>
        <w:trPr>
          <w:cantSplit/>
          <w:tblHeader/>
        </w:trPr>
        <w:tc>
          <w:tcPr>
            <w:tcW w:type="dxa" w:w="96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Sigla</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559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Alcance de su intervención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Jefe de Proyecto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Coordinación de alcance, tiempo, costo y comunicación; contratación y cierre</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Analista funcional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requerimientos, validación con usuarios y acompañamiento de la configuración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integraciones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Interfaces con SGOT, CRM, base de datos, NMS y sistema de stock; migración de datos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Especialista de seguridad</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de seguridad, autenticación, privilegios y pruebas de seguridad</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Consultor de la plataforma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Configuración de la plataforma contratada; provisto por el proveedor</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Diseñador de experiencia de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validación de la aplicación de campo con los técnicos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Responsable de pruebas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ejecución del plan de pruebas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Capacitador</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de capacitación y dictado</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Conocimiento del proceso, datos maestros, piloto y despliegue</w:t>
            </w:r>
          </w:p>
        </w:tc>
      </w:tr>
    </w:tbl>
    <w:p>
      <w:pPr>
        <w:spacing w:after="160"/>
      </w:pPr>
    </w:p>
    <w:p>
      <w:pPr>
        <w:spacing w:after="120" w:line="280"/>
        <w:jc w:val="both"/>
      </w:pPr>
      <w:r>
        <w:rPr>
          <w:rFonts w:ascii="Arial" w:cs="Arial" w:eastAsia="Arial" w:hAnsi="Arial"/>
          <w:b/>
          <w:bCs/>
          <w:color w:val="1A1A1A"/>
          <w:sz w:val="22"/>
          <w:szCs w:val="22"/>
          <w:lang w:val="es-AR"/>
        </w:rPr>
        <w:t xml:space="preserve">Estructura de desglose.</w:t>
      </w:r>
      <w:r>
        <w:rPr>
          <w:rFonts w:ascii="Arial" w:cs="Arial" w:eastAsia="Arial" w:hAnsi="Arial"/>
          <w:color w:val="1A1A1A"/>
          <w:sz w:val="22"/>
          <w:szCs w:val="22"/>
          <w:lang w:val="es-AR"/>
        </w:rPr>
        <w:t xml:space="preserve"> Las duraciones se expresan en días hábiles.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675"/>
        <w:gridCol w:w="3470"/>
        <w:gridCol w:w="1060"/>
        <w:gridCol w:w="867"/>
        <w:gridCol w:w="1157"/>
        <w:gridCol w:w="2409"/>
      </w:tblGrid>
      <w:tr>
        <w:trPr>
          <w:cantSplit/>
          <w:tblHeader/>
        </w:trPr>
        <w:tc>
          <w:tcPr>
            <w:tcW w:type="dxa" w:w="675"/>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ID</w:t>
            </w:r>
          </w:p>
        </w:tc>
        <w:tc>
          <w:tcPr>
            <w:tcW w:type="dxa" w:w="347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Paquete de trabajo</w:t>
            </w:r>
          </w:p>
        </w:tc>
        <w:tc>
          <w:tcPr>
            <w:tcW w:type="dxa" w:w="1060"/>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Pred.</w:t>
            </w:r>
          </w:p>
        </w:tc>
        <w:tc>
          <w:tcPr>
            <w:tcW w:type="dxa" w:w="86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Dur.</w:t>
            </w:r>
          </w:p>
        </w:tc>
        <w:tc>
          <w:tcPr>
            <w:tcW w:type="dxa" w:w="115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Perfil</w:t>
            </w:r>
          </w:p>
        </w:tc>
        <w:tc>
          <w:tcPr>
            <w:tcW w:type="dxa" w:w="2409"/>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Inicio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Acta de Proyecto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Conformar el equipo y asignar dedicaciones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asignación de recursos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Realizar la reunión de arranque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Minuta de inicio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Relevamiento y análisis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el proceso actual de despacho y ejecución de órdenes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del proceso actual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funcionales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integración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Especificación de interfaces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Medir las líneas base de los objetivos O1 a O4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línea base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Especificar los requerimientos de seguridad y cumplimiento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Validar los requerimientos con los usuarios clave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2.2, 2.3, 2.5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AF,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Requerimientos aprobados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Selección de proveedor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y emitir el RFI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Analizar las respuestas y conformar la lista corta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Lista corta de proveedores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y emitir el RFP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 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RFP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las propuestas técnicas y económicas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 EI, 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Cuadro comparativo de propuestas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Negociar y firmar el contrato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Contrato firmado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Diseño y configuración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flujos de orden de trabajo, estados y roles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Flujos configurados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Parametrizar la matriz impacto/urgencia y los acuerdos de nivel de servicio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Motor de priorización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el motor de asignación por competencia, zona, carga y ventana horaria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Motor de asignación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Relevar y cargar la matriz de competencias por técnico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cargada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y validar la experiencia de uso de la aplicación de campo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Prototipo validado con técnicos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la aplicación de campo según el diseño validado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4.3, 4.5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Aplicación de campo configurada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4.7</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Configurar los tableros de indicadores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Tableros operativos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Integración y seguridad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sistema de gestión de órdenes de trabajo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CRM</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la base de datos de clientes y órdenes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Integrar con el sistema de monitoreo de red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inicio de sesión único y el doble factor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Autenticación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Implementar el mínimo privilegio y la baja automática de credenciales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Control de accesos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Migración de datos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Migrar las órdenes de trabajo abiertas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migradas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Cargar el padrón de técnicos y los datos maestros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Datos maestros cargados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7</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Pruebas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Diseñar el plan y los casos de prueba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Plan de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funcionales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4.6, 4.7, 7.1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integración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5.4, 6.1, 7.1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integración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carga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carga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7.5</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las pruebas de seguridad</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5.6, 7.1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 QA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Corregir las observaciones y volver a probar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7.2, 7.4, 7.5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Observaciones cerradas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8</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Piloto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Preparar el piloto: zona, técnicos y dispositivos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preparado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Ejecutar el piloto en zona acotada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8.1, 6.2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RO, CP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en operación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Ajustar las reglas de asignación y la experiencia de uso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UX</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Ajustes aplicados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informe de piloto y decidir el avance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aprobado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9</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material de 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Material de capacitación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supervisores, despacho y NOC</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8.4, 9.1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Personal de gestión capacitado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Capacitar a los técnicos de campo por olas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capacitados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Evaluar la capacitación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Evaluaciones registradas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10</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Despliegue por olas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1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2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Desplegar la ola 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Ola 3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b/>
                <w:bCs/>
                <w:color w:val="1A1A1A"/>
                <w:sz w:val="18"/>
                <w:szCs w:val="18"/>
                <w:lang w:val="es-AR"/>
              </w:rPr>
              <w:t xml:space="preserve">Estabilización y cierre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Acompañar la operación en período de estabilización</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CP, RO</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Operación estabilizada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Dar de alta el elemento de configuración en la CMDB y cerrar el cambio ante el CAB</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EI</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Elemento de configuración registrado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11.3</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Transferir a operación y documentar</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 AF</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de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11.4</w:t>
            </w:r>
          </w:p>
        </w:tc>
        <w:tc>
          <w:tcPr>
            <w:tcW w:type="dxa" w:w="347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Elaborar el acta de cierre y las lecciones aprendidas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11.2, 11.3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JP</w:t>
            </w:r>
          </w:p>
        </w:tc>
        <w:tc>
          <w:tcPr>
            <w:tcW w:type="dxa" w:w="240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cierre</w:t>
            </w:r>
          </w:p>
        </w:tc>
      </w:tr>
    </w:tbl>
    <w:p>
      <w:pPr>
        <w:spacing w:after="160"/>
      </w:pPr>
    </w:p>
    <w:p>
      <w:pPr>
        <w:spacing w:after="120" w:line="280"/>
        <w:jc w:val="both"/>
      </w:pPr>
      <w:r>
        <w:rPr>
          <w:rFonts w:ascii="Arial" w:cs="Arial" w:eastAsia="Arial" w:hAnsi="Arial"/>
          <w:b/>
          <w:bCs/>
          <w:color w:val="1A1A1A"/>
          <w:sz w:val="22"/>
          <w:szCs w:val="22"/>
          <w:lang w:val="es-AR"/>
        </w:rPr>
        <w:t xml:space="preserve">Solapamientos previstos.</w:t>
      </w:r>
      <w:r>
        <w:rPr>
          <w:rFonts w:ascii="Arial" w:cs="Arial" w:eastAsia="Arial" w:hAnsi="Arial"/>
          <w:color w:val="1A1A1A"/>
          <w:sz w:val="22"/>
          <w:szCs w:val="22"/>
          <w:lang w:val="es-AR"/>
        </w:rPr>
        <w:t xml:space="preserve"> La estructura contempla deliberadamente actividades concurrentes que comparten un mismo perfil. Son el insumo del análisis de sobreasignación y del aplanamiento de recursos del punto 10:</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Los paquetes 2.2, 2.3 y 2.4 arrancan simultáneamente al terminar 2.1, y el analista participa de 2.2 y 2.4 a la vez. La medición de la línea base (2.4) es además la actividad más larga de la fase.</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Especialista de integraciones.</w:t>
      </w:r>
      <w:r>
        <w:rPr>
          <w:rFonts w:ascii="Arial" w:cs="Arial" w:eastAsia="Arial" w:hAnsi="Arial"/>
          <w:color w:val="1A1A1A"/>
          <w:sz w:val="22"/>
          <w:szCs w:val="22"/>
          <w:lang w:val="es-AR"/>
        </w:rPr>
        <w:t xml:space="preserve"> Los paquetes 5.1 a 5.4 se planifican encadenados sobre un único especialista, mientras 5.6 y 6.1 lo requieren en la misma ventana. Es el conflicto de mayor impacto sobre la duración total.</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Especialista de seguridad.</w:t>
      </w:r>
      <w:r>
        <w:rPr>
          <w:rFonts w:ascii="Arial" w:cs="Arial" w:eastAsia="Arial" w:hAnsi="Arial"/>
          <w:color w:val="1A1A1A"/>
          <w:sz w:val="22"/>
          <w:szCs w:val="22"/>
          <w:lang w:val="es-AR"/>
        </w:rPr>
        <w:t xml:space="preserve"> Interviene en 3.3 y 3.4 durante la selección del proveedor, y en 5.5 y 5.6 durante la implementación, con solapamiento sobre el cierre de la fase 3.</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Consultor de la plataforma.</w:t>
      </w:r>
      <w:r>
        <w:rPr>
          <w:rFonts w:ascii="Arial" w:cs="Arial" w:eastAsia="Arial" w:hAnsi="Arial"/>
          <w:color w:val="1A1A1A"/>
          <w:sz w:val="22"/>
          <w:szCs w:val="22"/>
          <w:lang w:val="es-AR"/>
        </w:rPr>
        <w:t xml:space="preserve"> Los paquetes 4.6, 4.7 y 5.1 comparten ventana temporal, y más adelante 8.3, 10.1 y 11.1 vuelven a concentrarse sobre el mismo perfil.</w:t>
      </w:r>
    </w:p>
    <w:p>
      <w:pPr>
        <w:pStyle w:val="ListParagraph"/>
        <w:numPr>
          <w:ilvl w:val="0"/>
          <w:numId w:val="1"/>
        </w:numPr>
        <w:spacing w:after="100" w:line="276"/>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Participa de 2.1 y 2.4 en el relevamiento y de 4.4 durante la configuración, además del piloto y las tres olas de despliegue.</w:t>
      </w:r>
    </w:p>
    <w:p>
      <w:pPr>
        <w:spacing w:after="120" w:line="280"/>
        <w:jc w:val="both"/>
      </w:pPr>
      <w:r>
        <w:rPr>
          <w:rFonts w:ascii="Arial" w:cs="Arial" w:eastAsia="Arial" w:hAnsi="Arial"/>
          <w:b/>
          <w:bCs/>
          <w:color w:val="1A1A1A"/>
          <w:sz w:val="22"/>
          <w:szCs w:val="22"/>
          <w:lang w:val="es-AR"/>
        </w:rPr>
        <w:t xml:space="preserve">Criterio de descomposición.</w:t>
      </w:r>
      <w:r>
        <w:rPr>
          <w:rFonts w:ascii="Arial" w:cs="Arial" w:eastAsia="Arial" w:hAnsi="Arial"/>
          <w:color w:val="1A1A1A"/>
          <w:sz w:val="22"/>
          <w:szCs w:val="22"/>
          <w:lang w:val="es-AR"/>
        </w:rPr>
        <w:t xml:space="preserve"> No se descompone por debajo del nivel en que un paquete tiene un único entregable verificable y un responsable identificable. Los paquetes de las fases 9 y 10 se abren por ola de despliegue porque cada una constituye una entrega con valor propio y admite decisión de avance o retroceso.</w:t>
      </w:r>
    </w:p>
    <w:p>
      <w:pPr>
        <w:pStyle w:val="Heading2"/>
        <w:keepNext/>
        <w:spacing w:after="120" w:before="300"/>
      </w:pPr>
      <w:r>
        <w:rPr>
          <w:rFonts w:ascii="Arial" w:cs="Arial" w:eastAsia="Arial" w:hAnsi="Arial"/>
          <w:b/>
          <w:bCs/>
          <w:color w:val="1A1A1A"/>
          <w:spacing w:val="18"/>
          <w:sz w:val="21"/>
          <w:szCs w:val="21"/>
          <w:lang w:val="es-AR"/>
        </w:rPr>
        <w:t xml:space="preserve">4.4 ACTA DE PROYECTO</w:t>
      </w:r>
    </w:p>
    <w:p>
      <w:pPr>
        <w:spacing w:after="120" w:line="280"/>
        <w:jc w:val="both"/>
      </w:pPr>
      <w:r>
        <w:rPr>
          <w:rFonts w:ascii="Arial" w:cs="Arial" w:eastAsia="Arial" w:hAnsi="Arial"/>
          <w:color w:val="1A1A1A"/>
          <w:sz w:val="22"/>
          <w:szCs w:val="22"/>
          <w:lang w:val="es-AR"/>
        </w:rPr>
        <w:t xml:space="preserve">Se incluye como </w:t>
      </w:r>
      <w:r>
        <w:rPr>
          <w:rFonts w:ascii="Arial" w:cs="Arial" w:eastAsia="Arial" w:hAnsi="Arial"/>
          <w:b/>
          <w:bCs/>
          <w:color w:val="1A1A1A"/>
          <w:sz w:val="22"/>
          <w:szCs w:val="22"/>
          <w:lang w:val="es-AR"/>
        </w:rPr>
        <w:t xml:space="preserve">Anexo I</w:t>
      </w:r>
      <w:r>
        <w:rPr>
          <w:rFonts w:ascii="Arial" w:cs="Arial" w:eastAsia="Arial" w:hAnsi="Arial"/>
          <w:color w:val="1A1A1A"/>
          <w:sz w:val="22"/>
          <w:szCs w:val="22"/>
          <w:lang w:val="es-AR"/>
        </w:rPr>
        <w:t xml:space="preserve"> al final de este documento, confeccionada según la plantilla de la cátedra.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5. RECURSOS HUMANOS — PERFILES Y COMPETENCIAS</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Los perfiles se derivan de las actividades de la EDT. El equipo previsto incluye jefe de proyecto, analista funcional, especialista de integraciones, especialista de seguridad, consultor de la plataforma contratada, diseñador de experiencia de uso, responsable de pruebas, capacitador y un referente de operaciones. Para cada uno se detallan responsabilidades, competencias, cantidad y dedicación a lo largo del proyecto.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6. HIGIENE Y SEGURIDAD LABORAL</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presentan dos planos: la </w:t>
      </w:r>
      <w:r>
        <w:rPr>
          <w:rFonts w:ascii="Arial" w:cs="Arial" w:eastAsia="Arial" w:hAnsi="Arial"/>
          <w:b/>
          <w:bCs/>
          <w:color w:val="1A1A1A"/>
          <w:sz w:val="22"/>
          <w:szCs w:val="22"/>
          <w:lang w:val="es-AR"/>
        </w:rPr>
        <w:t xml:space="preserve">base operativa</w:t>
      </w:r>
      <w:r>
        <w:rPr>
          <w:rFonts w:ascii="Arial" w:cs="Arial" w:eastAsia="Arial" w:hAnsi="Arial"/>
          <w:color w:val="1A1A1A"/>
          <w:sz w:val="22"/>
          <w:szCs w:val="22"/>
          <w:lang w:val="es-AR"/>
        </w:rPr>
        <w:t xml:space="preserve"> —depósito y pañol, playa de carga y estacionamiento de vehículos técnicos, mesa de despacho, oficina del NOC y sala técnica— y un </w:t>
      </w:r>
      <w:r>
        <w:rPr>
          <w:rFonts w:ascii="Arial" w:cs="Arial" w:eastAsia="Arial" w:hAnsi="Arial"/>
          <w:b/>
          <w:bCs/>
          <w:color w:val="1A1A1A"/>
          <w:sz w:val="22"/>
          <w:szCs w:val="22"/>
          <w:lang w:val="es-AR"/>
        </w:rPr>
        <w:t xml:space="preserve">croquis tipo de trabajo en campo</w:t>
      </w:r>
      <w:r>
        <w:rPr>
          <w:rFonts w:ascii="Arial" w:cs="Arial" w:eastAsia="Arial" w:hAnsi="Arial"/>
          <w:color w:val="1A1A1A"/>
          <w:sz w:val="22"/>
          <w:szCs w:val="22"/>
          <w:lang w:val="es-AR"/>
        </w:rPr>
        <w:t xml:space="preserve"> con la escena de tendido aéreo. Sobre ellos se desarrollan las medidas preventivas por sector, encadenando sector, personas expuestas, riesgo, medida y su representación en el plano. Los riesgos relevantes identificados son trabajo en altura, riesgo eléctrico por proximidad a línea energizada, espacio confinado en cámaras subterráneas, circulación de vehículos, manipulación manual de cargas en depósito, y fatiga visual y riesgos psicosociales por turnos rotativos en el NOC.</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7. ACTIVOS A ADQUIRIR</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Licencias de la plataforma FSM por usuario, servicio de implantación y configuración, horas de consultoría para las cuatro integraciones, dispositivos móviles rugerizados para los técnicos, administración de dispositivos móviles, servicio de mapas y geolocalización, ambiente de pruebas no productivo, capacitación y soporte durante la estabilización. Para cada uno se detallan cantidad y características mínimas exigibles.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8. FORMA DE ADQUISICIÓN</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asigna a cada activo su modalidad —suscripción anual, contrato de servicios por hora, compra directa o pago por uso— con la justificación correspondiente.</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9. RFI Y RFP</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define la diferencia entre ambos instrumentos y se indica en qué adquisición concreta del proyecto se utilizaría cada uno: el RFI para relevar el mercado de plataformas FSM antes de fijar especificaciones, y el RFP para la contratación conjunta de licenciamiento, implantación e integración una vez definidos los requisitos.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10. TIEMPOS DEL PROYECTO</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Asignación de recursos a la EDT, estimación de duraciones, diagrama de Red con determinación del camino crítico y de las holguras, diagrama de Gantt con la cantidad de personas por perfil, aplanamiento de recursos y estimación de la duración total del proyecto. El cronograma se expresa en </w:t>
      </w:r>
      <w:r>
        <w:rPr>
          <w:rFonts w:ascii="Arial" w:cs="Arial" w:eastAsia="Arial" w:hAnsi="Arial"/>
          <w:b/>
          <w:bCs/>
          <w:color w:val="1A1A1A"/>
          <w:sz w:val="22"/>
          <w:szCs w:val="22"/>
          <w:lang w:val="es-AR"/>
        </w:rPr>
        <w:t xml:space="preserve">meses relativos</w:t>
      </w:r>
      <w:r>
        <w:rPr>
          <w:rFonts w:ascii="Arial" w:cs="Arial" w:eastAsia="Arial" w:hAnsi="Arial"/>
          <w:color w:val="1A1A1A"/>
          <w:sz w:val="22"/>
          <w:szCs w:val="22"/>
          <w:lang w:val="es-AR"/>
        </w:rPr>
        <w:t xml:space="preserve"> contados desde la aprobación del Acta de Proyecto, no en fechas de calendario, para no atar la planificación a una fecha de inicio todavía no definida.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11. VARIABLES DE COSTO</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Horas por perfil y valor hora, licenciamiento recurrente, servicios de implantación e integración, hardware, capacitación, costos indirectos y reserva de contingencia, con el costo total de propiedad proyectado a tres años.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12. ANÁLISIS DE FACTIBILIDAD</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Factibilidad técnica, económica y legal. La factibilidad legal es la de mayor peso en este proyecto: el tratamiento de datos personales de clientes en una plataforma contratada como servicio activa la Ley 25.326 en materia de transferencia internacional de datos, figura del encargado de tratamiento, medidas de seguridad exigibles y obligación de notificación ante brecha, en concurrencia con la Ley 27.078 y las normativas de calidad de servicio del ENACOM.</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ANEXO I — ACTA DE PROYECTO</w:t>
      </w:r>
    </w:p>
    <w:p>
      <w:pPr>
        <w:pStyle w:val="Heading2"/>
        <w:keepNext/>
        <w:spacing w:after="120" w:before="300"/>
      </w:pPr>
      <w:r>
        <w:rPr>
          <w:rFonts w:ascii="Arial" w:cs="Arial" w:eastAsia="Arial" w:hAnsi="Arial"/>
          <w:b/>
          <w:bCs/>
          <w:color w:val="1A1A1A"/>
          <w:spacing w:val="18"/>
          <w:sz w:val="21"/>
          <w:szCs w:val="21"/>
          <w:lang w:val="es-AR"/>
        </w:rPr>
        <w:t xml:space="preserve">ACTA DEL PROYECTO</w:t>
      </w:r>
    </w:p>
    <w:p>
      <w:pPr>
        <w:spacing w:after="120" w:line="280"/>
        <w:jc w:val="both"/>
      </w:pPr>
      <w:r>
        <w:rPr>
          <w:rFonts w:ascii="Arial" w:cs="Arial" w:eastAsia="Arial" w:hAnsi="Arial"/>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3"/>
        <w:keepNext/>
        <w:spacing w:after="110" w:before="280"/>
      </w:pPr>
      <w:r>
        <w:rPr>
          <w:rFonts w:ascii="Arial" w:cs="Arial" w:eastAsia="Arial" w:hAnsi="Arial"/>
          <w:b/>
          <w:bCs/>
          <w:color w:val="1A1A1A"/>
          <w:sz w:val="22"/>
          <w:szCs w:val="22"/>
          <w:lang w:val="es-AR"/>
        </w:rPr>
        <w:t xml:space="preserve">DE</w:t>
      </w:r>
    </w:p>
    <w:p>
      <w:pPr>
        <w:spacing w:after="120" w:line="280"/>
        <w:jc w:val="both"/>
      </w:pPr>
      <w:r>
        <w:rPr>
          <w:rFonts w:ascii="Arial" w:cs="Arial" w:eastAsia="Arial" w:hAnsi="Arial"/>
          <w:b/>
          <w:bCs/>
          <w:color w:val="1A1A1A"/>
          <w:sz w:val="22"/>
          <w:szCs w:val="22"/>
          <w:lang w:val="es-AR"/>
        </w:rPr>
        <w:t xml:space="preserve">Gerencia de Operaciones</w:t>
      </w:r>
      <w:r>
        <w:rPr>
          <w:rFonts w:ascii="Arial" w:cs="Arial" w:eastAsia="Arial" w:hAnsi="Arial"/>
          <w:color w:val="1A1A1A"/>
          <w:sz w:val="22"/>
          <w:szCs w:val="22"/>
          <w:lang w:val="es-AR"/>
        </w:rPr>
        <w:t xml:space="preserve"> — Personal (Telecom Argentina)</w:t>
      </w:r>
    </w:p>
    <w:p>
      <w:pPr>
        <w:spacing w:after="120" w:line="280"/>
        <w:jc w:val="both"/>
      </w:pPr>
      <w:r>
        <w:rPr>
          <w:rFonts w:ascii="Arial" w:cs="Arial" w:eastAsia="Arial" w:hAnsi="Arial"/>
          <w:i/>
          <w:iCs/>
          <w:color w:val="1A1A1A"/>
          <w:sz w:val="22"/>
          <w:szCs w:val="22"/>
          <w:lang w:val="es-AR"/>
        </w:rPr>
        <w:t xml:space="preserve">Patrocinador del proyecto. Es el área titular del proceso crítico afectado y de los objetivos de negocio que el proyecto compromete.</w:t>
      </w:r>
    </w:p>
    <w:p>
      <w:pPr>
        <w:pStyle w:val="Heading3"/>
        <w:keepNext/>
        <w:spacing w:after="110" w:before="280"/>
      </w:pPr>
      <w:r>
        <w:rPr>
          <w:rFonts w:ascii="Arial" w:cs="Arial" w:eastAsia="Arial" w:hAnsi="Arial"/>
          <w:b/>
          <w:bCs/>
          <w:color w:val="1A1A1A"/>
          <w:sz w:val="22"/>
          <w:szCs w:val="22"/>
          <w:lang w:val="es-AR"/>
        </w:rPr>
        <w:t xml:space="preserve">PARA</w:t>
      </w:r>
    </w:p>
    <w:p>
      <w:pPr>
        <w:spacing w:after="120" w:line="280"/>
        <w:jc w:val="both"/>
      </w:pPr>
      <w:r>
        <w:rPr>
          <w:rFonts w:ascii="Arial" w:cs="Arial" w:eastAsia="Arial" w:hAnsi="Arial"/>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lang w:val="es-AR"/>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lang w:val="es-AR"/>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lang w:val="es-AR"/>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lang w:val="es-AR"/>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lang w:val="es-AR"/>
        </w:rPr>
        <w:t xml:space="preserve">Recursos Humanos</w:t>
      </w:r>
    </w:p>
    <w:p>
      <w:pPr>
        <w:pStyle w:val="ListParagraph"/>
        <w:numPr>
          <w:ilvl w:val="0"/>
          <w:numId w:val="1"/>
        </w:numPr>
        <w:spacing w:after="100" w:line="276"/>
        <w:jc w:val="both"/>
      </w:pPr>
      <w:r>
        <w:rPr>
          <w:rFonts w:ascii="Arial" w:cs="Arial" w:eastAsia="Arial" w:hAnsi="Arial"/>
          <w:color w:val="1A1A1A"/>
          <w:sz w:val="22"/>
          <w:szCs w:val="22"/>
          <w:lang w:val="es-AR"/>
        </w:rPr>
        <w:t xml:space="preserve">Servicio de Higiene y Seguridad Laboral</w:t>
      </w:r>
    </w:p>
    <w:p>
      <w:pPr>
        <w:spacing w:after="120" w:line="280"/>
        <w:jc w:val="both"/>
      </w:pPr>
      <w:r>
        <w:rPr>
          <w:rFonts w:ascii="Arial" w:cs="Arial" w:eastAsia="Arial" w:hAnsi="Arial"/>
          <w:color w:val="1A1A1A"/>
          <w:sz w:val="22"/>
          <w:szCs w:val="22"/>
          <w:lang w:val="es-AR"/>
        </w:rPr>
        <w:t xml:space="preserve">Y el equipo del proyecto, inicialmente conformado por las personas indicadas en el apartado DESIGNACIÓN.</w:t>
      </w:r>
    </w:p>
    <w:p>
      <w:pPr>
        <w:pStyle w:val="Heading3"/>
        <w:keepNext/>
        <w:spacing w:after="110" w:before="280"/>
      </w:pPr>
      <w:r>
        <w:rPr>
          <w:rFonts w:ascii="Arial" w:cs="Arial" w:eastAsia="Arial" w:hAnsi="Arial"/>
          <w:b/>
          <w:bCs/>
          <w:color w:val="1A1A1A"/>
          <w:sz w:val="22"/>
          <w:szCs w:val="22"/>
          <w:lang w:val="es-AR"/>
        </w:rPr>
        <w:t xml:space="preserve">DESIGNACIÓN</w:t>
      </w:r>
    </w:p>
    <w:p>
      <w:pPr>
        <w:spacing w:after="120" w:line="280"/>
        <w:jc w:val="both"/>
      </w:pPr>
      <w:r>
        <w:rPr>
          <w:rFonts w:ascii="Arial" w:cs="Arial" w:eastAsia="Arial" w:hAnsi="Arial"/>
          <w:color w:val="1A1A1A"/>
          <w:sz w:val="22"/>
          <w:szCs w:val="22"/>
          <w:lang w:val="es-AR"/>
        </w:rPr>
        <w:t xml:space="preserve">El patrocinador designa los siguientes roles para la ejecución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241"/>
        <w:gridCol w:w="5397"/>
      </w:tblGrid>
      <w:tr>
        <w:trPr>
          <w:cantSplit/>
          <w:tblHeader/>
        </w:trPr>
        <w:tc>
          <w:tcPr>
            <w:tcW w:type="dxa" w:w="424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Rol designado</w:t>
            </w:r>
          </w:p>
        </w:tc>
        <w:tc>
          <w:tcPr>
            <w:tcW w:type="dxa" w:w="5397"/>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Gerencia de Operaciones — Supervisión de Instalaciones</w:t>
            </w:r>
          </w:p>
        </w:tc>
      </w:tr>
    </w:tbl>
    <w:p>
      <w:pPr>
        <w:spacing w:after="160"/>
      </w:pPr>
    </w:p>
    <w:p>
      <w:pPr>
        <w:spacing w:after="120" w:line="280"/>
        <w:jc w:val="both"/>
      </w:pPr>
      <w:r>
        <w:rPr>
          <w:rFonts w:ascii="Arial" w:cs="Arial" w:eastAsia="Arial" w:hAnsi="Arial"/>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3"/>
        <w:keepNext/>
        <w:spacing w:after="110" w:before="280"/>
      </w:pPr>
      <w:r>
        <w:rPr>
          <w:rFonts w:ascii="Arial" w:cs="Arial" w:eastAsia="Arial" w:hAnsi="Arial"/>
          <w:b/>
          <w:bCs/>
          <w:color w:val="1A1A1A"/>
          <w:sz w:val="22"/>
          <w:szCs w:val="22"/>
          <w:lang w:val="es-AR"/>
        </w:rPr>
        <w:t xml:space="preserve">DESCRIPCIÓN DE SU RESPONSABILIDAD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Dirigir el proyecto y </w:t>
      </w:r>
      <w:r>
        <w:rPr>
          <w:rFonts w:ascii="Arial" w:cs="Arial" w:eastAsia="Arial" w:hAnsi="Arial"/>
          <w:b/>
          <w:bCs/>
          <w:color w:val="1A1A1A"/>
          <w:sz w:val="22"/>
          <w:szCs w:val="22"/>
          <w:lang w:val="es-AR"/>
        </w:rPr>
        <w:t xml:space="preserve">conformar el equipo que lo llevará adelante</w:t>
      </w:r>
      <w:r>
        <w:rPr>
          <w:rFonts w:ascii="Arial" w:cs="Arial" w:eastAsia="Arial" w:hAnsi="Arial"/>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Relevar y validar los requerimientos con Supervisión de Instalaciones, técnicos de campo, NOC y Logística. Responsable de la </w:t>
      </w:r>
      <w:r>
        <w:rPr>
          <w:rFonts w:ascii="Arial" w:cs="Arial" w:eastAsia="Arial" w:hAnsi="Arial"/>
          <w:b/>
          <w:bCs/>
          <w:color w:val="1A1A1A"/>
          <w:sz w:val="22"/>
          <w:szCs w:val="22"/>
          <w:lang w:val="es-AR"/>
        </w:rPr>
        <w:t xml:space="preserve">medición de las líneas base</w:t>
      </w:r>
      <w:r>
        <w:rPr>
          <w:rFonts w:ascii="Arial" w:cs="Arial" w:eastAsia="Arial" w:hAnsi="Arial"/>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3"/>
        <w:keepNext/>
        <w:spacing w:after="110" w:before="280"/>
      </w:pPr>
      <w:r>
        <w:rPr>
          <w:rFonts w:ascii="Arial" w:cs="Arial" w:eastAsia="Arial" w:hAnsi="Arial"/>
          <w:b/>
          <w:bCs/>
          <w:color w:val="1A1A1A"/>
          <w:sz w:val="22"/>
          <w:szCs w:val="22"/>
          <w:lang w:val="es-AR"/>
        </w:rPr>
        <w:t xml:space="preserve">DESCRIPCIÓN DE SU AUTORIDAD</w:t>
      </w:r>
    </w:p>
    <w:p>
      <w:pPr>
        <w:spacing w:after="120" w:line="280"/>
        <w:jc w:val="both"/>
      </w:pPr>
      <w:r>
        <w:rPr>
          <w:rFonts w:ascii="Arial" w:cs="Arial" w:eastAsia="Arial" w:hAnsi="Arial"/>
          <w:b/>
          <w:bCs/>
          <w:color w:val="1A1A1A"/>
          <w:sz w:val="22"/>
          <w:szCs w:val="22"/>
          <w:lang w:val="es-AR"/>
        </w:rPr>
        <w:t xml:space="preserve">Director de Proyecto.</w:t>
      </w:r>
      <w:r>
        <w:rPr>
          <w:rFonts w:ascii="Arial" w:cs="Arial" w:eastAsia="Arial" w:hAnsi="Arial"/>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lang w:val="es-AR"/>
        </w:rPr>
        <w:t xml:space="preserve">no afecten</w:t>
      </w:r>
      <w:r>
        <w:rPr>
          <w:rFonts w:ascii="Arial" w:cs="Arial" w:eastAsia="Arial" w:hAnsi="Arial"/>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Arial" w:cs="Arial" w:eastAsia="Arial" w:hAnsi="Arial"/>
          <w:b/>
          <w:bCs/>
          <w:color w:val="1A1A1A"/>
          <w:sz w:val="22"/>
          <w:szCs w:val="22"/>
          <w:lang w:val="es-AR"/>
        </w:rPr>
        <w:t xml:space="preserve">Arquitecto de Software / Líder Técnico.</w:t>
      </w:r>
      <w:r>
        <w:rPr>
          <w:rFonts w:ascii="Arial" w:cs="Arial" w:eastAsia="Arial" w:hAnsi="Arial"/>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Arial" w:cs="Arial" w:eastAsia="Arial" w:hAnsi="Arial"/>
          <w:b/>
          <w:bCs/>
          <w:color w:val="1A1A1A"/>
          <w:sz w:val="22"/>
          <w:szCs w:val="22"/>
          <w:lang w:val="es-AR"/>
        </w:rPr>
        <w:t xml:space="preserve">Analista Funcional.</w:t>
      </w:r>
      <w:r>
        <w:rPr>
          <w:rFonts w:ascii="Arial" w:cs="Arial" w:eastAsia="Arial" w:hAnsi="Arial"/>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Arial" w:cs="Arial" w:eastAsia="Arial" w:hAnsi="Arial"/>
          <w:b/>
          <w:bCs/>
          <w:color w:val="1A1A1A"/>
          <w:sz w:val="22"/>
          <w:szCs w:val="22"/>
          <w:lang w:val="es-AR"/>
        </w:rPr>
        <w:t xml:space="preserve">Responsable de Seguridad de la Información.</w:t>
      </w:r>
      <w:r>
        <w:rPr>
          <w:rFonts w:ascii="Arial" w:cs="Arial" w:eastAsia="Arial" w:hAnsi="Arial"/>
          <w:color w:val="1A1A1A"/>
          <w:sz w:val="22"/>
          <w:szCs w:val="22"/>
          <w:lang w:val="es-AR"/>
        </w:rPr>
        <w:t xml:space="preserve"> Tiene autoridad para </w:t>
      </w:r>
      <w:r>
        <w:rPr>
          <w:rFonts w:ascii="Arial" w:cs="Arial" w:eastAsia="Arial" w:hAnsi="Arial"/>
          <w:b/>
          <w:bCs/>
          <w:color w:val="1A1A1A"/>
          <w:sz w:val="22"/>
          <w:szCs w:val="22"/>
          <w:lang w:val="es-AR"/>
        </w:rPr>
        <w:t xml:space="preserve">bloquear la puesta en producción</w:t>
      </w:r>
      <w:r>
        <w:rPr>
          <w:rFonts w:ascii="Arial" w:cs="Arial" w:eastAsia="Arial" w:hAnsi="Arial"/>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Arial" w:cs="Arial" w:eastAsia="Arial" w:hAnsi="Arial"/>
          <w:b/>
          <w:bCs/>
          <w:color w:val="1A1A1A"/>
          <w:sz w:val="22"/>
          <w:szCs w:val="22"/>
          <w:lang w:val="es-AR"/>
        </w:rPr>
        <w:t xml:space="preserve">Referente de Operaciones.</w:t>
      </w:r>
      <w:r>
        <w:rPr>
          <w:rFonts w:ascii="Arial" w:cs="Arial" w:eastAsia="Arial" w:hAnsi="Arial"/>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Arial" w:cs="Arial" w:eastAsia="Arial" w:hAnsi="Arial"/>
          <w:i/>
          <w:iCs/>
          <w:color w:val="B00020"/>
          <w:sz w:val="22"/>
          <w:szCs w:val="22"/>
          <w:lang w:val="es-AR"/>
        </w:rPr>
        <w:t xml:space="preserve">⚠ </w:t>
      </w:r>
      <w:r>
        <w:rPr>
          <w:rFonts w:ascii="Arial" w:cs="Arial" w:eastAsia="Arial" w:hAnsi="Arial"/>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lang w:val="es-AR"/>
        </w:rPr>
        <w:t xml:space="preserve"> </w:t>
      </w:r>
      <w:r>
        <w:rPr>
          <w:rFonts w:ascii="Arial" w:cs="Arial" w:eastAsia="Arial" w:hAnsi="Arial"/>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2"/>
        <w:keepNext/>
        <w:spacing w:after="120" w:before="300"/>
      </w:pPr>
      <w:r>
        <w:rPr>
          <w:rFonts w:ascii="Arial" w:cs="Arial" w:eastAsia="Arial" w:hAnsi="Arial"/>
          <w:b/>
          <w:bCs/>
          <w:color w:val="1A1A1A"/>
          <w:spacing w:val="18"/>
          <w:sz w:val="21"/>
          <w:szCs w:val="21"/>
          <w:lang w:val="es-AR"/>
        </w:rPr>
        <w:t xml:space="preserve">ALCANCE DEL PROYECTO</w:t>
      </w:r>
    </w:p>
    <w:p>
      <w:pPr>
        <w:pStyle w:val="Heading3"/>
        <w:keepNext/>
        <w:spacing w:after="110" w:before="280"/>
      </w:pPr>
      <w:r>
        <w:rPr>
          <w:rFonts w:ascii="Arial" w:cs="Arial" w:eastAsia="Arial" w:hAnsi="Arial"/>
          <w:b/>
          <w:bCs/>
          <w:color w:val="1A1A1A"/>
          <w:sz w:val="22"/>
          <w:szCs w:val="22"/>
          <w:lang w:val="es-AR"/>
        </w:rPr>
        <w:t xml:space="preserve">Justificación</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valorado en severidad 12 y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5"/>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 técnico sin capacitación en el nuevo modelo de ONT —, valorado en severidad 12 y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Arial" w:cs="Arial" w:eastAsia="Arial" w:hAnsi="Arial"/>
          <w:color w:val="1A1A1A"/>
          <w:sz w:val="22"/>
          <w:szCs w:val="22"/>
          <w:lang w:val="es-AR"/>
        </w:rPr>
        <w:t xml:space="preserve">Asimismo, el proyecto da cumplimiento al </w:t>
      </w:r>
      <w:r>
        <w:rPr>
          <w:rFonts w:ascii="Arial" w:cs="Arial" w:eastAsia="Arial" w:hAnsi="Arial"/>
          <w:b/>
          <w:bCs/>
          <w:color w:val="1A1A1A"/>
          <w:sz w:val="22"/>
          <w:szCs w:val="22"/>
          <w:lang w:val="es-AR"/>
        </w:rPr>
        <w:t xml:space="preserve">objetivo de TI ya definido por la organización en la Etapa 1</w:t>
      </w:r>
      <w:r>
        <w:rPr>
          <w:rFonts w:ascii="Arial" w:cs="Arial" w:eastAsia="Arial" w:hAnsi="Arial"/>
          <w:color w:val="1A1A1A"/>
          <w:sz w:val="22"/>
          <w:szCs w:val="22"/>
          <w:lang w:val="es-AR"/>
        </w:rPr>
        <w:t xml:space="preserve"> — </w:t>
      </w:r>
      <w:r>
        <w:rPr>
          <w:rFonts w:ascii="Arial" w:cs="Arial" w:eastAsia="Arial" w:hAnsi="Arial"/>
          <w:i/>
          <w:iCs/>
          <w:color w:val="1A1A1A"/>
          <w:sz w:val="22"/>
          <w:szCs w:val="22"/>
          <w:lang w:val="es-AR"/>
        </w:rPr>
        <w:t xml:space="preserve">implementar una aplicación de gestión para técnicos de campo que permita aumentar la productividad operativa en un 5%</w:t>
      </w:r>
      <w:r>
        <w:rPr>
          <w:rFonts w:ascii="Arial" w:cs="Arial" w:eastAsia="Arial" w:hAnsi="Arial"/>
          <w:color w:val="1A1A1A"/>
          <w:sz w:val="22"/>
          <w:szCs w:val="22"/>
          <w:lang w:val="es-AR"/>
        </w:rPr>
        <w:t xml:space="preserve"> — y a la meta de TI </w:t>
      </w:r>
      <w:r>
        <w:rPr>
          <w:rFonts w:ascii="Arial" w:cs="Arial" w:eastAsia="Arial" w:hAnsi="Arial"/>
          <w:i/>
          <w:iCs/>
          <w:color w:val="1A1A1A"/>
          <w:sz w:val="22"/>
          <w:szCs w:val="22"/>
          <w:lang w:val="es-AR"/>
        </w:rPr>
        <w:t xml:space="preserve">Asignación Optimizada de Técnicos</w:t>
      </w:r>
      <w:r>
        <w:rPr>
          <w:rFonts w:ascii="Arial" w:cs="Arial" w:eastAsia="Arial" w:hAnsi="Arial"/>
          <w:color w:val="1A1A1A"/>
          <w:sz w:val="22"/>
          <w:szCs w:val="22"/>
          <w:lang w:val="es-AR"/>
        </w:rPr>
        <w:t xml:space="preserve">, ambos alineados con el objetivo de negocio de </w:t>
      </w:r>
      <w:r>
        <w:rPr>
          <w:rFonts w:ascii="Arial" w:cs="Arial" w:eastAsia="Arial" w:hAnsi="Arial"/>
          <w:i/>
          <w:iCs/>
          <w:color w:val="1A1A1A"/>
          <w:sz w:val="22"/>
          <w:szCs w:val="22"/>
          <w:lang w:val="es-AR"/>
        </w:rPr>
        <w:t xml:space="preserve">aumentar el rendimiento de los técnicos en un 5%, medido como instalaciones sobre horas de trabajo</w:t>
      </w:r>
      <w:r>
        <w:rPr>
          <w:rFonts w:ascii="Arial" w:cs="Arial" w:eastAsia="Arial" w:hAnsi="Arial"/>
          <w:color w:val="1A1A1A"/>
          <w:sz w:val="22"/>
          <w:szCs w:val="22"/>
          <w:lang w:val="es-AR"/>
        </w:rPr>
        <w:t xml:space="preserve">.</w:t>
      </w:r>
    </w:p>
    <w:p>
      <w:pPr>
        <w:pStyle w:val="Heading3"/>
        <w:keepNext/>
        <w:spacing w:after="110" w:before="280"/>
      </w:pPr>
      <w:r>
        <w:rPr>
          <w:rFonts w:ascii="Arial" w:cs="Arial" w:eastAsia="Arial" w:hAnsi="Arial"/>
          <w:b/>
          <w:bCs/>
          <w:color w:val="1A1A1A"/>
          <w:sz w:val="22"/>
          <w:szCs w:val="22"/>
          <w:lang w:val="es-AR"/>
        </w:rPr>
        <w:t xml:space="preserve">Producto</w:t>
      </w:r>
    </w:p>
    <w:p>
      <w:pPr>
        <w:spacing w:after="120" w:line="280"/>
        <w:jc w:val="both"/>
      </w:pP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solución de mercado de </w:t>
      </w:r>
      <w:r>
        <w:rPr>
          <w:rFonts w:ascii="Arial" w:cs="Arial" w:eastAsia="Arial" w:hAnsi="Arial"/>
          <w:i/>
          <w:iCs/>
          <w:color w:val="1A1A1A"/>
          <w:sz w:val="22"/>
          <w:szCs w:val="22"/>
          <w:lang w:val="es-AR"/>
        </w:rPr>
        <w:t xml:space="preserve">Field Service Management</w:t>
      </w:r>
      <w:r>
        <w:rPr>
          <w:rFonts w:ascii="Arial" w:cs="Arial" w:eastAsia="Arial" w:hAnsi="Arial"/>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Arial" w:cs="Arial" w:eastAsia="Arial" w:hAnsi="Arial"/>
          <w:color w:val="1A1A1A"/>
          <w:sz w:val="22"/>
          <w:szCs w:val="22"/>
          <w:lang w:val="es-AR"/>
        </w:rPr>
        <w:t xml:space="preserve">Comprende seis componentes:</w:t>
      </w:r>
    </w:p>
    <w:p>
      <w:pPr>
        <w:pStyle w:val="ListParagraph"/>
        <w:numPr>
          <w:ilvl w:val="0"/>
          <w:numId w:val="6"/>
        </w:numPr>
        <w:spacing w:after="100" w:line="276"/>
        <w:jc w:val="both"/>
      </w:pPr>
      <w:r>
        <w:rPr>
          <w:rFonts w:ascii="Arial" w:cs="Arial" w:eastAsia="Arial" w:hAnsi="Arial"/>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6"/>
        </w:numPr>
        <w:spacing w:after="100" w:line="276"/>
        <w:jc w:val="both"/>
      </w:pPr>
      <w:r>
        <w:rPr>
          <w:rFonts w:ascii="Arial" w:cs="Arial" w:eastAsia="Arial" w:hAnsi="Arial"/>
          <w:color w:val="1A1A1A"/>
          <w:sz w:val="22"/>
          <w:szCs w:val="22"/>
          <w:lang w:val="es-AR"/>
        </w:rPr>
        <w:t xml:space="preserve">Motor de asignación por competencia certificada, zona o nodo, carga del día, ventana horaria y stock del vehículo.</w:t>
      </w:r>
    </w:p>
    <w:p>
      <w:pPr>
        <w:pStyle w:val="ListParagraph"/>
        <w:numPr>
          <w:ilvl w:val="0"/>
          <w:numId w:val="6"/>
        </w:numPr>
        <w:spacing w:after="100" w:line="276"/>
        <w:jc w:val="both"/>
      </w:pPr>
      <w:r>
        <w:rPr>
          <w:rFonts w:ascii="Arial" w:cs="Arial" w:eastAsia="Arial" w:hAnsi="Arial"/>
          <w:color w:val="1A1A1A"/>
          <w:sz w:val="22"/>
          <w:szCs w:val="22"/>
          <w:lang w:val="es-AR"/>
        </w:rPr>
        <w:t xml:space="preserve">Aplicación móvil de campo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6"/>
        </w:numPr>
        <w:spacing w:after="100" w:line="276"/>
        <w:jc w:val="both"/>
      </w:pPr>
      <w:r>
        <w:rPr>
          <w:rFonts w:ascii="Arial" w:cs="Arial" w:eastAsia="Arial" w:hAnsi="Arial"/>
          <w:color w:val="1A1A1A"/>
          <w:sz w:val="22"/>
          <w:szCs w:val="22"/>
          <w:lang w:val="es-AR"/>
        </w:rPr>
        <w:t xml:space="preserve">Integraciones con SGOT, CRM, base de datos de clientes y órdenes de trabajo, NMS y sistema de stock.</w:t>
      </w:r>
    </w:p>
    <w:p>
      <w:pPr>
        <w:pStyle w:val="ListParagraph"/>
        <w:numPr>
          <w:ilvl w:val="0"/>
          <w:numId w:val="6"/>
        </w:numPr>
        <w:spacing w:after="100" w:line="276"/>
        <w:jc w:val="both"/>
      </w:pPr>
      <w:r>
        <w:rPr>
          <w:rFonts w:ascii="Arial" w:cs="Arial" w:eastAsia="Arial" w:hAnsi="Arial"/>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6"/>
        </w:numPr>
        <w:spacing w:after="100" w:line="276"/>
        <w:jc w:val="both"/>
      </w:pPr>
      <w:r>
        <w:rPr>
          <w:rFonts w:ascii="Arial" w:cs="Arial" w:eastAsia="Arial" w:hAnsi="Arial"/>
          <w:color w:val="1A1A1A"/>
          <w:sz w:val="22"/>
          <w:szCs w:val="22"/>
          <w:lang w:val="es-AR"/>
        </w:rPr>
        <w:t xml:space="preserve">Tablero de indicadores para Supervisión y Gerencia de Operaciones.</w:t>
      </w:r>
    </w:p>
    <w:p>
      <w:pPr>
        <w:spacing w:after="120" w:line="280"/>
        <w:jc w:val="both"/>
      </w:pPr>
      <w:r>
        <w:rPr>
          <w:rFonts w:ascii="Arial" w:cs="Arial" w:eastAsia="Arial" w:hAnsi="Arial"/>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3"/>
        <w:keepNext/>
        <w:spacing w:after="110" w:before="280"/>
      </w:pPr>
      <w:r>
        <w:rPr>
          <w:rFonts w:ascii="Arial" w:cs="Arial" w:eastAsia="Arial" w:hAnsi="Arial"/>
          <w:b/>
          <w:bCs/>
          <w:color w:val="1A1A1A"/>
          <w:sz w:val="22"/>
          <w:szCs w:val="22"/>
          <w:lang w:val="es-AR"/>
        </w:rPr>
        <w:t xml:space="preserve">Entregables</w:t>
      </w:r>
    </w:p>
    <w:p>
      <w:pPr>
        <w:spacing w:after="120" w:line="280"/>
        <w:jc w:val="both"/>
      </w:pPr>
      <w:r>
        <w:rPr>
          <w:rFonts w:ascii="Arial" w:cs="Arial" w:eastAsia="Arial" w:hAnsi="Arial"/>
          <w:color w:val="1A1A1A"/>
          <w:sz w:val="22"/>
          <w:szCs w:val="22"/>
          <w:lang w:val="es-AR"/>
        </w:rPr>
        <w:t xml:space="preserve">Primera aproximación de la Estructura de Desglose de Trabajo, con los entregables principales por fase:</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891"/>
        <w:gridCol w:w="6747"/>
      </w:tblGrid>
      <w:tr>
        <w:trPr>
          <w:cantSplit/>
          <w:tblHeader/>
        </w:trPr>
        <w:tc>
          <w:tcPr>
            <w:tcW w:type="dxa" w:w="289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6747"/>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validado y </w:t>
            </w:r>
            <w:r>
              <w:rPr>
                <w:rFonts w:ascii="Arial" w:cs="Arial" w:eastAsia="Arial" w:hAnsi="Arial"/>
                <w:b/>
                <w:bCs/>
                <w:color w:val="1A1A1A"/>
                <w:sz w:val="18"/>
                <w:szCs w:val="18"/>
                <w:lang w:val="es-AR"/>
              </w:rPr>
              <w:t xml:space="preserve">medición de las líneas base</w:t>
            </w:r>
            <w:r>
              <w:rPr>
                <w:rFonts w:ascii="Arial" w:cs="Arial" w:eastAsia="Arial" w:hAnsi="Arial"/>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 Selección de proveedor</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evaluado y contrato firmado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 Diseño y configuración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Documentación, transferencia operativa, alta del elemento de configuración en la CMDB y cierre formal</w:t>
            </w:r>
          </w:p>
        </w:tc>
      </w:tr>
    </w:tbl>
    <w:p>
      <w:pPr>
        <w:spacing w:after="160"/>
      </w:pPr>
    </w:p>
    <w:p>
      <w:pPr>
        <w:pStyle w:val="Heading3"/>
        <w:keepNext/>
        <w:spacing w:after="110" w:before="280"/>
      </w:pPr>
      <w:r>
        <w:rPr>
          <w:rFonts w:ascii="Arial" w:cs="Arial" w:eastAsia="Arial" w:hAnsi="Arial"/>
          <w:b/>
          <w:bCs/>
          <w:color w:val="1A1A1A"/>
          <w:sz w:val="22"/>
          <w:szCs w:val="22"/>
          <w:lang w:val="es-AR"/>
        </w:rPr>
        <w:t xml:space="preserve">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indicados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3"/>
        <w:keepNext/>
        <w:spacing w:after="110" w:before="280"/>
      </w:pPr>
      <w:r>
        <w:rPr>
          <w:rFonts w:ascii="Arial" w:cs="Arial" w:eastAsia="Arial" w:hAnsi="Arial"/>
          <w:b/>
          <w:bCs/>
          <w:color w:val="1A1A1A"/>
          <w:sz w:val="22"/>
          <w:szCs w:val="22"/>
          <w:lang w:val="es-AR"/>
        </w:rPr>
        <w:t xml:space="preserve">Límite</w:t>
      </w:r>
    </w:p>
    <w:p>
      <w:pPr>
        <w:spacing w:after="120" w:line="280"/>
        <w:jc w:val="both"/>
      </w:pPr>
      <w:r>
        <w:rPr>
          <w:rFonts w:ascii="Arial" w:cs="Arial" w:eastAsia="Arial" w:hAnsi="Arial"/>
          <w:color w:val="1A1A1A"/>
          <w:sz w:val="22"/>
          <w:szCs w:val="22"/>
          <w:lang w:val="es-AR"/>
        </w:rPr>
        <w:t xml:space="preserve">El proyecto </w:t>
      </w:r>
      <w:r>
        <w:rPr>
          <w:rFonts w:ascii="Arial" w:cs="Arial" w:eastAsia="Arial" w:hAnsi="Arial"/>
          <w:b/>
          <w:bCs/>
          <w:color w:val="1A1A1A"/>
          <w:sz w:val="22"/>
          <w:szCs w:val="22"/>
          <w:lang w:val="es-AR"/>
        </w:rPr>
        <w:t xml:space="preserve">no incluye</w:t>
      </w:r>
      <w:r>
        <w:rPr>
          <w:rFonts w:ascii="Arial" w:cs="Arial" w:eastAsia="Arial" w:hAnsi="Arial"/>
          <w:color w:val="1A1A1A"/>
          <w:sz w:val="22"/>
          <w:szCs w:val="22"/>
          <w:lang w:val="es-AR"/>
        </w:rPr>
        <w:t xml:space="preserv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3"/>
        <w:keepNext/>
        <w:spacing w:after="110" w:before="280"/>
      </w:pPr>
      <w:r>
        <w:rPr>
          <w:rFonts w:ascii="Arial" w:cs="Arial" w:eastAsia="Arial" w:hAnsi="Arial"/>
          <w:b/>
          <w:bCs/>
          <w:color w:val="1A1A1A"/>
          <w:sz w:val="22"/>
          <w:szCs w:val="22"/>
          <w:lang w:val="es-AR"/>
        </w:rPr>
        <w:t xml:space="preserve">Firma Autorizante</w:t>
      </w:r>
    </w:p>
    <w:p>
      <w:pPr>
        <w:keepNext/>
        <w:spacing w:after="120" w:line="280"/>
        <w:jc w:val="left"/>
      </w:pPr>
      <w:r>
        <w:rPr>
          <w:rFonts w:ascii="Arial" w:cs="Arial" w:eastAsia="Arial" w:hAnsi="Arial"/>
          <w:color w:val="1A1A1A"/>
          <w:sz w:val="22"/>
          <w:szCs w:val="22"/>
          <w:lang w:val="es-AR"/>
        </w:rPr>
        <w:t xml:space="preserve">Nombre: _______________________________________________</w:t>
      </w:r>
    </w:p>
    <w:p>
      <w:pPr>
        <w:keepNext/>
        <w:spacing w:after="120" w:line="280"/>
        <w:jc w:val="left"/>
      </w:pPr>
      <w:r>
        <w:rPr>
          <w:rFonts w:ascii="Arial" w:cs="Arial" w:eastAsia="Arial" w:hAnsi="Arial"/>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2026-08-23T23:49:26.752Z</dcterms:created>
  <dcterms:modified xsi:type="dcterms:W3CDTF">2026-08-23T23:49:26.754Z</dcterms:modified>
</cp:coreProperties>
</file>

<file path=docProps/custom.xml><?xml version="1.0" encoding="utf-8"?>
<Properties xmlns="http://schemas.openxmlformats.org/officeDocument/2006/custom-properties" xmlns:vt="http://schemas.openxmlformats.org/officeDocument/2006/docPropsVTypes"/>
</file>