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7CEC" w14:textId="716375EC" w:rsidR="00111413" w:rsidRDefault="00111413" w:rsidP="00111413">
      <w:pPr>
        <w:rPr>
          <w:rFonts w:ascii="Arial" w:hAnsi="Arial" w:cs="Arial"/>
          <w:sz w:val="32"/>
          <w:szCs w:val="32"/>
        </w:rPr>
      </w:pPr>
      <w:r w:rsidRPr="00111413">
        <w:rPr>
          <w:rFonts w:ascii="Arial" w:hAnsi="Arial" w:cs="Arial"/>
          <w:color w:val="5B9BD5" w:themeColor="accent1"/>
          <w:sz w:val="52"/>
          <w:szCs w:val="52"/>
        </w:rPr>
        <w:t>G</w:t>
      </w:r>
      <w:r w:rsidRPr="00111413">
        <w:rPr>
          <w:rFonts w:ascii="Arial" w:hAnsi="Arial" w:cs="Arial"/>
          <w:color w:val="FF0000"/>
          <w:sz w:val="52"/>
          <w:szCs w:val="52"/>
        </w:rPr>
        <w:t>O</w:t>
      </w:r>
      <w:r w:rsidRPr="00111413">
        <w:rPr>
          <w:rFonts w:ascii="Arial" w:hAnsi="Arial" w:cs="Arial"/>
          <w:color w:val="FFC000" w:themeColor="accent4"/>
          <w:sz w:val="52"/>
          <w:szCs w:val="52"/>
        </w:rPr>
        <w:t>O</w:t>
      </w:r>
      <w:r w:rsidRPr="00111413">
        <w:rPr>
          <w:rFonts w:ascii="Arial" w:hAnsi="Arial" w:cs="Arial"/>
          <w:color w:val="5B9BD5" w:themeColor="accent1"/>
          <w:sz w:val="52"/>
          <w:szCs w:val="52"/>
        </w:rPr>
        <w:t>G</w:t>
      </w:r>
      <w:r w:rsidRPr="00111413">
        <w:rPr>
          <w:rFonts w:ascii="Arial" w:hAnsi="Arial" w:cs="Arial"/>
          <w:color w:val="70AD47" w:themeColor="accent6"/>
          <w:sz w:val="52"/>
          <w:szCs w:val="52"/>
        </w:rPr>
        <w:t>L</w:t>
      </w:r>
      <w:r w:rsidRPr="00111413">
        <w:rPr>
          <w:rFonts w:ascii="Arial" w:hAnsi="Arial" w:cs="Arial"/>
          <w:color w:val="FF0000"/>
          <w:sz w:val="52"/>
          <w:szCs w:val="52"/>
        </w:rPr>
        <w:t>E</w:t>
      </w:r>
      <w:r>
        <w:rPr>
          <w:rFonts w:ascii="Arial" w:hAnsi="Arial" w:cs="Arial"/>
          <w:color w:val="FF0000"/>
          <w:sz w:val="40"/>
          <w:szCs w:val="40"/>
        </w:rPr>
        <w:t xml:space="preserve"> </w:t>
      </w:r>
      <w:r w:rsidRPr="00111413">
        <w:rPr>
          <w:rFonts w:ascii="Arial" w:hAnsi="Arial" w:cs="Arial"/>
          <w:sz w:val="32"/>
          <w:szCs w:val="32"/>
        </w:rPr>
        <w:t>Curso Virtual Ciberseguridad</w:t>
      </w:r>
    </w:p>
    <w:p w14:paraId="133C9715" w14:textId="77777777" w:rsidR="00111413" w:rsidRPr="00111413" w:rsidRDefault="00111413" w:rsidP="00111413">
      <w:pPr>
        <w:rPr>
          <w:rFonts w:ascii="Arial" w:hAnsi="Arial" w:cs="Arial"/>
          <w:sz w:val="40"/>
          <w:szCs w:val="40"/>
        </w:rPr>
      </w:pPr>
    </w:p>
    <w:p w14:paraId="4CD28CB3" w14:textId="77777777" w:rsidR="00111413" w:rsidRPr="00111413" w:rsidRDefault="00111413" w:rsidP="00111413">
      <w:pPr>
        <w:numPr>
          <w:ilvl w:val="0"/>
          <w:numId w:val="3"/>
        </w:numPr>
        <w:rPr>
          <w:b/>
          <w:bCs/>
        </w:rPr>
      </w:pPr>
      <w:r w:rsidRPr="00111413">
        <w:rPr>
          <w:b/>
          <w:bCs/>
        </w:rPr>
        <w:t>Términos y definiciones del Curso 1, Módulo 1</w:t>
      </w:r>
    </w:p>
    <w:p w14:paraId="446C84D2" w14:textId="77777777" w:rsidR="00111413" w:rsidRPr="00111413" w:rsidRDefault="00111413" w:rsidP="00111413">
      <w:r w:rsidRPr="00111413">
        <w:rPr>
          <w:b/>
          <w:bCs/>
        </w:rPr>
        <w:t xml:space="preserve">Ciberseguridad (o seguridad): </w:t>
      </w:r>
      <w:r w:rsidRPr="00111413">
        <w:t>La práctica de garantizar la confidencialidad, integridad y disponibilidad de la información protegiendo las redes, los dispositivos, las personas y los datos del acceso no autorizado o de la explotación delictiva</w:t>
      </w:r>
    </w:p>
    <w:p w14:paraId="1230454F" w14:textId="77777777" w:rsidR="00111413" w:rsidRPr="00111413" w:rsidRDefault="00111413" w:rsidP="00111413">
      <w:r w:rsidRPr="00111413">
        <w:rPr>
          <w:b/>
          <w:bCs/>
        </w:rPr>
        <w:t>Seguridad de la nube:</w:t>
      </w:r>
      <w:r w:rsidRPr="00111413">
        <w:t xml:space="preserve"> El proceso de garantizar que los recursos almacenados en la Nube están configurados correctamente y que el acceso a dichos recursos está limitado a los usuarios autorizados</w:t>
      </w:r>
    </w:p>
    <w:p w14:paraId="60DF9315" w14:textId="77777777" w:rsidR="00111413" w:rsidRPr="00111413" w:rsidRDefault="00111413" w:rsidP="00111413">
      <w:r w:rsidRPr="00111413">
        <w:rPr>
          <w:b/>
          <w:bCs/>
        </w:rPr>
        <w:t xml:space="preserve">Amenaza interna: </w:t>
      </w:r>
      <w:r w:rsidRPr="00111413">
        <w:t>Un empleado actual o anterior, un proveedor externo o un socio de confianza que supone un riesgo para la Seguridad</w:t>
      </w:r>
    </w:p>
    <w:p w14:paraId="7C1A6CFC" w14:textId="77777777" w:rsidR="00111413" w:rsidRPr="00111413" w:rsidRDefault="00111413" w:rsidP="00111413">
      <w:r w:rsidRPr="00111413">
        <w:rPr>
          <w:b/>
          <w:bCs/>
        </w:rPr>
        <w:t xml:space="preserve">Seguridad de red: </w:t>
      </w:r>
      <w:r w:rsidRPr="00111413">
        <w:t>La práctica de mantener la infraestructura de red de una organización a salvo de accesos no autorizados</w:t>
      </w:r>
    </w:p>
    <w:p w14:paraId="1CD3F004" w14:textId="77777777" w:rsidR="00111413" w:rsidRPr="00111413" w:rsidRDefault="00111413" w:rsidP="00111413">
      <w:r w:rsidRPr="00111413">
        <w:rPr>
          <w:b/>
          <w:bCs/>
        </w:rPr>
        <w:t>Información de identificación personal (PII):</w:t>
      </w:r>
      <w:r w:rsidRPr="00111413">
        <w:t xml:space="preserve"> Cualquier Información utilizada para inferir la identidad de un individuo</w:t>
      </w:r>
    </w:p>
    <w:p w14:paraId="09AB95A9" w14:textId="77777777" w:rsidR="00111413" w:rsidRPr="00111413" w:rsidRDefault="00111413" w:rsidP="00111413">
      <w:r w:rsidRPr="00111413">
        <w:rPr>
          <w:b/>
          <w:bCs/>
        </w:rPr>
        <w:t>Postura de seguridad:</w:t>
      </w:r>
      <w:r w:rsidRPr="00111413">
        <w:t xml:space="preserve"> La capacidad de una organización para gestionar su defensa de activos y datos críticos y reaccionar ante los cambios </w:t>
      </w:r>
    </w:p>
    <w:p w14:paraId="16991D75" w14:textId="77777777" w:rsidR="00111413" w:rsidRPr="00111413" w:rsidRDefault="00111413" w:rsidP="00111413">
      <w:r w:rsidRPr="00111413">
        <w:rPr>
          <w:b/>
          <w:bCs/>
        </w:rPr>
        <w:t>Información de identificación personal sensible (SPII):</w:t>
      </w:r>
      <w:r w:rsidRPr="00111413">
        <w:t xml:space="preserve"> Un tipo específico de PII que entra dentro de las directrices de manejo más estrictas</w:t>
      </w:r>
    </w:p>
    <w:p w14:paraId="0B0BD9AA" w14:textId="77777777" w:rsidR="00111413" w:rsidRPr="00111413" w:rsidRDefault="00111413" w:rsidP="00111413">
      <w:r w:rsidRPr="00111413">
        <w:rPr>
          <w:b/>
          <w:bCs/>
        </w:rPr>
        <w:t>Habilidades técnicas:</w:t>
      </w:r>
      <w:r w:rsidRPr="00111413">
        <w:t xml:space="preserve"> Habilidades que requieren el conocimiento de herramientas, Procedimientos y políticas específicas</w:t>
      </w:r>
    </w:p>
    <w:p w14:paraId="60A9FF29" w14:textId="77777777" w:rsidR="00111413" w:rsidRPr="00111413" w:rsidRDefault="00111413" w:rsidP="00111413">
      <w:r w:rsidRPr="00111413">
        <w:rPr>
          <w:b/>
          <w:bCs/>
        </w:rPr>
        <w:t>Amenaza:</w:t>
      </w:r>
      <w:r w:rsidRPr="00111413">
        <w:t xml:space="preserve"> Cualquier circunstancia o Evento que pueda impactar negativamente en los recursos</w:t>
      </w:r>
    </w:p>
    <w:p w14:paraId="74AEAEC5" w14:textId="77777777" w:rsidR="00111413" w:rsidRPr="00111413" w:rsidRDefault="00111413" w:rsidP="00111413">
      <w:r w:rsidRPr="00111413">
        <w:rPr>
          <w:b/>
          <w:bCs/>
        </w:rPr>
        <w:t xml:space="preserve">Agente de amenaza: </w:t>
      </w:r>
      <w:r w:rsidRPr="00111413">
        <w:t>Cualquier persona o grupo que presente un riesgo para la Seguridad</w:t>
      </w:r>
    </w:p>
    <w:p w14:paraId="6C73A477" w14:textId="77777777" w:rsidR="00111413" w:rsidRPr="00111413" w:rsidRDefault="00111413" w:rsidP="00111413">
      <w:r w:rsidRPr="00111413">
        <w:rPr>
          <w:b/>
          <w:bCs/>
        </w:rPr>
        <w:t>Habilidades transferibles:</w:t>
      </w:r>
      <w:r w:rsidRPr="00111413">
        <w:t xml:space="preserve"> Habilidades de otras áreas que pueden aplicarse a diferentes carreras profesionales </w:t>
      </w:r>
    </w:p>
    <w:p w14:paraId="2B794E76" w14:textId="77777777" w:rsidR="00111413" w:rsidRPr="00111413" w:rsidRDefault="00111413" w:rsidP="00111413">
      <w:r w:rsidRPr="00111413">
        <w:t>Ir al siguiente elemento</w:t>
      </w:r>
    </w:p>
    <w:p w14:paraId="5675BB62" w14:textId="77777777" w:rsidR="008E358F" w:rsidRDefault="008E358F"/>
    <w:sectPr w:rsidR="008E3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6E6C56"/>
    <w:multiLevelType w:val="multilevel"/>
    <w:tmpl w:val="F1529554"/>
    <w:lvl w:ilvl="0">
      <w:start w:val="1"/>
      <w:numFmt w:val="upperRoman"/>
      <w:pStyle w:val="Ttulo1"/>
      <w:lvlText w:val="%1."/>
      <w:lvlJc w:val="righ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571" w:hanging="720"/>
      </w:pPr>
      <w:rPr>
        <w:rFonts w:hint="default"/>
        <w:b/>
        <w:bCs w:val="0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293869588">
    <w:abstractNumId w:val="0"/>
  </w:num>
  <w:num w:numId="2" w16cid:durableId="1741633166">
    <w:abstractNumId w:val="0"/>
  </w:num>
  <w:num w:numId="3" w16cid:durableId="151769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13"/>
    <w:rsid w:val="00111413"/>
    <w:rsid w:val="00161CD0"/>
    <w:rsid w:val="008E358F"/>
    <w:rsid w:val="00AD03CA"/>
    <w:rsid w:val="00BC23E2"/>
    <w:rsid w:val="00C2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E683"/>
  <w15:chartTrackingRefBased/>
  <w15:docId w15:val="{8BAAC9D3-599E-43AF-9F40-DCA2E918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APA7EDICION"/>
    <w:next w:val="Normal"/>
    <w:link w:val="Ttulo1Car"/>
    <w:uiPriority w:val="9"/>
    <w:qFormat/>
    <w:rsid w:val="00AD03CA"/>
    <w:pPr>
      <w:numPr>
        <w:numId w:val="3"/>
      </w:numPr>
      <w:outlineLvl w:val="0"/>
    </w:pPr>
    <w:rPr>
      <w:b/>
      <w:bCs w:val="0"/>
    </w:rPr>
  </w:style>
  <w:style w:type="paragraph" w:styleId="Ttulo2">
    <w:name w:val="heading 2"/>
    <w:basedOn w:val="APA7EDICION"/>
    <w:next w:val="Normal"/>
    <w:link w:val="Ttulo2Car"/>
    <w:uiPriority w:val="9"/>
    <w:unhideWhenUsed/>
    <w:qFormat/>
    <w:rsid w:val="00AD03CA"/>
    <w:pPr>
      <w:numPr>
        <w:ilvl w:val="1"/>
        <w:numId w:val="3"/>
      </w:numPr>
      <w:outlineLvl w:val="1"/>
    </w:pPr>
    <w:rPr>
      <w:b/>
      <w:bCs w:val="0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AD03CA"/>
    <w:pPr>
      <w:numPr>
        <w:ilvl w:val="2"/>
        <w:numId w:val="3"/>
      </w:numPr>
      <w:suppressAutoHyphens/>
      <w:spacing w:after="0" w:line="480" w:lineRule="auto"/>
      <w:outlineLvl w:val="2"/>
    </w:pPr>
    <w:rPr>
      <w:rFonts w:ascii="Arial" w:eastAsia="Times New Roman" w:hAnsi="Arial" w:cs="Arial"/>
      <w:b/>
      <w:bCs/>
      <w:kern w:val="0"/>
      <w:sz w:val="24"/>
      <w:szCs w:val="24"/>
      <w:lang w:eastAsia="es-MX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14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EDICION">
    <w:name w:val="APA 7 EDICION"/>
    <w:basedOn w:val="Normal"/>
    <w:next w:val="Normal"/>
    <w:link w:val="APA7EDICIONCar"/>
    <w:qFormat/>
    <w:rsid w:val="00AD03CA"/>
    <w:pPr>
      <w:spacing w:line="480" w:lineRule="auto"/>
      <w:ind w:firstLine="709"/>
      <w:jc w:val="both"/>
    </w:pPr>
    <w:rPr>
      <w:rFonts w:ascii="Arial" w:hAnsi="Arial" w:cs="Arial"/>
      <w:bCs/>
      <w:sz w:val="24"/>
      <w:szCs w:val="24"/>
    </w:rPr>
  </w:style>
  <w:style w:type="character" w:customStyle="1" w:styleId="APA7EDICIONCar">
    <w:name w:val="APA 7 EDICION Car"/>
    <w:basedOn w:val="Fuentedeprrafopredeter"/>
    <w:link w:val="APA7EDICION"/>
    <w:rsid w:val="00AD03CA"/>
    <w:rPr>
      <w:rFonts w:ascii="Arial" w:hAnsi="Arial" w:cs="Arial"/>
      <w:bCs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AD03CA"/>
    <w:rPr>
      <w:rFonts w:ascii="Arial" w:hAnsi="Arial" w:cs="Arial"/>
      <w:b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AD03CA"/>
    <w:rPr>
      <w:rFonts w:ascii="Arial" w:hAnsi="Arial" w:cs="Arial"/>
      <w:b/>
      <w:sz w:val="24"/>
      <w:szCs w:val="24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AD03CA"/>
    <w:rPr>
      <w:rFonts w:ascii="Arial" w:eastAsia="Times New Roman" w:hAnsi="Arial" w:cs="Arial"/>
      <w:b/>
      <w:bCs/>
      <w:kern w:val="0"/>
      <w:sz w:val="24"/>
      <w:szCs w:val="24"/>
      <w:lang w:val="es-CO"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AD03C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111413"/>
    <w:rPr>
      <w:rFonts w:eastAsiaTheme="majorEastAsia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1413"/>
    <w:rPr>
      <w:rFonts w:eastAsiaTheme="majorEastAsia" w:cstheme="majorBidi"/>
      <w:color w:val="2E74B5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1413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1413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1413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1413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11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1413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111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1413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111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1413"/>
    <w:rPr>
      <w:i/>
      <w:iCs/>
      <w:color w:val="404040" w:themeColor="text1" w:themeTint="BF"/>
      <w:lang w:val="es-CO"/>
    </w:rPr>
  </w:style>
  <w:style w:type="character" w:styleId="nfasisintenso">
    <w:name w:val="Intense Emphasis"/>
    <w:basedOn w:val="Fuentedeprrafopredeter"/>
    <w:uiPriority w:val="21"/>
    <w:qFormat/>
    <w:rsid w:val="0011141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14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1413"/>
    <w:rPr>
      <w:i/>
      <w:iCs/>
      <w:color w:val="2E74B5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11141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3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9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2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Caballero Goenaga</dc:creator>
  <cp:keywords/>
  <dc:description/>
  <cp:lastModifiedBy>Juan Esteban Caballero Goenaga</cp:lastModifiedBy>
  <cp:revision>1</cp:revision>
  <dcterms:created xsi:type="dcterms:W3CDTF">2024-09-26T20:54:00Z</dcterms:created>
  <dcterms:modified xsi:type="dcterms:W3CDTF">2024-09-26T20:56:00Z</dcterms:modified>
</cp:coreProperties>
</file>