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Documento para Inversionistas</w:t>
      </w:r>
    </w:p>
    <w:p>
      <w:pPr>
        <w:spacing w:after="480"/>
        <w:jc w:val="center"/>
      </w:pPr>
      <w:r>
        <w:rPr>
          <w:color w:val="595959"/>
          <w:sz w:val="30"/>
          <w:szCs w:val="30"/>
        </w:rPr>
        <w:t xml:space="preserve">Pasarela de Pagos Cripto → COP para comercios en Colombia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Las cifras de mercado provienen de fuentes públicas citadas; las proyecciones propias están marcadas como tales y se refinarán con datos del piloto.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Versión 1.0 — Documento de trabajo · Confidencial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b/>
          <w:bCs/>
        </w:rPr>
        <w:t xml:space="preserve">El problema: </w:t>
      </w:r>
      <w:r>
        <w:t xml:space="preserve">cerca de 6 millones de colombianos ya usan criptomonedas, pero casi ningún comercio las acepta. Ese dinero no tiene dónde gastarse: los usuarios deben hacer P2P, transferencias y malabares para convertirlo en pesos antes de comprar cualquier cosa.</w:t>
      </w:r>
    </w:p>
    <w:p>
      <w:pPr>
        <w:spacing w:after="120" w:line="276"/>
      </w:pPr>
      <w:r>
        <w:rPr>
          <w:b/>
          <w:bCs/>
        </w:rPr>
        <w:t xml:space="preserve">La solución: </w:t>
      </w:r>
      <w:r>
        <w:t xml:space="preserve">una pasarela que permite a cualquier comercio cobrar en cripto escaneando un QR y recibir pesos colombianos en su cuenta, sin tocar criptomonedas, sin volatilidad y sin conocimiento técnico. Tan fácil como cobrar con Nequi.</w:t>
      </w:r>
    </w:p>
    <w:p>
      <w:pPr>
        <w:spacing w:after="120" w:line="276"/>
      </w:pPr>
      <w:r>
        <w:rPr>
          <w:b/>
          <w:bCs/>
        </w:rPr>
        <w:t xml:space="preserve">El modelo: </w:t>
      </w:r>
      <w:r>
        <w:t xml:space="preserve">comisión porcentual por transacción (~2–2.5% al comercio, margen neto ~1–1.5% tras el costo del proveedor de conversión). Sin custodia de fondos: la conversión y liquidación las ejecuta un proveedor regulado que paga directo al comercio — lo que mantiene la carga regulatoria y el riesgo al mínimo.</w:t>
      </w:r>
    </w:p>
    <w:p>
      <w:pPr>
        <w:spacing w:after="120" w:line="276"/>
      </w:pPr>
      <w:r>
        <w:rPr>
          <w:b/>
          <w:bCs/>
        </w:rPr>
        <w:t xml:space="preserve">El momento: </w:t>
      </w:r>
      <w:r>
        <w:t xml:space="preserve">Colombia es el quinto mercado cripto de América Latina, con US$44.200 millones movidos en un año, y la presión para que los comercios acepten criptoactivos “seguirá aumentando durante 2026” según la Cámara Colombiana de Comercio Electrónico. La infraestructura (Binance Pay, rampas reguladas, stablecoins) ya existe; falta quien la haga accesible al comercio de barrio. Ese es nuestro espacio.</w:t>
      </w:r>
    </w:p>
    <w:p>
      <w:r>
        <w:br w:type="page"/>
      </w:r>
    </w:p>
    <w:p>
      <w:pPr>
        <w:pStyle w:val="Heading1"/>
      </w:pPr>
      <w:r>
        <w:t xml:space="preserve">2. El problema</w:t>
      </w:r>
    </w:p>
    <w:p>
      <w:pPr>
        <w:pStyle w:val="Heading2"/>
      </w:pPr>
      <w:r>
        <w:t xml:space="preserve">Del lado del usuario cripto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Tiene saldo en Binance o una wallet, pero no puede gastarlo en tiendas.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 usarlo debe: vender por P2P → esperar transferencia → recibir en Nequi/banco → ahí sí comprar. Fricción, tiempo y spread en cada paso.</w:t>
      </w:r>
    </w:p>
    <w:p>
      <w:pPr>
        <w:pStyle w:val="Heading2"/>
      </w:pPr>
      <w:r>
        <w:t xml:space="preserve">Del lado del comercio</w:t>
      </w:r>
    </w:p>
    <w:p>
      <w:pPr>
        <w:spacing w:after="120" w:line="276"/>
      </w:pPr>
      <w:r>
        <w:t xml:space="preserve">Sabe que hay clientes con cripto (y turistas/nómadas digitales que llegan sin pesos), pero no la acepta porque: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quiere volatilidad </w:t>
      </w:r>
      <w:r>
        <w:t xml:space="preserve">(recibir un activo que puede caer 10% en un día).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quiere complejidad contable ni tributaria </w:t>
      </w:r>
      <w:r>
        <w:t xml:space="preserve">(“¿cómo declaro cripto?”).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quiere riesgo legal </w:t>
      </w:r>
      <w:r>
        <w:t xml:space="preserve">en un marco regulatorio aún en evolución.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tiene capacidad técnica </w:t>
      </w:r>
      <w:r>
        <w:t xml:space="preserve">para integrar APIs de exchanges.</w:t>
      </w:r>
    </w:p>
    <w:p>
      <w:pPr>
        <w:pStyle w:val="Heading2"/>
      </w:pPr>
      <w:r>
        <w:t xml:space="preserve">El hueco del mercado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t xml:space="preserve">Las piezas existen por separado — exchanges con millones de usuarios, APIs de conversión, stablecoins — pero nadie las une con una experiencia simple para el comercio pequeño y mediano colombiano. Es el mismo patrón que Bold y Wompi explotaron con los datáfonos: la tecnología existía; ganaron haciéndola trivial para el tendero.</w:t>
      </w:r>
    </w:p>
    <w:p>
      <w:r>
        <w:br w:type="page"/>
      </w:r>
    </w:p>
    <w:p>
      <w:pPr>
        <w:pStyle w:val="Heading1"/>
      </w:pPr>
      <w:r>
        <w:t xml:space="preserve">3. La solución</w:t>
      </w:r>
    </w:p>
    <w:p>
      <w:pPr>
        <w:spacing w:after="120" w:line="276"/>
      </w:pPr>
      <w:r>
        <w:rPr>
          <w:b/>
          <w:bCs/>
        </w:rPr>
        <w:t xml:space="preserve">Flujo en 20 segundos: </w:t>
      </w:r>
      <w:r>
        <w:t xml:space="preserve">el comercio digita $50.000 en su celular → aparece un QR → el cliente lo escanea desde su app de Binance (o wallet) y paga → el comercio ve “PAGADO ✓” → los pesos llegan a su cuenta → el registro queda listo para su contador.</w:t>
      </w:r>
    </w:p>
    <w:p>
      <w:pPr>
        <w:pStyle w:val="Heading2"/>
      </w:pPr>
      <w:r>
        <w:t xml:space="preserve">Propuestas de valor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el comercio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el pagador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Ventas nuevas que hoy pierde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fin gasta su cripto como dinero normal</w:t>
            </w:r>
          </w:p>
        </w:tc>
      </w:tr>
      <w:tr>
        <w:tc>
          <w:tcPr>
            <w:tcW w:type="dxa" w:w="468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Recibe pesos, nunca cripto</w:t>
            </w:r>
          </w:p>
        </w:tc>
        <w:tc>
          <w:tcPr>
            <w:tcW w:type="dxa" w:w="468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Paga en segundos desde la app que ya usa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Costo similar o menor al datáfono (2–2.5% vs. 2–4% de tarjetas)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P2P, sin transferencias, sin spread oculto</w:t>
            </w:r>
          </w:p>
        </w:tc>
      </w:tr>
      <w:tr>
        <w:tc>
          <w:tcPr>
            <w:tcW w:type="dxa" w:w="468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Cero conocimiento técnico: QR + link de WhatsApp</w:t>
            </w:r>
          </w:p>
        </w:tc>
        <w:tc>
          <w:tcPr>
            <w:tcW w:type="dxa" w:w="468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Directorio de dónde pagar con cripto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Reportes listos para contador y DIAN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Principio arquitectónico clave (y ventaja regulatoria): la plataforma nunca custodia fondos. </w:t>
      </w:r>
      <w:r>
        <w:t xml:space="preserve">Es software de orquestación: la conversión cripto→COP y la liquidación al comercio las ejecuta un proveedor de rampa regulado. Esto reduce drásticamente el riesgo regulatorio, simplifica el cumplimiento tributario y hace el negocio más liviano en capital.</w:t>
      </w:r>
    </w:p>
    <w:p>
      <w:r>
        <w:br w:type="page"/>
      </w:r>
    </w:p>
    <w:p>
      <w:pPr>
        <w:pStyle w:val="Heading1"/>
      </w:pPr>
      <w:r>
        <w:t xml:space="preserve">4. El mercado</w:t>
      </w:r>
    </w:p>
    <w:p>
      <w:pPr>
        <w:pStyle w:val="Heading2"/>
      </w:pPr>
      <w:r>
        <w:t xml:space="preserve">Tamaño y momentum (fuentes públicas)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~6 millones de colombianos </w:t>
      </w:r>
      <w:r>
        <w:t xml:space="preserve">usan criptomonedas o plataformas relacionadas (Cámara Colombiana de Comercio Electrónico / Vurelo, 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US$44.200 millones </w:t>
      </w:r>
      <w:r>
        <w:t xml:space="preserve">en transacciones cripto en Colombia entre julio 2024 y junio 2025 — quinto mercado de América Latina, tras Brasil, Argentina, México y Venezuela (Chainalysis).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Colombia es #29 global </w:t>
      </w:r>
      <w:r>
        <w:t xml:space="preserve">en adopción, escalando siete posiciones frente a 2024 (Chainalysis 2025).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América Latina creció 63% interanual en adopción; las stablecoins concentran ~90% del volumen regional — el activo perfecto para pagos (sin volatilidad).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Colombia, más de la mitad de las compras cripto terminan en stablecoins (“dolarización digital”), en un contexto de inflación sobre la meta del banco central.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US$13.098 millones en remesas recibió Colombia en 2025 (+10,6%, ~3% del PIB) — flujo creciente que llega cada vez más por rieles cripto y necesita dónde gastarse.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Bonus de demanda: turismo y nómadas digitales (especialmente Medellín) que llegan con cripto y sin pesos.</w:t>
      </w:r>
    </w:p>
    <w:p>
      <w:pPr>
        <w:pStyle w:val="Heading2"/>
      </w:pPr>
      <w:r>
        <w:t xml:space="preserve">TAM / SAM / SOM (estimación propia, a refinar con el piloto)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TAM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 de comercio en Colombia susceptibles de medios electrónicos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Decenas de billones de COP anuales</w:t>
            </w:r>
          </w:p>
        </w:tc>
      </w:tr>
      <w:tr>
        <w:tc>
          <w:tcPr>
            <w:tcW w:type="dxa" w:w="1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SAM</w:t>
            </w:r>
          </w:p>
        </w:tc>
        <w:tc>
          <w:tcPr>
            <w:tcW w:type="dxa" w:w="36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Gasto potencial de los ~6M de usuarios cripto en comercios locales</w:t>
            </w:r>
          </w:p>
        </w:tc>
        <w:tc>
          <w:tcPr>
            <w:tcW w:type="dxa" w:w="41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Si solo el 5% de sus tenencias rotara anualmente en consumo local: mercado direccionable de cientos de millones de USD/año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SOM (año 1–2)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Comercios urbanos de nicho en Bogotá y Medellín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Capturar un TPV modesto pero demostrativo — ver plan comercial</w:t>
            </w:r>
          </w:p>
        </w:tc>
      </w:tr>
    </w:tbl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Nota honesta para el inversionista: </w:t>
      </w:r>
      <w:r>
        <w:t xml:space="preserve">el mercado de tenencia cripto es enorme y medible; el mercado de gasto cripto en comercios es incipiente — esa es exactamente la oportunidad y también el riesgo. El piloto está diseñado para medir la conversión tenencia→gasto con datos reales.</w:t>
      </w:r>
    </w:p>
    <w:p>
      <w:r>
        <w:br w:type="page"/>
      </w:r>
    </w:p>
    <w:p>
      <w:pPr>
        <w:pStyle w:val="Heading1"/>
      </w:pPr>
      <w:r>
        <w:t xml:space="preserve">5. Modelo de negocio</w:t>
      </w:r>
    </w:p>
    <w:p>
      <w:pPr>
        <w:pStyle w:val="Heading2"/>
      </w:pPr>
      <w:r>
        <w:t xml:space="preserve">Ingreso principal: comisión por transacción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Comisión al comercio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~2.0 – 2.5% por transacción</w:t>
            </w:r>
          </w:p>
        </w:tc>
      </w:tr>
      <w:tr>
        <w:tc>
          <w:tcPr>
            <w:tcW w:type="dxa" w:w="42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(–) Costo proveedor rampa</w:t>
            </w:r>
          </w:p>
        </w:tc>
        <w:tc>
          <w:tcPr>
            <w:tcW w:type="dxa" w:w="51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~1.0%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(=) Margen bruto plataforma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~1.0 – 1.5%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Comparable de referencia: </w:t>
      </w:r>
      <w:r>
        <w:t xml:space="preserve">los datáfonos y pasarelas de tarjeta cobran al comercio entre 2% y 4% más retenciones. No pedimos al comercio pagar algo nuevo: le damos un medio de pago adicional al mismo costo de los que ya acepta.</w:t>
      </w:r>
    </w:p>
    <w:p>
      <w:pPr>
        <w:pStyle w:val="Heading2"/>
      </w:pPr>
      <w:r>
        <w:t xml:space="preserve">Ingresos secundarios (desde el día uno, financian el arranque)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Tarifa única de instalación/onboarding “cobro digital completo” (montamos su pasarela tradicional + la nuestra en una tarde).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Futuro: suscripción por funcionalidades premium del dashboard (reportes avanzados, multi-sede), publicidad de posición en el directorio de comercios.</w:t>
      </w:r>
    </w:p>
    <w:p>
      <w:pPr>
        <w:spacing w:after="120" w:line="276"/>
      </w:pPr>
      <w:r>
        <w:rPr>
          <w:b/>
          <w:bCs/>
        </w:rPr>
        <w:t xml:space="preserve">Estructura de costos liviana: </w:t>
      </w:r>
      <w:r>
        <w:t xml:space="preserve">sin custodia no hay tesorería, ni licencias financieras pesadas, ni capital regulatorio. Costos = desarrollo, infraestructura cloud (mínima en MVP), comercial/soporte, y asesoría legal puntual.</w:t>
      </w:r>
    </w:p>
    <w:p>
      <w:r>
        <w:br w:type="page"/>
      </w:r>
    </w:p>
    <w:p>
      <w:pPr>
        <w:pStyle w:val="Heading1"/>
      </w:pPr>
      <w:r>
        <w:t xml:space="preserve">6. Competencia y posicionamiento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42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 no nos mata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Binance Pay directo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Un comercio puede registrarse como merchant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Un tendero no navega documentación de APIs ni concilia en cripto; somos la capa que lo vuelve trivial + liquidación en COP + soporte local</w:t>
            </w:r>
          </w:p>
        </w:tc>
      </w:tr>
      <w:tr>
        <w:tc>
          <w:tcPr>
            <w:tcW w:type="dxa" w:w="23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P2P (Binance P2P)</w:t>
            </w:r>
          </w:p>
        </w:tc>
        <w:tc>
          <w:tcPr>
            <w:tcW w:type="dxa" w:w="28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convierte cripto a pesos</w:t>
            </w:r>
          </w:p>
        </w:tc>
        <w:tc>
          <w:tcPr>
            <w:tcW w:type="dxa" w:w="4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 la conversión del usuario, no el cobro del comercio; es fricción, no punto de venta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Pasarelas tradicionales (Wompi, Bold, PayU)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Tarjetas / PSE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aceptan cripto; son nuestro comparable de precio y potenciales aliados o adquirentes</w:t>
            </w:r>
          </w:p>
        </w:tc>
      </w:tr>
      <w:tr>
        <w:tc>
          <w:tcPr>
            <w:tcW w:type="dxa" w:w="23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Rampas / exchanges locales</w:t>
            </w:r>
          </w:p>
        </w:tc>
        <w:tc>
          <w:tcPr>
            <w:tcW w:type="dxa" w:w="28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Conversión y trading</w:t>
            </w:r>
          </w:p>
        </w:tc>
        <w:tc>
          <w:tcPr>
            <w:tcW w:type="dxa" w:w="4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Son nuestros proveedores, no competidores en el punto de venta del comercio pequeño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Procesadores cripto globales (BitPay, etc.)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Checkout cripto para e-commerce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Enfocados en e-commerce global grande; sin presencia comercial para el comercio físico colombiano</w:t>
            </w:r>
          </w:p>
        </w:tc>
      </w:tr>
    </w:tbl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Nuestro foso (moat) inicial: </w:t>
      </w:r>
      <w:r>
        <w:t xml:space="preserve">no es tecnología patentable — es distribución y experiencia local: onboarding en minutos, soporte en español por WhatsApp, reportes DIAN-friendly, presencia en la calle, y el efecto de red del directorio “dónde pagar con cripto” (más comercios → más pagadores → más comercios).</w:t>
      </w:r>
    </w:p>
    <w:p>
      <w:r>
        <w:br w:type="page"/>
      </w:r>
    </w:p>
    <w:p>
      <w:pPr>
        <w:pStyle w:val="Heading1"/>
      </w:pPr>
      <w:r>
        <w:t xml:space="preserve">7. Estado actual y tracción temprana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✔ </w:t>
      </w:r>
      <w:r>
        <w:t xml:space="preserve">Modelo de negocio y arquitectura definidos y documentados (sin custodia, validado contra el marco tributario del Régimen Simple).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✔ </w:t>
      </w:r>
      <w:r>
        <w:t xml:space="preserve">Validación comercial iniciada: primeros comercios ya manifestaron interés en implementar la plataforma (piden simplicidad de implementación — requisito ya incorporado al diseño del producto).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✔ </w:t>
      </w:r>
      <w:r>
        <w:t xml:space="preserve">Backend en desarrollo: arquitectura hexagonal Spring Boot, con documentación técnica completa (visión, arquitectura, dominio, pruebas, roadmap de 10 fases).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⏳ </w:t>
      </w:r>
      <w:r>
        <w:t xml:space="preserve">En curso: encuesta estructurada de validación a una base más amplia de comercios; solicitud de sandbox a Binance Pay y proveedores de rampa.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⏳ </w:t>
      </w:r>
      <w:r>
        <w:t xml:space="preserve">Próximo hito: MVP funcional en sandbox → piloto con 5–10 comercios reales en una zona concentrada.</w:t>
      </w:r>
    </w:p>
    <w:p>
      <w:pPr>
        <w:spacing w:after="60"/>
      </w:pPr>
    </w:p>
    <w:p>
      <w:pPr>
        <w:pStyle w:val="Heading1"/>
      </w:pPr>
      <w:r>
        <w:t xml:space="preserve">8. Equipo</w:t>
      </w:r>
    </w:p>
    <w:p>
      <w:pPr>
        <w:pStyle w:val="Heading3"/>
      </w:pPr>
      <w:r>
        <w:t xml:space="preserve">Juan Carlos Gutiérrez Huérfano — Fundador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Arquitecto de Software y Desarrollador Full Stack </w:t>
      </w:r>
      <w:r>
        <w:t xml:space="preserve">con experiencia en soluciones empresariales bajo arquitectura hexagonal y DDD (Java/Spring Boot, Angular, AWS, Kubernetes), incluyendo plataformas con integraciones de pago y microservicios en compañías como Ceiba Software, SQDM y Thomas Instruments.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Administrador de Empresas de la Universidad Nacional de Colombia </w:t>
      </w:r>
      <w:r>
        <w:t xml:space="preserve">— perfil dual técnico + negocio, poco común en fundadores solitarios.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7+ años como instructor SENA: </w:t>
      </w:r>
      <w:r>
        <w:t xml:space="preserve">capacidad probada de enseñar, documentar y comunicar — el activo exacto que requiere la labor educativa de este mercado.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Certificaciones en desarrollo backend, cloud y metodologías ágiles (Digital House, Scrum).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i/>
          <w:iCs/>
        </w:rPr>
        <w:t xml:space="preserve">El pitch del equipo en una línea: </w:t>
      </w:r>
      <w:r>
        <w:rPr>
          <w:i/>
          <w:iCs/>
        </w:rPr>
        <w:t xml:space="preserve">la persona que puede construir la plataforma, entender el negocio y educar al mercado es la misma — velocidad y coherencia de ejecución que un equipo fragmentado no tiene en esta etapa.</w:t>
      </w:r>
    </w:p>
    <w:p>
      <w:r>
        <w:br w:type="page"/>
      </w:r>
    </w:p>
    <w:p>
      <w:pPr>
        <w:pStyle w:val="Heading1"/>
      </w:pPr>
      <w:r>
        <w:t xml:space="preserve">9. Riesgos y mitigación (transparencia total)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Realidad</w:t>
            </w:r>
          </w:p>
        </w:tc>
        <w:tc>
          <w:tcPr>
            <w:tcW w:type="dxa" w:w="3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Regulatorio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 marco cripto colombiano está en evolución (DIAN ya exige reportes a plataformas; hay proyecto de ley en trámite)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sin custodia = mínima superficie regulatoria; asesoría legal antes de dinero real; arquitectura adaptable</w:t>
            </w:r>
          </w:p>
        </w:tc>
      </w:tr>
      <w:tr>
        <w:tc>
          <w:tcPr>
            <w:tcW w:type="dxa" w:w="2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Dependencia de proveedores</w:t>
            </w:r>
          </w:p>
        </w:tc>
        <w:tc>
          <w:tcPr>
            <w:tcW w:type="dxa" w:w="3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Si Binance/rampa corta el servicio, el negocio se detiene</w:t>
            </w:r>
          </w:p>
        </w:tc>
        <w:tc>
          <w:tcPr>
            <w:tcW w:type="dxa" w:w="39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Puerto de proveedor abstracto: multi-proveedor por diseño; segundo riel planificado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Adopción más lenta de lo esperado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 gasto cripto en comercios es incipiente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 barato y medible antes de escalar; ingreso secundario (instalaciones) financia la espera; educación embebida en el producto</w:t>
            </w:r>
          </w:p>
        </w:tc>
      </w:tr>
      <w:tr>
        <w:tc>
          <w:tcPr>
            <w:tcW w:type="dxa" w:w="2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Competencia de un grande</w:t>
            </w:r>
          </w:p>
        </w:tc>
        <w:tc>
          <w:tcPr>
            <w:tcW w:type="dxa" w:w="3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pasarela establecida podría añadir cripto</w:t>
            </w:r>
          </w:p>
        </w:tc>
        <w:tc>
          <w:tcPr>
            <w:tcW w:type="dxa" w:w="39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Ser primeros en el nicho desatendido + relación directa con comercios = posición de adquisición atractiva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Fundador único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Riesgo de continuidad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Documentación exhaustiva desde el día uno; plan de incorporar talento comercial con la inversión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Uso de fondos (propuesta a discutir)</w:t>
      </w:r>
    </w:p>
    <w:p>
      <w:pPr>
        <w:spacing w:after="120" w:line="276"/>
      </w:pPr>
      <w:r>
        <w:t xml:space="preserve">Los montos exactos se definirán según la ronda; esta es la estructura de prioridades: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Comercial y adquisición de comercios (40–50%) </w:t>
      </w:r>
      <w:r>
        <w:t xml:space="preserve">— la tecnología ya avanza; el cuello de botella será la calle: perfil comercial, materiales, incentivos de onboarding (primer mes gratis).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Producto y desarrollo (25–30%) </w:t>
      </w:r>
      <w:r>
        <w:t xml:space="preserve">— completar MVP, segundo riel (on-chain), app/PWA pulida, seguridad.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Legal y cumplimiento (10–15%) </w:t>
      </w:r>
      <w:r>
        <w:t xml:space="preserve">— asesoría fintech, contratos, adecuación ante la regulación entrante.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Operación y soporte (10–15%) </w:t>
      </w:r>
      <w:r>
        <w:t xml:space="preserve">— soporte a comercios del piloto, infraestructura, contabilidad.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Hitos que compra la inversión: </w:t>
      </w:r>
      <w:r>
        <w:t xml:space="preserve">MVP en producción → piloto validado con métricas → 50–100 comercios activos → datos para ronda siguiente o rentabilidad temprana.</w:t>
      </w:r>
    </w:p>
    <w:p>
      <w:pPr>
        <w:spacing w:after="60"/>
      </w:pPr>
    </w:p>
    <w:p>
      <w:pPr>
        <w:pStyle w:val="Heading1"/>
      </w:pPr>
      <w:r>
        <w:t xml:space="preserve">11. La visión a 3 años</w:t>
      </w:r>
    </w:p>
    <w:p>
      <w:pPr>
        <w:spacing w:after="120" w:line="276"/>
      </w:pPr>
      <w:r>
        <w:t xml:space="preserve">Ser la red de aceptación cripto del comercio colombiano: miles de comercios donde cualquier persona con cripto paga como con cualquier otro medio, un directorio que la comunidad consulta para decidir dónde comprar, y la infraestructura lista para expandirse a mercados vecinos con dinámica similar (Perú, Ecuador, Centroamérica) — o para ser el socio/adquisición natural de una pasarela tradicional que quiera entrar al mundo cripto con la red ya construida.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2026-07-06T21:25:40.207Z</dcterms:created>
  <dcterms:modified xsi:type="dcterms:W3CDTF">2026-07-06T21:25:40.207Z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