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0"/>
      </w:pPr>
    </w:p>
    <w:p>
      <w:pPr>
        <w:spacing w:after="240"/>
        <w:jc w:val="center"/>
      </w:pPr>
      <w:r>
        <w:rPr>
          <w:b/>
          <w:bCs/>
          <w:color w:val="1F4E79"/>
          <w:sz w:val="56"/>
          <w:szCs w:val="56"/>
        </w:rPr>
        <w:t xml:space="preserve">Estado del Arte</w:t>
      </w:r>
    </w:p>
    <w:p>
      <w:pPr>
        <w:spacing w:after="480"/>
        <w:jc w:val="center"/>
      </w:pPr>
      <w:r>
        <w:rPr>
          <w:color w:val="595959"/>
          <w:sz w:val="30"/>
          <w:szCs w:val="30"/>
        </w:rPr>
        <w:t xml:space="preserve">Pagos con Cripto en Comercios: Colombia, Latinoamérica y el mundo</w:t>
      </w:r>
    </w:p>
    <w:p>
      <w:pPr>
        <w:spacing w:after="240"/>
        <w:jc w:val="center"/>
      </w:pPr>
      <w:r>
        <w:rPr>
          <w:i/>
          <w:iCs/>
          <w:color w:val="595959"/>
          <w:sz w:val="22"/>
          <w:szCs w:val="22"/>
        </w:rPr>
        <w:t xml:space="preserve">Mapa de las soluciones existentes y en gestación en el nicho de “gastar cripto en comercios”, el hueco real del mercado y las implicaciones estratégicas para el proyecto. Fuentes públicas citadas por nombre; corte de información: julio de 2026.</w:t>
      </w:r>
    </w:p>
    <w:p>
      <w:pPr>
        <w:jc w:val="center"/>
      </w:pPr>
      <w:r>
        <w:rPr>
          <w:color w:val="595959"/>
          <w:sz w:val="20"/>
          <w:szCs w:val="20"/>
        </w:rPr>
        <w:t xml:space="preserve">Versión 1.0 — Documento de trabajo · Confidencial</w:t>
      </w:r>
    </w:p>
    <w:p>
      <w:r>
        <w:br w:type="page"/>
      </w:r>
    </w:p>
    <w:p>
      <w:pPr>
        <w:pStyle w:val="Heading1"/>
      </w:pPr>
      <w:r>
        <w:t xml:space="preserve">1. Resumen ejecutivo</w:t>
      </w:r>
    </w:p>
    <w:p>
      <w:pPr>
        <w:spacing w:after="120" w:line="276"/>
      </w:pPr>
      <w:r>
        <w:t xml:space="preserve">El nicho existe, crece rápido y está en plena efervescencia — lo cual valida la necesidad, pero también significa que no estamos solos. Los hallazgos centrales: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El mercado global de pasarelas cripto </w:t>
      </w:r>
      <w:r>
        <w:t xml:space="preserve">alcanzó ~US$1.200 millones en 2024 y se proyecta creciendo ~21% anual hasta 2034 (ChangeHero/industria). Los gigantes de pagos (Stripe, PayPal, Shopify, Visa, Mastercard) ya entraron, pero concentrados en e-commerce de EE.UU./Europa — no en el comercio físico pequeño latinoamericano.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La tendencia dominante son las stablecoins, </w:t>
      </w:r>
      <w:r>
        <w:t xml:space="preserve">no Bitcoin: en LatAm superan el 90% del volumen cripto (Chainalysis), y el patrón ganador de 2025-2026 es conectar stablecoins con los rieles de pago nacionales (Pix en Brasil, Transferencias 3.0 en Argentina, Bre-B en Colombia).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En Colombia ya hay actividad: </w:t>
      </w:r>
      <w:r>
        <w:t xml:space="preserve">Binance Pay reportó 500+ locales, la DIAN contabilizó 680 establecimientos que aceptan cripto, existen pasarelas con liquidación en COP (Payválida), stablecoins de peso colombiano (COPW de Bancolombia/Wenia, COPM de Minteo) e iniciativas de adopción (Trokera, Satoshi Team). Pero nadie domina la última milla del comercio físico pequeño con experiencia local, soporte y modelo de acompañamiento.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La conclusión estratégica: </w:t>
      </w:r>
      <w:r>
        <w:t xml:space="preserve">la infraestructura ya existe (no hay que construirla, hay que orquestarla — exactamente nuestro modelo). La ventana de oportunidad es la distribución y la experiencia local, y se está cerrando a velocidad media: 12-24 meses antes de que un jugador grande o bien financiado ocupe el espacio del comercio físico colombiano.</w:t>
      </w:r>
    </w:p>
    <w:p>
      <w:r>
        <w:br w:type="page"/>
      </w:r>
    </w:p>
    <w:p>
      <w:pPr>
        <w:pStyle w:val="Heading1"/>
      </w:pPr>
      <w:r>
        <w:t xml:space="preserve">2. Nivel global: el estado del arte mundial</w:t>
      </w:r>
    </w:p>
    <w:p>
      <w:pPr>
        <w:pStyle w:val="Heading2"/>
      </w:pPr>
      <w:r>
        <w:t xml:space="preserve">2.1 Los gigantes ya entraron (2025-2026, punto de inflexión)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100"/>
        <w:gridCol w:w="4000"/>
        <w:gridCol w:w="3260"/>
      </w:tblGrid>
      <w:tr>
        <w:trPr>
          <w:tblHeader/>
        </w:trPr>
        <w:tc>
          <w:tcPr>
            <w:tcW w:type="dxa" w:w="21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Jugador</w:t>
            </w:r>
          </w:p>
        </w:tc>
        <w:tc>
          <w:tcPr>
            <w:tcW w:type="dxa" w:w="40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Qué hace</w:t>
            </w:r>
          </w:p>
        </w:tc>
        <w:tc>
          <w:tcPr>
            <w:tcW w:type="dxa" w:w="326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Alcance / límite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Stripe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Desde dic. 2025, todo merchant acepta USDC/USDB en checkout estándar sin cambios de código; liquida en USD; comisión plana ~1,5%</w:t>
            </w:r>
          </w:p>
        </w:tc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Solo negocios de EE.UU. por ahora (según su propia documentación)</w:t>
            </w:r>
          </w:p>
        </w:tc>
      </w:tr>
      <w:tr>
        <w:tc>
          <w:tcPr>
            <w:tcW w:type="dxa" w:w="2100"/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PayPal</w:t>
            </w:r>
          </w:p>
        </w:tc>
        <w:tc>
          <w:tcPr>
            <w:tcW w:type="dxa" w:w="4000"/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“Pay with Crypto”: acepta 100+ criptos y convierte a PYUSD o fiat; ~70 mercados</w:t>
            </w:r>
          </w:p>
        </w:tc>
        <w:tc>
          <w:tcPr>
            <w:tcW w:type="dxa" w:w="3260"/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Enfocado en e-commerce y su propio ecosistema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Shopify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Checkout con USDC (con Coinbase y Stripe) en mercados elegibles de Europa y Hong Kong</w:t>
            </w:r>
          </w:p>
        </w:tc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Elegibilidad limitada; e-commerce, no tienda física</w:t>
            </w:r>
          </w:p>
        </w:tc>
      </w:tr>
      <w:tr>
        <w:tc>
          <w:tcPr>
            <w:tcW w:type="dxa" w:w="2100"/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Coinbase Commerce / Payments</w:t>
            </w:r>
          </w:p>
        </w:tc>
        <w:tc>
          <w:tcPr>
            <w:tcW w:type="dxa" w:w="4000"/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Stack completo de aceptación stablecoin sobre su red Base; apunta a PSPs y grandes empresas</w:t>
            </w:r>
          </w:p>
        </w:tc>
        <w:tc>
          <w:tcPr>
            <w:tcW w:type="dxa" w:w="3260"/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B2B/enterprise, no comercio pequeño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BitPay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El veterano (2011): acepta cripto con liquidación en fiat, cripto o mixta; casos como AMC Theatres</w:t>
            </w:r>
          </w:p>
        </w:tc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Liquidación fiat centrada en USD/EUR/GBP; sin presencia comercial LatAm</w:t>
            </w:r>
          </w:p>
        </w:tc>
      </w:tr>
      <w:tr>
        <w:tc>
          <w:tcPr>
            <w:tcW w:type="dxa" w:w="2100"/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Binance Pay</w:t>
            </w:r>
          </w:p>
        </w:tc>
        <w:tc>
          <w:tcPr>
            <w:tcW w:type="dxa" w:w="4000"/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Pagos off-chain instantáneos entre usuarios Binance y merchants; QR y API</w:t>
            </w:r>
          </w:p>
        </w:tc>
        <w:tc>
          <w:tcPr>
            <w:tcW w:type="dxa" w:w="3260"/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Riel excelente (el que usaremos) pero sin “última milla” local: el comercio debe autogestionarse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Visa / Mastercard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Programas de tarjetas cripto: el usuario gasta cripto en cualquier datáfono; Mastercard habla de 150M de puntos de aceptación</w:t>
            </w:r>
          </w:p>
        </w:tc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Resuelven el lado del pagador vía rieles de tarjeta; el comercio paga la comisión de siempre</w:t>
            </w:r>
          </w:p>
        </w:tc>
      </w:tr>
      <w:tr>
        <w:tc>
          <w:tcPr>
            <w:tcW w:type="dxa" w:w="2100"/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NOWPayments, Cryptomus, B2BinPay, Triple-A, BVNK, TransFi</w:t>
            </w:r>
          </w:p>
        </w:tc>
        <w:tc>
          <w:tcPr>
            <w:tcW w:type="dxa" w:w="4000"/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Pasarelas cripto globales para e-commerce: 300+ monedas, plugins, APIs</w:t>
            </w:r>
          </w:p>
        </w:tc>
        <w:tc>
          <w:tcPr>
            <w:tcW w:type="dxa" w:w="3260"/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Comercio online internacional; sin liquidación COP nativa ni soporte local</w:t>
            </w:r>
          </w:p>
        </w:tc>
      </w:tr>
    </w:tbl>
    <w:p>
      <w:pPr>
        <w:pStyle w:val="Heading2"/>
      </w:pPr>
      <w:r>
        <w:t xml:space="preserve">2.2 Las dos rutas que compiten por el mismo problema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Ruta A — Tarjeta cripto (rieles Visa/MC): </w:t>
      </w:r>
      <w:r>
        <w:t xml:space="preserve">el usuario obtiene una tarjeta (Lemon, Oobit, Binance Card, Crypto.com) que descuenta de su saldo cripto y paga al comercio en moneda local por el datáfono normal. Ventaja: aceptación universal inmediata. Desventaja: el comercio paga la comisión de tarjeta de siempre, no hay relación comercio-plataforma, y el usuario suele pagar spreads/cuotas.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Ruta B — Pago directo QR (nuestra ruta): </w:t>
      </w:r>
      <w:r>
        <w:t xml:space="preserve">el comercio muestra un QR propio y el pago viaja por rieles cripto/stablecoin con conversión a fiat. Ventaja: comisión potencialmente menor, relación directa con el comercio, datos y servicios de valor agregado. Desventaja: hay que construir la red de aceptación comercio por comercio.</w:t>
      </w:r>
    </w:p>
    <w:p>
      <w:pPr>
        <w:pBdr>
          <w:left w:val="single" w:color="1F4E79" w:sz="18"/>
        </w:pBdr>
        <w:shd w:fill="EEF3F8" w:val="clear"/>
        <w:spacing w:after="160" w:before="120" w:line="276"/>
        <w:ind w:left="200" w:right="200"/>
      </w:pPr>
      <w:r>
        <w:rPr>
          <w:b/>
          <w:bCs/>
        </w:rPr>
        <w:t xml:space="preserve">Tendencia 2026: </w:t>
      </w:r>
      <w:r>
        <w:t xml:space="preserve">la ruta B está ganando tracción cuando se conecta con los rieles de pago instantáneo nacionales (ver LatAm), porque combina la aceptación masiva de la ruta A con los costos bajos de la B.</w:t>
      </w:r>
    </w:p>
    <w:p>
      <w:pPr>
        <w:pStyle w:val="Heading2"/>
      </w:pPr>
      <w:r>
        <w:t xml:space="preserve">2.3 Señales regulatorias globales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EE.UU. formalizó el sector (ETFs, claridad regulatoria) y desde enero de 2026 los procesadores que convierten cripto a fiat para comercios se clasifican como brokers con obligaciones de reporte — señal de madurez, no de freno.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Conclusión transversal: </w:t>
      </w:r>
      <w:r>
        <w:t xml:space="preserve">la regulación llegó para formalizar, no para prohibir, y quienes operan modelos sin custodia con proveedores regulados quedan mejor parados.</w:t>
      </w:r>
    </w:p>
    <w:p>
      <w:r>
        <w:br w:type="page"/>
      </w:r>
    </w:p>
    <w:p>
      <w:pPr>
        <w:pStyle w:val="Heading1"/>
      </w:pPr>
      <w:r>
        <w:t xml:space="preserve">3. Nivel Latinoamérica: el laboratorio del mundo</w:t>
      </w:r>
    </w:p>
    <w:p>
      <w:pPr>
        <w:spacing w:after="120" w:line="276"/>
      </w:pPr>
      <w:r>
        <w:t xml:space="preserve">LatAm recibió ~US$1,5 billones en valor cripto entre 2022 y 2025, con más del 90% en stablecoins (Chainalysis). La región no adopta cripto por especulación sino por utilidad: inflación, remesas y dolarización digital. Eso la convierte en el laboratorio mundial del pago con cripto.</w:t>
      </w:r>
    </w:p>
    <w:p>
      <w:pPr>
        <w:pStyle w:val="Heading2"/>
      </w:pPr>
      <w:r>
        <w:t xml:space="preserve">3.1 Brasil — el más avanzado (y el espejo de lo que viene)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Mayor mercado cripto de la región (~US$318.800 millones recibidos, crecimiento &gt;100% interanual — Chainalysis).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El patrón ganador: cripto sobre Pix </w:t>
      </w:r>
      <w:r>
        <w:t xml:space="preserve">(el sistema de pagos instantáneos del banco central). Oobit integró USDT con Pix; Mercado Pago y Nubank ofrecen cripto; Lemon permitió a argentinos pagar por Pix en Brasil usando USDT “sin darse cuenta”.</w:t>
      </w:r>
    </w:p>
    <w:p>
      <w:pPr>
        <w:pBdr>
          <w:left w:val="single" w:color="1F4E79" w:sz="18"/>
        </w:pBdr>
        <w:shd w:fill="EEF3F8" w:val="clear"/>
        <w:spacing w:after="160" w:before="120" w:line="276"/>
        <w:ind w:left="200" w:right="200"/>
      </w:pPr>
      <w:r>
        <w:rPr>
          <w:b/>
          <w:bCs/>
        </w:rPr>
        <w:t xml:space="preserve">Dato clave para nosotros: </w:t>
      </w:r>
      <w:r>
        <w:t xml:space="preserve">en Brasil, 26 millones de personas tienen cripto pero solo el 26% ha pagado alguna vez con ellas (Oobit/analistas). La barrera no es la tenencia, es la usabilidad — exactamente la tesis de nuestro proyecto.</w:t>
      </w:r>
    </w:p>
    <w:p>
      <w:pPr>
        <w:pStyle w:val="Heading2"/>
      </w:pPr>
      <w:r>
        <w:t xml:space="preserve">3.2 Argentina — el más creativo por necesidad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Lemon: </w:t>
      </w:r>
      <w:r>
        <w:t xml:space="preserve">la referencia regional. Tarjeta Visa que descuenta de saldo cripto + cashback en BTC + terminal de cobro QR + integración con Tienda Nube (15.000 comercios online) + Transferencias 3.0 (QR interoperable nacional). Expandió a México, Perú, Colombia, Uruguay y Ecuador.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Ripio, Belo, Buenbit: variantes del mismo patrón (wallet + tarjeta + pagos).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Lección argentina: </w:t>
      </w:r>
      <w:r>
        <w:t xml:space="preserve">el usuario adopta cuando el pago con cripto se siente igual que el pago normal (mismo QR, misma tarjeta).</w:t>
      </w:r>
    </w:p>
    <w:p>
      <w:pPr>
        <w:pStyle w:val="Heading2"/>
      </w:pPr>
      <w:r>
        <w:t xml:space="preserve">3.3 El movimiento regional más relevante para Colombia (2026)</w:t>
      </w:r>
    </w:p>
    <w:p>
      <w:pPr>
        <w:pBdr>
          <w:left w:val="single" w:color="1F4E79" w:sz="18"/>
        </w:pBdr>
        <w:shd w:fill="EEF3F8" w:val="clear"/>
        <w:spacing w:after="160" w:before="120" w:line="276"/>
        <w:ind w:left="200" w:right="200"/>
      </w:pPr>
      <w:r>
        <w:rPr>
          <w:b/>
          <w:bCs/>
        </w:rPr>
        <w:t xml:space="preserve">Bitget Wallet anunció en mayo de 2026 pagos QR con stablecoins sobre los rieles nacionales de Argentina (Transferencias 3.0), Bolivia (QR Simple) y Colombia (Bre-B) </w:t>
      </w:r>
      <w:r>
        <w:t xml:space="preserve">— extendiendo lo que ya hacía en Brasil sobre Pix (Mobile Money LatAm). Esto confirma dos cosas: (a) el modelo “stablecoin + riel nacional” viene hacia Colombia con jugadores internacionales; (b) quedan preguntas regulatorias abiertas, o sea que nadie tiene aún la posición ganada.</w:t>
      </w:r>
    </w:p>
    <w:p>
      <w:pPr>
        <w:pStyle w:val="Heading2"/>
      </w:pPr>
      <w:r>
        <w:t xml:space="preserve">3.4 Stablecoins de moneda local — la infraestructura emergente</w:t>
      </w:r>
    </w:p>
    <w:p>
      <w:pPr>
        <w:spacing w:after="120" w:line="276"/>
      </w:pPr>
      <w:r>
        <w:t xml:space="preserve">La región está creando stablecoins de monedas locales para eliminar la doble conversión vía USD: MXNB (México, Bitso/Juno), BRL1 (Brasil), y en Colombia COPM (Minteo) y COPW (Wenia/Bancolombia). Plataformas B2B como VelaFi ya las enrutan para pagos empresariales. Para nuestro proyecto son rieles potenciales, no competidores.</w:t>
      </w:r>
    </w:p>
    <w:p>
      <w:r>
        <w:br w:type="page"/>
      </w:r>
    </w:p>
    <w:p>
      <w:pPr>
        <w:pStyle w:val="Heading1"/>
      </w:pPr>
      <w:r>
        <w:t xml:space="preserve">4. Nivel Colombia: el mapa local detallado</w:t>
      </w:r>
    </w:p>
    <w:p>
      <w:pPr>
        <w:pStyle w:val="Heading2"/>
      </w:pPr>
      <w:r>
        <w:t xml:space="preserve">4.1 La aceptación hoy (los números de la calle)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Binance Pay </w:t>
      </w:r>
      <w:r>
        <w:t xml:space="preserve">registró más de 500 locales aceptando cripto en Colombia (mayo 2025, CriptoNoticias) — desde barberías y restaurantes hasta cadenas.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La DIAN contabilizó 680 establecimientos </w:t>
      </w:r>
      <w:r>
        <w:t xml:space="preserve">que aceptan pagos con cripto (177 solo en Bogotá) — dato de 2024 (Portafolio).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BTCmaps </w:t>
      </w:r>
      <w:r>
        <w:t xml:space="preserve">registra 100+ comercios aceptando específicamente Bitcoin, impulsados por iniciativas como Trokera y la fundación Satoshi Team, que trabajan en reducir las barreras técnicas de aceptación (CriptoNoticias, 2026).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Vía Bitrefill </w:t>
      </w:r>
      <w:r>
        <w:t xml:space="preserve">(gift cards con cripto) los usuarios ya “pagan” indirectamente en Rappi, Éxito, McDonald's, Netflix, etc. — un sustituto imperfecto que demuestra la demanda de gastar cripto.</w:t>
      </w:r>
    </w:p>
    <w:p>
      <w:pPr>
        <w:pBdr>
          <w:left w:val="single" w:color="1F4E79" w:sz="18"/>
        </w:pBdr>
        <w:shd w:fill="EEF3F8" w:val="clear"/>
        <w:spacing w:after="160" w:before="120" w:line="276"/>
        <w:ind w:left="200" w:right="200"/>
      </w:pPr>
      <w:r>
        <w:rPr>
          <w:b/>
          <w:bCs/>
        </w:rPr>
        <w:t xml:space="preserve">Lectura: </w:t>
      </w:r>
      <w:r>
        <w:t xml:space="preserve">cientos de comercios en un país con ~500.000+ establecimientos formales = adopción del 0,1%. El mercado está sembrado (hay pioneros, hay demanda demostrada) pero vacío (nadie ha escalado la aceptación).</w:t>
      </w:r>
    </w:p>
    <w:p>
      <w:pPr>
        <w:pStyle w:val="Heading2"/>
      </w:pPr>
      <w:r>
        <w:t xml:space="preserve">4.2 Los jugadores colombianos y quién hace qué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900"/>
        <w:gridCol w:w="3700"/>
        <w:gridCol w:w="376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Jugador</w:t>
            </w:r>
          </w:p>
        </w:tc>
        <w:tc>
          <w:tcPr>
            <w:tcW w:type="dxa" w:w="37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Qué hace</w:t>
            </w:r>
          </w:p>
        </w:tc>
        <w:tc>
          <w:tcPr>
            <w:tcW w:type="dxa" w:w="376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Relación con nosotros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Payválida</w:t>
            </w:r>
          </w:p>
        </w:tc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Pasarela colombiana que ya ofrece botón/QR cripto con liquidación en COP al banco del comercio; acepta Binance Pay, MetaMask, Trust Wallet; integra WooCommerce/Shopify/VTEX</w:t>
            </w:r>
          </w:p>
        </w:tc>
        <w:tc>
          <w:tcPr>
            <w:tcW w:type="dxa" w:w="3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EL COMPETIDOR MÁS DIRECTO identificado. Fortaleza: integración e-commerce. Debilidad aparente: enfoque online, no la calle ni el comercio físico pequeño</w:t>
            </w:r>
          </w:p>
        </w:tc>
      </w:tr>
      <w:tr>
        <w:tc>
          <w:tcPr>
            <w:tcW w:type="dxa" w:w="1900"/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Wenia (Bancolombia)</w:t>
            </w:r>
          </w:p>
        </w:tc>
        <w:tc>
          <w:tcPr>
            <w:tcW w:type="dxa" w:w="3700"/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Exchange del grupo Bancolombia; stablecoin COPW 1:1 con el peso (prueba de reservas con Chainlink); compra vía Nequi; Wenia Card Mastercard</w:t>
            </w:r>
          </w:p>
        </w:tc>
        <w:tc>
          <w:tcPr>
            <w:tcW w:type="dxa" w:w="3760"/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Compite por el pagador (ruta tarjeta), no por el comercio. Podría ser proveedor/aliado de conversión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Minteo (COPM)</w:t>
            </w:r>
          </w:p>
        </w:tc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Stablecoin del peso colombiano sobre Celo, 200.000+ holders, auditada mensualmente (BDO); API para emitir/redimir</w:t>
            </w:r>
          </w:p>
        </w:tc>
        <w:tc>
          <w:tcPr>
            <w:tcW w:type="dxa" w:w="3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Proveedor potencial de rampa, no competidor</w:t>
            </w:r>
          </w:p>
        </w:tc>
      </w:tr>
      <w:tr>
        <w:tc>
          <w:tcPr>
            <w:tcW w:type="dxa" w:w="1900"/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Trokera + Satoshi Team</w:t>
            </w:r>
          </w:p>
        </w:tc>
        <w:tc>
          <w:tcPr>
            <w:tcW w:type="dxa" w:w="3700"/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Onboarding de comercios a Bitcoin (comunidad/educación)</w:t>
            </w:r>
          </w:p>
        </w:tc>
        <w:tc>
          <w:tcPr>
            <w:tcW w:type="dxa" w:w="3760"/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Validan la tesis; posibles aliados de comunidad. Enfoque BTC, sin producto de plataforma completo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PWC (PayWithCrypto)</w:t>
            </w:r>
          </w:p>
        </w:tc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Startup local: QR de cobro cripto + retiro a banco colombiano + tarjeta</w:t>
            </w:r>
          </w:p>
        </w:tc>
        <w:tc>
          <w:tcPr>
            <w:tcW w:type="dxa" w:w="3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Competidor emergente pequeño; propuesta similar pero aparentemente con custodia propia — modelo regulatorio más pesado</w:t>
            </w:r>
          </w:p>
        </w:tc>
      </w:tr>
      <w:tr>
        <w:tc>
          <w:tcPr>
            <w:tcW w:type="dxa" w:w="1900"/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Buda, Bitso, CryptoMarket, Vurelo</w:t>
            </w:r>
          </w:p>
        </w:tc>
        <w:tc>
          <w:tcPr>
            <w:tcW w:type="dxa" w:w="3700"/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Exchanges/plataformas de trading y remesas</w:t>
            </w:r>
          </w:p>
        </w:tc>
        <w:tc>
          <w:tcPr>
            <w:tcW w:type="dxa" w:w="3760"/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Lado del pagador y conversión; proveedores potenciales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Mural Pay, Koywe, Cobre, VelaFi</w:t>
            </w:r>
          </w:p>
        </w:tc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Infraestructura B2B de stablecoins/pagos transfronterizos con presencia en Colombia</w:t>
            </w:r>
          </w:p>
        </w:tc>
        <w:tc>
          <w:tcPr>
            <w:tcW w:type="dxa" w:w="3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Proveedores de rampa candidatos (el “enchufe” de nuestro modelo)</w:t>
            </w:r>
          </w:p>
        </w:tc>
      </w:tr>
      <w:tr>
        <w:tc>
          <w:tcPr>
            <w:tcW w:type="dxa" w:w="1900"/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Oobit (respaldada por Tether)</w:t>
            </w:r>
          </w:p>
        </w:tc>
        <w:tc>
          <w:tcPr>
            <w:tcW w:type="dxa" w:w="3700"/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Tarjeta cripto tap&amp;pay que paga al comercio en COP vía red Visa</w:t>
            </w:r>
          </w:p>
        </w:tc>
        <w:tc>
          <w:tcPr>
            <w:tcW w:type="dxa" w:w="3760"/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Ruta A (tarjeta): compite por el pagador, no crea red de comercios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Bitget Wallet</w:t>
            </w:r>
          </w:p>
        </w:tc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Anunció pagos QR con stablecoins sobre Bre-B</w:t>
            </w:r>
          </w:p>
        </w:tc>
        <w:tc>
          <w:tcPr>
            <w:tcW w:type="dxa" w:w="3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La amenaza internacional a vigilar: mismo espacio conceptual, llegando por el lado de la wallet</w:t>
            </w:r>
          </w:p>
        </w:tc>
      </w:tr>
      <w:tr>
        <w:tc>
          <w:tcPr>
            <w:tcW w:type="dxa" w:w="1900"/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Bold, Wompi, PayU</w:t>
            </w:r>
          </w:p>
        </w:tc>
        <w:tc>
          <w:tcPr>
            <w:tcW w:type="dxa" w:w="3700"/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Pasarelas tradicionales líderes</w:t>
            </w:r>
          </w:p>
        </w:tc>
        <w:tc>
          <w:tcPr>
            <w:tcW w:type="dxa" w:w="3760"/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Aún sin cripto (sin evidencia encontrada); competidores potenciales si lo añaden — o compradores naturales</w:t>
            </w:r>
          </w:p>
        </w:tc>
      </w:tr>
    </w:tbl>
    <w:p>
      <w:pPr>
        <w:pStyle w:val="Heading2"/>
      </w:pPr>
      <w:r>
        <w:t xml:space="preserve">4.3 El factor Bre-B (crítico, ventana de tiempo)</w:t>
      </w:r>
    </w:p>
    <w:p>
      <w:pPr>
        <w:spacing w:after="120" w:line="276"/>
      </w:pPr>
      <w:r>
        <w:t xml:space="preserve">Colombia lanzó Bre-B, su sistema de pagos instantáneos interoperables (el “Pix colombiano”). Todo el aprendizaje regional dice que la convergencia stablecoin + riel nacional es el punto final del juego — Brasil ya lo demostró. Que Bitget Wallet ya haya anunciado integración con Bre-B confirma que la carrera en Colombia ya empezó.</w:t>
      </w:r>
    </w:p>
    <w:p>
      <w:pPr>
        <w:pBdr>
          <w:left w:val="single" w:color="1F4E79" w:sz="18"/>
        </w:pBdr>
        <w:shd w:fill="EEF3F8" w:val="clear"/>
        <w:spacing w:after="160" w:before="120" w:line="276"/>
        <w:ind w:left="200" w:right="200"/>
      </w:pPr>
      <w:r>
        <w:rPr>
          <w:b/>
          <w:bCs/>
        </w:rPr>
        <w:t xml:space="preserve">Implicación de diseño: </w:t>
      </w:r>
      <w:r>
        <w:t xml:space="preserve">nuestro puerto de proveedor debe contemplar, a mediano plazo, la liquidación al comercio vía Bre-B (a través del proveedor de rampa) — velocidad de liquidación como ventaja competitiva.</w:t>
      </w:r>
    </w:p>
    <w:p>
      <w:r>
        <w:br w:type="page"/>
      </w:r>
    </w:p>
    <w:p>
      <w:pPr>
        <w:pStyle w:val="Heading1"/>
      </w:pPr>
      <w:r>
        <w:t xml:space="preserve">5. Síntesis: el hueco que nadie ocupa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4400"/>
        <w:gridCol w:w="1500"/>
        <w:gridCol w:w="3460"/>
      </w:tblGrid>
      <w:tr>
        <w:trPr>
          <w:tblHeader/>
        </w:trPr>
        <w:tc>
          <w:tcPr>
            <w:tcW w:type="dxa" w:w="44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Capa del problema</w:t>
            </w:r>
          </w:p>
        </w:tc>
        <w:tc>
          <w:tcPr>
            <w:tcW w:type="dxa" w:w="15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¿Resuelto?</w:t>
            </w:r>
          </w:p>
        </w:tc>
        <w:tc>
          <w:tcPr>
            <w:tcW w:type="dxa" w:w="346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¿Por quién?</w:t>
            </w:r>
          </w:p>
        </w:tc>
      </w:tr>
      <w:tr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Infraestructura de conversión cripto↔COP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W w:type="dxa" w:w="3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Exchanges, rampas, stablecoins locales</w:t>
            </w:r>
          </w:p>
        </w:tc>
      </w:tr>
      <w:tr>
        <w:tc>
          <w:tcPr>
            <w:tcW w:type="dxa" w:w="4400"/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Riel de pago del usuario Binance</w:t>
            </w:r>
          </w:p>
        </w:tc>
        <w:tc>
          <w:tcPr>
            <w:tcW w:type="dxa" w:w="1500"/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W w:type="dxa" w:w="3460"/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Binance Pay</w:t>
            </w:r>
          </w:p>
        </w:tc>
      </w:tr>
      <w:tr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Riel de pago wallet/on-chain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W w:type="dxa" w:w="3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Stablecoins + rampas</w:t>
            </w:r>
          </w:p>
        </w:tc>
      </w:tr>
      <w:tr>
        <w:tc>
          <w:tcPr>
            <w:tcW w:type="dxa" w:w="4400"/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Gasto vía tarjeta (lado pagador)</w:t>
            </w:r>
          </w:p>
        </w:tc>
        <w:tc>
          <w:tcPr>
            <w:tcW w:type="dxa" w:w="1500"/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W w:type="dxa" w:w="3460"/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Wenia Card, Oobit, Lemon, Binance Card</w:t>
            </w:r>
          </w:p>
        </w:tc>
      </w:tr>
      <w:tr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Checkout cripto para e-commerce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Parcial</w:t>
            </w:r>
          </w:p>
        </w:tc>
        <w:tc>
          <w:tcPr>
            <w:tcW w:type="dxa" w:w="3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Payválida, pasarelas globales</w:t>
            </w:r>
          </w:p>
        </w:tc>
      </w:tr>
      <w:tr>
        <w:tc>
          <w:tcPr>
            <w:tcW w:type="dxa" w:w="4400"/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ÚLTIMA MILLA del comercio físico pequeño: venta presencial, onboarding en minutos, soporte local, reportes contables, directorio, educación</w:t>
            </w:r>
          </w:p>
        </w:tc>
        <w:tc>
          <w:tcPr>
            <w:tcW w:type="dxa" w:w="1500"/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3460"/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Nadie a escala — NUESTRO ESPACIO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El estado del arte confirma la tesis del proyecto: </w:t>
      </w:r>
      <w:r>
        <w:t xml:space="preserve">todos los componentes existen (por eso nuestro modelo es orquestar, no construir infraestructura), la demanda está demostrada (millones de holders, cientos de comercios pioneros, sustitutos imperfectos como Bitrefill), y el hueco es exactamente el que identificamos — la distribución y experiencia local para el comercio pequeño, el mismo hueco que Bold y Wompi explotaron con los datáfonos frente a los bancos.</w:t>
      </w:r>
    </w:p>
    <w:p>
      <w:r>
        <w:br w:type="page"/>
      </w:r>
    </w:p>
    <w:p>
      <w:pPr>
        <w:pStyle w:val="Heading1"/>
      </w:pPr>
      <w:r>
        <w:t xml:space="preserve">6. Implicaciones estratégicas</w:t>
      </w:r>
    </w:p>
    <w:p>
      <w:pPr>
        <w:pStyle w:val="Heading2"/>
      </w:pPr>
      <w:r>
        <w:t xml:space="preserve">Se confirma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El modelo de orquestación sin custodia es el correcto: </w:t>
      </w:r>
      <w:r>
        <w:t xml:space="preserve">hasta los gigantes (Stripe) liquidan en fiat vía terceros; el valor está en la experiencia, no en tocar el dinero.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Stablecoins &gt; Bitcoin para pagos: </w:t>
      </w:r>
      <w:r>
        <w:t xml:space="preserve">priorizar USDT/USDC (y evaluar COPM/COPW) en el riel on-chain post-MVP.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Binance Pay como primer riel: </w:t>
      </w:r>
      <w:r>
        <w:t xml:space="preserve">es el riel con más usuarios en Colombia y ya tiene 500+ comercios — validación directa.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La educación como producto: </w:t>
      </w:r>
      <w:r>
        <w:t xml:space="preserve">el dato brasileño (26M holders, 26% ha pagado) demuestra que el cuello de botella es usabilidad + hábito, no tenencia.</w:t>
      </w:r>
    </w:p>
    <w:p>
      <w:pPr>
        <w:pStyle w:val="Heading2"/>
      </w:pPr>
      <w:r>
        <w:t xml:space="preserve">Se ajusta o se agrega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Vigilar a Payválida de cerca </w:t>
      </w:r>
      <w:r>
        <w:t xml:space="preserve">(el competidor más parecido): estudiar su pricing, su onboarding y su cobertura física real. Nuestro diferencial debe ser la calle y el comercio pequeño, donde una pasarela orientada a integraciones no compite bien.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Bre-B entra al roadmap </w:t>
      </w:r>
      <w:r>
        <w:t xml:space="preserve">(mediano plazo): liquidación instantánea al comercio vía el proveedor será un argumento de venta y una defensa frente a wallets internacionales que lleguen por arriba.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Wenia y Minteo como aliados potenciales, no rivales: </w:t>
      </w:r>
      <w:r>
        <w:t xml:space="preserve">explorar COPW/COPM como rieles de conversión puede dar ventaja regulatoria (jugadores locales, auditados) y narrativa (“pesos digitales colombianos”).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La ruta tarjeta no es enemigo directo </w:t>
      </w:r>
      <w:r>
        <w:t xml:space="preserve">pero sí un sustituto para el pagador: nuestro directorio + comisiones menores al comercio + relación local son la respuesta.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Ventana de tiempo: 12-24 meses. </w:t>
      </w:r>
      <w:r>
        <w:t xml:space="preserve">La convergencia con rieles nacionales y la entrada de jugadores internacionales ya comenzó. La velocidad del piloto importa.</w:t>
      </w:r>
    </w:p>
    <w:p>
      <w:r>
        <w:br w:type="page"/>
      </w:r>
    </w:p>
    <w:p>
      <w:pPr>
        <w:pStyle w:val="Heading1"/>
      </w:pPr>
      <w:r>
        <w:t xml:space="preserve">7. Para el pitch a inversionistas</w:t>
      </w:r>
    </w:p>
    <w:p>
      <w:pPr>
        <w:pBdr>
          <w:left w:val="single" w:color="1F4E79" w:sz="18"/>
        </w:pBdr>
        <w:shd w:fill="EEF3F8" w:val="clear"/>
        <w:spacing w:after="160" w:before="120" w:line="276"/>
        <w:ind w:left="200" w:right="200"/>
      </w:pPr>
      <w:r>
        <w:rPr>
          <w:i/>
          <w:iCs/>
        </w:rPr>
        <w:t xml:space="preserve">“El mercado global de pasarelas cripto crece al 21% anual y los gigantes ya entraron — pero solo al e-commerce de EE.UU. y Europa. En LatAm, Brasil demostró el modelo (stablecoins sobre el riel nacional de pagos) y en Colombia todos los ingredientes ya existen: 6 millones de usuarios, 500+ comercios pioneros con Binance Pay, stablecoins de peso colombiano y el nuevo sistema Bre-B. Lo único que no existe es quien lleve esto al comercio de barrio con venta presencial, soporte local y reportes para el contador. Esa última milla fue exactamente donde Bold y Wompi construyeron sus negocios frente a los bancos — y es donde nosotros estamos construyendo el nuestro, con una ventana de 12-24 meses.”</w:t>
      </w:r>
    </w:p>
    <w:p>
      <w:pPr>
        <w:spacing w:after="60"/>
      </w:pPr>
    </w:p>
    <w:p>
      <w:pPr>
        <w:pStyle w:val="Heading2"/>
      </w:pPr>
      <w:r>
        <w:t xml:space="preserve">Fuentes principales</w:t>
      </w:r>
    </w:p>
    <w:p>
      <w:pPr>
        <w:spacing w:after="120" w:line="276"/>
      </w:pPr>
      <w:r>
        <w:rPr>
          <w:sz w:val="20"/>
          <w:szCs w:val="20"/>
        </w:rPr>
        <w:t xml:space="preserve">Chainalysis (Geography of Cryptocurrency / LatAm 2025) · Cámara Colombiana de Comercio Electrónico / Vurelo · CriptoNoticias · Portafolio · The Coin Republic · Mobile Money LatAm · DiarioBitcoin · Forbes Argentina · El Cronista · Binance Blog · Bancolombia/Wenia (sitio oficial) · Mural Pay · Spark Research · FXC Intelligence · Cobo/StablecoinInsider · ChangeHero. </w:t>
      </w:r>
      <w:r>
        <w:rPr>
          <w:i/>
          <w:iCs/>
          <w:sz w:val="20"/>
          <w:szCs w:val="20"/>
        </w:rPr>
        <w:t xml:space="preserve">Documento de trabajo: verificar cifras puntuales antes de usarlas en materiales públicos.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  <w:lvl w:ilvl="1" w15:tentative="1">
      <w:start w:val="1"/>
      <w:numFmt w:val="bullet"/>
      <w:lvlText w:val="◦"/>
      <w:lvlJc w:val="left"/>
      <w:pPr>
        <w:ind w:left="84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/>
    </w:pPr>
    <w:rPr>
      <w:rFonts w:ascii="Calibri" w:cs="Calibri" w:eastAsia="Calibri" w:hAnsi="Calibri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  <w:color w:val="1F4E79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200"/>
    </w:pPr>
    <w:rPr>
      <w:rFonts w:ascii="Calibri" w:cs="Calibri" w:eastAsia="Calibri" w:hAnsi="Calibri"/>
      <w:b/>
      <w:bCs/>
      <w:color w:val="2E2E2E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2026-07-06T22:13:15.964Z</dcterms:created>
  <dcterms:modified xsi:type="dcterms:W3CDTF">2026-07-06T22:13:15.981Z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