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450A3" w14:textId="77777777" w:rsidR="008D306E" w:rsidRDefault="008D306E">
      <w:pPr>
        <w:spacing w:after="2200"/>
      </w:pPr>
    </w:p>
    <w:p w14:paraId="22565ED9" w14:textId="77777777" w:rsidR="008D306E" w:rsidRDefault="00000000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>Plan Maestro del Proyecto</w:t>
      </w:r>
    </w:p>
    <w:p w14:paraId="6681784E" w14:textId="77777777" w:rsidR="008D306E" w:rsidRDefault="00000000">
      <w:pPr>
        <w:spacing w:after="480"/>
        <w:jc w:val="center"/>
      </w:pPr>
      <w:r>
        <w:rPr>
          <w:color w:val="595959"/>
          <w:sz w:val="30"/>
          <w:szCs w:val="30"/>
        </w:rPr>
        <w:t>Pasarela de Pagos Cripto → Pesos para Comercios en Colombia</w:t>
      </w:r>
    </w:p>
    <w:p w14:paraId="0FF14180" w14:textId="77777777" w:rsidR="008D306E" w:rsidRDefault="00000000">
      <w:pPr>
        <w:spacing w:after="240"/>
        <w:jc w:val="center"/>
      </w:pPr>
      <w:r>
        <w:rPr>
          <w:i/>
          <w:iCs/>
          <w:color w:val="595959"/>
        </w:rPr>
        <w:t>Documento integral para inversionistas y socios potenciales: dimensiones comercial, financiera, legal, administrativa, de mercadeo, funcional y técnica — con la parte técnica explicada en lenguaje no técnico.</w:t>
      </w:r>
    </w:p>
    <w:p w14:paraId="356A73F6" w14:textId="77777777" w:rsidR="008D306E" w:rsidRDefault="00000000">
      <w:pPr>
        <w:jc w:val="center"/>
      </w:pPr>
      <w:r>
        <w:rPr>
          <w:color w:val="595959"/>
          <w:sz w:val="20"/>
          <w:szCs w:val="20"/>
        </w:rPr>
        <w:t>Versión 1.0 — Documento de trabajo · Confidencial</w:t>
      </w:r>
    </w:p>
    <w:p w14:paraId="4FEF8181" w14:textId="77777777" w:rsidR="008D306E" w:rsidRDefault="00000000">
      <w:r>
        <w:br w:type="page"/>
      </w:r>
    </w:p>
    <w:p w14:paraId="3248033D" w14:textId="77777777" w:rsidR="008D306E" w:rsidRDefault="00000000">
      <w:pPr>
        <w:pStyle w:val="Ttulo1"/>
      </w:pPr>
      <w:r>
        <w:lastRenderedPageBreak/>
        <w:t>1. El negocio en una página</w:t>
      </w:r>
    </w:p>
    <w:p w14:paraId="0FB0F8AE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El problema: </w:t>
      </w:r>
      <w:r>
        <w:t>cerca de 6 millones de colombianos tienen criptomonedas, pero casi ningún comercio las acepta. Ese dinero no tiene dónde gastarse sin fricción.</w:t>
      </w:r>
    </w:p>
    <w:p w14:paraId="1340E38F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La solución: </w:t>
      </w:r>
      <w:r>
        <w:t xml:space="preserve">una plataforma que permite a cualquier comercio cobrar en cripto mostrando un QR y recibir pesos colombianos en su cuenta. El comercio nunca toca criptomonedas, no asume volatilidad y no necesita saber nada del tema. Tan simple como cobrar con </w:t>
      </w:r>
      <w:proofErr w:type="spellStart"/>
      <w:r>
        <w:t>Nequi</w:t>
      </w:r>
      <w:proofErr w:type="spellEnd"/>
      <w:r>
        <w:t>.</w:t>
      </w:r>
    </w:p>
    <w:p w14:paraId="3B66AF34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Cómo ganamos dinero: </w:t>
      </w:r>
      <w:r>
        <w:t>comisión del ~2–2.5% por transacción al comercio (comparable al costo de un datáfono). Nuestro margen neto: ~1–1.5% tras pagar al proveedor que hace la conversión.</w:t>
      </w:r>
    </w:p>
    <w:p w14:paraId="6D5C37F4" w14:textId="77777777" w:rsidR="008D306E" w:rsidRDefault="00000000">
      <w:pPr>
        <w:pBdr>
          <w:left w:val="single" w:sz="18" w:space="0" w:color="1F4E79"/>
        </w:pBdr>
        <w:shd w:val="clear" w:color="auto" w:fill="EEF3F8"/>
        <w:spacing w:before="120" w:after="160" w:line="276" w:lineRule="auto"/>
        <w:ind w:left="200" w:right="200"/>
      </w:pPr>
      <w:r>
        <w:rPr>
          <w:b/>
          <w:bCs/>
        </w:rPr>
        <w:t xml:space="preserve">La clave del modelo: nunca custodiamos dinero ni cripto de nadie. </w:t>
      </w:r>
      <w:r>
        <w:t>Somos software que conecta las piezas; la conversión y la entrega de pesos al comercio las hace un proveedor financiero regulado. Esto hace el negocio liviano en capital, mínimo en riesgo regulatorio y limpio tributariamente.</w:t>
      </w:r>
    </w:p>
    <w:p w14:paraId="05DB7239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El momento: </w:t>
      </w:r>
      <w:r>
        <w:t xml:space="preserve">Colombia es el quinto mercado cripto de América Latina (US$44.200 millones movidos en un año según </w:t>
      </w:r>
      <w:proofErr w:type="spellStart"/>
      <w:r>
        <w:t>Chainalysis</w:t>
      </w:r>
      <w:proofErr w:type="spellEnd"/>
      <w:r>
        <w:t xml:space="preserve">), la adopción crece, las </w:t>
      </w:r>
      <w:proofErr w:type="spellStart"/>
      <w:r>
        <w:t>stablecoins</w:t>
      </w:r>
      <w:proofErr w:type="spellEnd"/>
      <w:r>
        <w:t xml:space="preserve"> dominan, y la infraestructura para convertir cripto a pesos ya existe. Falta quien la haga accesible al comercio de barrio. Ese es el espacio que ocupamos — el mismo patrón con el que Bold y </w:t>
      </w:r>
      <w:proofErr w:type="spellStart"/>
      <w:r>
        <w:t>Wompi</w:t>
      </w:r>
      <w:proofErr w:type="spellEnd"/>
      <w:r>
        <w:t xml:space="preserve"> ganaron con los datáfonos.</w:t>
      </w:r>
    </w:p>
    <w:p w14:paraId="4EB99B72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El fundador: </w:t>
      </w:r>
      <w:r>
        <w:t>arquitecto de software con experiencia en plataformas de pago empresariales y administrador de empresas de la Universidad Nacional — construye la tecnología, entiende el negocio y sabe educar al mercado (7+ años como instructor).</w:t>
      </w:r>
    </w:p>
    <w:p w14:paraId="418D3ABB" w14:textId="77777777" w:rsidR="008D306E" w:rsidRDefault="00000000">
      <w:r>
        <w:br w:type="page"/>
      </w:r>
    </w:p>
    <w:p w14:paraId="6212FB5D" w14:textId="77777777" w:rsidR="008D306E" w:rsidRDefault="00000000">
      <w:pPr>
        <w:pStyle w:val="Ttulo1"/>
      </w:pPr>
      <w:r>
        <w:lastRenderedPageBreak/>
        <w:t>2. Dimensión funcional: qué hace el producto</w:t>
      </w:r>
    </w:p>
    <w:p w14:paraId="0D41FA0D" w14:textId="77777777" w:rsidR="008D306E" w:rsidRDefault="00000000">
      <w:pPr>
        <w:pStyle w:val="Ttulo2"/>
      </w:pPr>
      <w:r>
        <w:t>La experiencia del comercio (nuestro cliente)</w:t>
      </w:r>
    </w:p>
    <w:p w14:paraId="37228157" w14:textId="77777777" w:rsidR="008D306E" w:rsidRDefault="00000000">
      <w:pPr>
        <w:spacing w:after="120" w:line="276" w:lineRule="auto"/>
      </w:pPr>
      <w:r>
        <w:t>María tiene una barbería en Chapinero. Se registró en la plataforma en 10 minutos desde su celular: datos del negocio, su cuenta de ahorros, listo. Al día siguiente quedó verificada.</w:t>
      </w:r>
    </w:p>
    <w:p w14:paraId="41C8BE6C" w14:textId="77777777" w:rsidR="008D306E" w:rsidRDefault="00000000">
      <w:pPr>
        <w:spacing w:after="120" w:line="276" w:lineRule="auto"/>
      </w:pPr>
      <w:r>
        <w:t xml:space="preserve">Un cliente le pregunta: </w:t>
      </w:r>
      <w:r>
        <w:rPr>
          <w:i/>
          <w:iCs/>
        </w:rPr>
        <w:t>“¿puedo pagar con cripto?”</w:t>
      </w:r>
      <w:r>
        <w:t xml:space="preserve">. María abre la página de cobro en su celular, digita </w:t>
      </w:r>
      <w:r>
        <w:rPr>
          <w:b/>
          <w:bCs/>
        </w:rPr>
        <w:t>$40.000</w:t>
      </w:r>
      <w:r>
        <w:t xml:space="preserve">, y aparece un código QR. El cliente lo escanea desde su app de </w:t>
      </w:r>
      <w:proofErr w:type="spellStart"/>
      <w:r>
        <w:t>Binance</w:t>
      </w:r>
      <w:proofErr w:type="spellEnd"/>
      <w:r>
        <w:t xml:space="preserve">, confirma, y en la pantalla de María aparece </w:t>
      </w:r>
      <w:r>
        <w:rPr>
          <w:b/>
          <w:bCs/>
        </w:rPr>
        <w:t>“PAGADO ✓”</w:t>
      </w:r>
      <w:r>
        <w:t xml:space="preserve"> en segundos. Los pesos llegan a su cuenta según el ciclo de liquidación, y en su panel queda el registro de la venta con su comprobante — listo para el contador a fin de mes.</w:t>
      </w:r>
    </w:p>
    <w:p w14:paraId="4D3E0A94" w14:textId="77777777" w:rsidR="008D306E" w:rsidRDefault="00000000">
      <w:pPr>
        <w:pBdr>
          <w:left w:val="single" w:sz="18" w:space="0" w:color="1F4E79"/>
        </w:pBdr>
        <w:shd w:val="clear" w:color="auto" w:fill="EEF3F8"/>
        <w:spacing w:before="120" w:after="160" w:line="276" w:lineRule="auto"/>
        <w:ind w:left="200" w:right="200"/>
      </w:pPr>
      <w:r>
        <w:t>María nunca vio una criptomoneda. Solo vendió un corte más.</w:t>
      </w:r>
    </w:p>
    <w:p w14:paraId="6028A555" w14:textId="77777777" w:rsidR="008D306E" w:rsidRDefault="00000000">
      <w:pPr>
        <w:pStyle w:val="Ttulo2"/>
      </w:pPr>
      <w:r>
        <w:t>La experiencia del pagador (nuestro usuario)</w:t>
      </w:r>
    </w:p>
    <w:p w14:paraId="125B985B" w14:textId="77777777" w:rsidR="008D306E" w:rsidRDefault="00000000">
      <w:pPr>
        <w:spacing w:after="120" w:line="276" w:lineRule="auto"/>
      </w:pPr>
      <w:r>
        <w:t>Andrés recibió parte de su salario freelance en USDT. Antes, para gastarlo, tenía que venderlo por P2P, esperar la transferencia, y recién entonces comprar. Ahora abre el directorio de la plataforma, ve qué comercios cercanos aceptan cripto, va a la barbería de María, escanea y paga en 20 segundos.</w:t>
      </w:r>
    </w:p>
    <w:p w14:paraId="5EF092CE" w14:textId="77777777" w:rsidR="008D306E" w:rsidRDefault="00000000">
      <w:pPr>
        <w:pStyle w:val="Ttulo2"/>
      </w:pPr>
      <w:r>
        <w:t>Funcionalidades del producto (MVP)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D306E" w14:paraId="4323E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C812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2F36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8D306E" w14:paraId="05EC0C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BF94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Registro y verificación de comercios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6B81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Alta en minutos; verificación con aprobación de un administrador</w:t>
            </w:r>
          </w:p>
        </w:tc>
      </w:tr>
      <w:tr w:rsidR="008D306E" w14:paraId="61C8CC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A643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Cobro por QR</w:t>
            </w:r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2B10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comercio digita el monto; el sistema genera el QR/link con expiración</w:t>
            </w:r>
          </w:p>
        </w:tc>
      </w:tr>
      <w:tr w:rsidR="008D306E" w14:paraId="6D25DC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9D60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Link de pago por WhatsApp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2633C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mismo cobro, enviado como link — clave para ventas por WhatsApp</w:t>
            </w:r>
          </w:p>
        </w:tc>
      </w:tr>
      <w:tr w:rsidR="008D306E" w14:paraId="4DF3A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3D59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Confirmación en tiempo real</w:t>
            </w:r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69F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“PAGADO ✓” en la pantalla del comercio en segundos</w:t>
            </w:r>
          </w:p>
        </w:tc>
      </w:tr>
      <w:tr w:rsidR="008D306E" w14:paraId="4BD842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B3EF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Registro y conciliación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86E0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Cada pago, liquidación y comisión quedan registrados y cuadrados</w:t>
            </w:r>
          </w:p>
        </w:tc>
      </w:tr>
      <w:tr w:rsidR="008D306E" w14:paraId="7F0FCA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5DDB" w14:textId="77777777" w:rsidR="008D306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del comercio</w:t>
            </w:r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8003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Ventas del día/mes, historial exportable a Excel, comprobantes</w:t>
            </w:r>
          </w:p>
        </w:tc>
      </w:tr>
      <w:tr w:rsidR="008D306E" w14:paraId="56CEC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5C04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Controles de cumplimiento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C10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Límites por transacción y por mes; registro de operaciones inusuales</w:t>
            </w:r>
          </w:p>
        </w:tc>
      </w:tr>
      <w:tr w:rsidR="008D306E" w14:paraId="1E16E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21EF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Directorio de comercios (</w:t>
            </w:r>
            <w:proofErr w:type="spellStart"/>
            <w:r>
              <w:rPr>
                <w:b/>
                <w:bCs/>
                <w:sz w:val="20"/>
                <w:szCs w:val="20"/>
              </w:rPr>
              <w:t>post-piloto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9E2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Mapa público “dónde pagar con cripto” — el imán de demanda</w:t>
            </w:r>
          </w:p>
        </w:tc>
      </w:tr>
    </w:tbl>
    <w:p w14:paraId="6FA32B3C" w14:textId="77777777" w:rsidR="008D306E" w:rsidRDefault="00000000">
      <w:pPr>
        <w:pStyle w:val="Ttulo2"/>
      </w:pPr>
      <w:r>
        <w:t>Lo que el producto NO hace (por diseño)</w:t>
      </w:r>
    </w:p>
    <w:p w14:paraId="61BE882B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No guarda ni mueve dinero de terceros (lo hace el proveedor regulado).</w:t>
      </w:r>
    </w:p>
    <w:p w14:paraId="657ABEB3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No especula ni cambia divisas por cuenta propia.</w:t>
      </w:r>
    </w:p>
    <w:p w14:paraId="30F2B424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No exige al comercio entender nada de cripto.</w:t>
      </w:r>
    </w:p>
    <w:p w14:paraId="69F59E1F" w14:textId="77777777" w:rsidR="008D306E" w:rsidRDefault="00000000">
      <w:r>
        <w:br w:type="page"/>
      </w:r>
    </w:p>
    <w:p w14:paraId="0EBFEB53" w14:textId="77777777" w:rsidR="008D306E" w:rsidRDefault="00000000">
      <w:pPr>
        <w:pStyle w:val="Ttulo1"/>
      </w:pPr>
      <w:r>
        <w:lastRenderedPageBreak/>
        <w:t>3. Dimensión comercial</w:t>
      </w:r>
    </w:p>
    <w:p w14:paraId="73B37D61" w14:textId="77777777" w:rsidR="008D306E" w:rsidRDefault="00000000">
      <w:pPr>
        <w:pStyle w:val="Ttulo2"/>
      </w:pPr>
      <w:r>
        <w:t>A quién le vendemos</w:t>
      </w:r>
    </w:p>
    <w:p w14:paraId="47DDF536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Cliente que paga: el comercio. </w:t>
      </w:r>
      <w:r>
        <w:t xml:space="preserve">Segmento inicial: negocios urbanos pequeños y medianos con clientela joven/digital — tiendas de tecnología, barberías, gastronomía de zona, gimnasios, </w:t>
      </w:r>
      <w:proofErr w:type="spellStart"/>
      <w:r>
        <w:t>freelancers</w:t>
      </w:r>
      <w:proofErr w:type="spellEnd"/>
      <w:r>
        <w:t xml:space="preserve"> — en una zona concentrada de Bogotá o Medellín.</w:t>
      </w:r>
    </w:p>
    <w:p w14:paraId="291505F0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Usuario que atrae: el pagador cripto. </w:t>
      </w:r>
      <w:r>
        <w:t>No paga por usar la plataforma; es el imán que hace que el comercio quiera estar.</w:t>
      </w:r>
    </w:p>
    <w:p w14:paraId="2691A28E" w14:textId="77777777" w:rsidR="008D306E" w:rsidRDefault="00000000">
      <w:pPr>
        <w:pStyle w:val="Ttulo2"/>
      </w:pPr>
      <w:r>
        <w:t>La propuesta de valor, en palabras del cliente</w:t>
      </w:r>
    </w:p>
    <w:p w14:paraId="3C15D74F" w14:textId="77777777" w:rsidR="008D306E" w:rsidRDefault="00000000">
      <w:pPr>
        <w:pBdr>
          <w:left w:val="single" w:sz="18" w:space="0" w:color="1F4E79"/>
        </w:pBdr>
        <w:shd w:val="clear" w:color="auto" w:fill="EEF3F8"/>
        <w:spacing w:before="120" w:after="160" w:line="276" w:lineRule="auto"/>
        <w:ind w:left="200" w:right="200"/>
      </w:pPr>
      <w:r>
        <w:rPr>
          <w:i/>
          <w:iCs/>
        </w:rPr>
        <w:t xml:space="preserve">“Me instalaron esto en una tarde. Ahora los muchachos que pagan con </w:t>
      </w:r>
      <w:proofErr w:type="spellStart"/>
      <w:r>
        <w:rPr>
          <w:i/>
          <w:iCs/>
        </w:rPr>
        <w:t>Binance</w:t>
      </w:r>
      <w:proofErr w:type="spellEnd"/>
      <w:r>
        <w:rPr>
          <w:i/>
          <w:iCs/>
        </w:rPr>
        <w:t xml:space="preserve"> me compran a mí y no al de la otra cuadra. Me llegan pesos, me cuesta lo mismo que el datáfono, y el reporte se lo mando directo al contador.”</w:t>
      </w:r>
    </w:p>
    <w:p w14:paraId="2CF1D49B" w14:textId="77777777" w:rsidR="008D306E" w:rsidRDefault="00000000">
      <w:pPr>
        <w:pStyle w:val="Ttulo2"/>
      </w:pPr>
      <w:r>
        <w:t>El modelo de venta</w:t>
      </w:r>
    </w:p>
    <w:p w14:paraId="54760F28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Venta directa presencial</w:t>
      </w:r>
      <w:r>
        <w:t xml:space="preserve"> en la fase inicial (el fundador es el primer vendedor): visita, demo en vivo, instalación el mismo día, primer mes gratis.</w:t>
      </w:r>
    </w:p>
    <w:p w14:paraId="50304AFF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Servicio puente de “instalación de cobro digital”</w:t>
      </w:r>
      <w:r>
        <w:t xml:space="preserve"> (montar al comercio su pasarela tradicional + la nuestra por una tarifa única): ingresos desde antes del lanzamiento y relación de confianza con los futuros usuarios.</w:t>
      </w:r>
    </w:p>
    <w:p w14:paraId="67B9EDD4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Referidos y prescriptores</w:t>
      </w:r>
      <w:r>
        <w:t xml:space="preserve"> (comercio trae comercio; contadores de barrio como aliados) al escalar.</w:t>
      </w:r>
    </w:p>
    <w:p w14:paraId="62E5CC02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Densidad de zona antes que dispersión:</w:t>
      </w:r>
      <w:r>
        <w:t xml:space="preserve"> saturar un barrio crea el efecto red local; luego se replica el </w:t>
      </w:r>
      <w:proofErr w:type="spellStart"/>
      <w:r>
        <w:t>playbook</w:t>
      </w:r>
      <w:proofErr w:type="spellEnd"/>
      <w:r>
        <w:t xml:space="preserve"> en la siguiente zona.</w:t>
      </w:r>
    </w:p>
    <w:p w14:paraId="24D05B72" w14:textId="77777777" w:rsidR="008D306E" w:rsidRDefault="00000000">
      <w:pPr>
        <w:pStyle w:val="Ttulo2"/>
      </w:pPr>
      <w:r>
        <w:t>Estado de la validación</w:t>
      </w:r>
    </w:p>
    <w:p w14:paraId="6850DB69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Primeros comercios contactados ya manifestaron interés en implementar la plataforma; su principal petición — “que sea fácil de implementar” — se convirtió en el requisito número uno del producto.</w:t>
      </w:r>
    </w:p>
    <w:p w14:paraId="00FE316D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En curso: encuesta estructurada a base ampliada, midiendo compromiso (quién deja sus datos para el piloto), no opiniones.</w:t>
      </w:r>
    </w:p>
    <w:p w14:paraId="32BAD3C0" w14:textId="77777777" w:rsidR="008D306E" w:rsidRDefault="00000000">
      <w:r>
        <w:br w:type="page"/>
      </w:r>
    </w:p>
    <w:p w14:paraId="445A4C96" w14:textId="77777777" w:rsidR="008D306E" w:rsidRDefault="00000000">
      <w:pPr>
        <w:pStyle w:val="Ttulo1"/>
      </w:pPr>
      <w:r>
        <w:lastRenderedPageBreak/>
        <w:t>4. Dimensión de mercadeo</w:t>
      </w:r>
    </w:p>
    <w:p w14:paraId="5738E1AE" w14:textId="77777777" w:rsidR="008D306E" w:rsidRDefault="00000000">
      <w:pPr>
        <w:pStyle w:val="Ttulo2"/>
      </w:pPr>
      <w:r>
        <w:t>El mercado en cifras (fuentes públicas)</w:t>
      </w:r>
    </w:p>
    <w:p w14:paraId="3C36C7CC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~6 millones de usuarios cripto</w:t>
      </w:r>
      <w:r>
        <w:t xml:space="preserve"> en Colombia (Cámara Colombiana de Comercio Electrónico / </w:t>
      </w:r>
      <w:proofErr w:type="spellStart"/>
      <w:r>
        <w:t>Vurelo</w:t>
      </w:r>
      <w:proofErr w:type="spellEnd"/>
      <w:r>
        <w:t>, 2026).</w:t>
      </w:r>
    </w:p>
    <w:p w14:paraId="1C9BB30E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US$44.200 millones</w:t>
      </w:r>
      <w:r>
        <w:t xml:space="preserve"> en transacciones cripto en un año — quinto mercado de Latinoamérica (</w:t>
      </w:r>
      <w:proofErr w:type="spellStart"/>
      <w:r>
        <w:t>Chainalysis</w:t>
      </w:r>
      <w:proofErr w:type="spellEnd"/>
      <w:r>
        <w:t>).</w:t>
      </w:r>
    </w:p>
    <w:p w14:paraId="1C30E0AD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Colombia #29 del mundo en adopción, subiendo 7 posiciones en un año.</w:t>
      </w:r>
    </w:p>
    <w:p w14:paraId="1A28165B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t>Stablecoins</w:t>
      </w:r>
      <w:proofErr w:type="spellEnd"/>
      <w:r>
        <w:t xml:space="preserve"> ~90% del volumen regional; más de la mitad de las compras cripto de colombianos terminan en </w:t>
      </w:r>
      <w:proofErr w:type="spellStart"/>
      <w:r>
        <w:t>stablecoins</w:t>
      </w:r>
      <w:proofErr w:type="spellEnd"/>
      <w:r>
        <w:t xml:space="preserve"> (“dolarización digital”) — el activo ideal para pagos, sin volatilidad.</w:t>
      </w:r>
    </w:p>
    <w:p w14:paraId="0EEE5BCE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US$13.098 millones en remesas en 2025 (+10,6%), flujo creciente por rieles digitales.</w:t>
      </w:r>
    </w:p>
    <w:p w14:paraId="6944B0E5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Turismo y nómadas digitales (Medellín especialmente): llegan con cripto, sin pesos.</w:t>
      </w:r>
    </w:p>
    <w:p w14:paraId="0B4330D7" w14:textId="77777777" w:rsidR="008D306E" w:rsidRDefault="00000000">
      <w:pPr>
        <w:pStyle w:val="Ttulo2"/>
      </w:pPr>
      <w:r>
        <w:t>Estrategia de marca y comunicación</w:t>
      </w:r>
    </w:p>
    <w:p w14:paraId="2BB54DF2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Al comercio nunca le hablamos de cripto en técnico. </w:t>
      </w:r>
      <w:r>
        <w:t>Promesa: “vende más, sin riesgo, sin aprender nada nuevo”.</w:t>
      </w:r>
    </w:p>
    <w:p w14:paraId="657C0C56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Al pagador: </w:t>
      </w:r>
      <w:r>
        <w:t>“tu cripto por fin sirve para comprar”.</w:t>
      </w:r>
    </w:p>
    <w:p w14:paraId="62F22DC2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educación es el marketing: guías de 20 segundos dentro de la propia página de pago; contenido corto para comunidades; el </w:t>
      </w:r>
      <w:proofErr w:type="spellStart"/>
      <w:r>
        <w:t>sticker</w:t>
      </w:r>
      <w:proofErr w:type="spellEnd"/>
      <w:r>
        <w:t xml:space="preserve"> en la puerta del comercio como valla publicitaria.</w:t>
      </w:r>
    </w:p>
    <w:p w14:paraId="7FD2689A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El directorio público de comercios es el activo central: gratuito, con efecto red, y argumento de venta para afiliar nuevos negocios.</w:t>
      </w:r>
    </w:p>
    <w:p w14:paraId="4603E92F" w14:textId="77777777" w:rsidR="008D306E" w:rsidRDefault="00000000">
      <w:pPr>
        <w:pStyle w:val="Ttulo2"/>
      </w:pPr>
      <w:r>
        <w:t>Canales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D306E" w14:paraId="1FB52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990D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Lado</w:t>
            </w:r>
          </w:p>
        </w:tc>
        <w:tc>
          <w:tcPr>
            <w:tcW w:w="6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4D8F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Canales</w:t>
            </w:r>
          </w:p>
        </w:tc>
      </w:tr>
      <w:tr w:rsidR="008D306E" w14:paraId="3D514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0622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Comercios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FD47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Venta presencial → referidos → contadores y asociaciones de zona</w:t>
            </w:r>
          </w:p>
        </w:tc>
      </w:tr>
      <w:tr w:rsidR="008D306E" w14:paraId="289B43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3F4B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Pagadores</w:t>
            </w:r>
          </w:p>
        </w:tc>
        <w:tc>
          <w:tcPr>
            <w:tcW w:w="69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2612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Directorio/mapa → comunidades cripto (</w:t>
            </w:r>
            <w:proofErr w:type="spellStart"/>
            <w:r>
              <w:rPr>
                <w:sz w:val="20"/>
                <w:szCs w:val="20"/>
              </w:rPr>
              <w:t>Telegram</w:t>
            </w:r>
            <w:proofErr w:type="spellEnd"/>
            <w:r>
              <w:rPr>
                <w:sz w:val="20"/>
                <w:szCs w:val="20"/>
              </w:rPr>
              <w:t>/X) → contenido educativo → punto de venta</w:t>
            </w:r>
          </w:p>
        </w:tc>
      </w:tr>
    </w:tbl>
    <w:p w14:paraId="6788B3B5" w14:textId="77777777" w:rsidR="008D306E" w:rsidRDefault="00000000">
      <w:r>
        <w:br w:type="page"/>
      </w:r>
    </w:p>
    <w:p w14:paraId="026308D7" w14:textId="77777777" w:rsidR="008D306E" w:rsidRDefault="00000000">
      <w:pPr>
        <w:pStyle w:val="Ttulo1"/>
      </w:pPr>
      <w:r>
        <w:lastRenderedPageBreak/>
        <w:t>5. Dimensión financiera</w:t>
      </w:r>
    </w:p>
    <w:p w14:paraId="2C56CAAB" w14:textId="77777777" w:rsidR="008D306E" w:rsidRDefault="00000000">
      <w:pPr>
        <w:pStyle w:val="Ttulo2"/>
      </w:pPr>
      <w:r>
        <w:t>Modelo de ingresos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D306E" w14:paraId="63F3F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BC32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5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8BE0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D306E" w14:paraId="70DCB5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DDDE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Comisión al comercio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565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~2.0 – 2.5% del monto por transacción</w:t>
            </w:r>
          </w:p>
        </w:tc>
      </w:tr>
      <w:tr w:rsidR="008D306E" w14:paraId="2EEB6F4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5E0E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(–) Costo proveedor de conversión</w:t>
            </w:r>
          </w:p>
        </w:tc>
        <w:tc>
          <w:tcPr>
            <w:tcW w:w="55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2A9B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~1.0%</w:t>
            </w:r>
          </w:p>
        </w:tc>
      </w:tr>
      <w:tr w:rsidR="008D306E" w14:paraId="12CF62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B64E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(=) Margen bruto de la plataforma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8FD3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~1.0 – 1.5%</w:t>
            </w:r>
          </w:p>
        </w:tc>
      </w:tr>
      <w:tr w:rsidR="008D306E" w14:paraId="217F4B8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62BE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Ingreso secundario 1</w:t>
            </w:r>
          </w:p>
        </w:tc>
        <w:tc>
          <w:tcPr>
            <w:tcW w:w="55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DA9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Tarifa única de instalación “cobro digital completo” (desde el día uno)</w:t>
            </w:r>
          </w:p>
        </w:tc>
      </w:tr>
      <w:tr w:rsidR="008D306E" w14:paraId="35AA54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C213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Ingreso secundario 2 (futuro)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1272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Suscripción premium del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>; posicionamiento en el directorio</w:t>
            </w:r>
          </w:p>
        </w:tc>
      </w:tr>
    </w:tbl>
    <w:p w14:paraId="6268C46E" w14:textId="77777777" w:rsidR="008D306E" w:rsidRDefault="00000000">
      <w:pPr>
        <w:pStyle w:val="Ttulo2"/>
      </w:pPr>
      <w:proofErr w:type="spellStart"/>
      <w:r>
        <w:t>Unit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(lógica, a calibrar con el piloto)</w:t>
      </w:r>
    </w:p>
    <w:p w14:paraId="68449423" w14:textId="77777777" w:rsidR="008D306E" w:rsidRDefault="00000000">
      <w:pPr>
        <w:spacing w:after="120" w:line="276" w:lineRule="auto"/>
      </w:pPr>
      <w:r>
        <w:t>La variable reina es el TPV (volumen total procesado). Ejemplo ilustrativo de la mecánica — no una proyección:</w:t>
      </w:r>
    </w:p>
    <w:p w14:paraId="29F3FD4D" w14:textId="77777777" w:rsidR="008D306E" w:rsidRDefault="00000000">
      <w:pPr>
        <w:pBdr>
          <w:left w:val="single" w:sz="18" w:space="0" w:color="1F4E79"/>
        </w:pBdr>
        <w:shd w:val="clear" w:color="auto" w:fill="EEF3F8"/>
        <w:spacing w:before="120" w:after="160" w:line="276" w:lineRule="auto"/>
        <w:ind w:left="200" w:right="200"/>
      </w:pPr>
      <w:r>
        <w:t>Un comercio que procese $5.000.000 COP/mes por la plataforma genera $100.000–125.000 de comisión bruta y deja $50.000–75.000 de margen. Con N comercios activos, el ingreso escala linealmente con el TPV, sin que los costos crezcan al mismo ritmo (software).</w:t>
      </w:r>
    </w:p>
    <w:p w14:paraId="10492CBF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El piloto existe precisamente para medir: </w:t>
      </w:r>
      <w:r>
        <w:t>ticket promedio real, transacciones por comercio/mes, tasa de activación y retención — los cuatro números que convierten esta lógica en proyección seria.</w:t>
      </w:r>
    </w:p>
    <w:p w14:paraId="62465096" w14:textId="77777777" w:rsidR="008D306E" w:rsidRDefault="00000000">
      <w:pPr>
        <w:pStyle w:val="Ttulo2"/>
      </w:pPr>
      <w:r>
        <w:t>Estructura de costos (liviana por diseño)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D306E" w14:paraId="572BA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62FC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Rubro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24E0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Naturaleza</w:t>
            </w:r>
          </w:p>
        </w:tc>
      </w:tr>
      <w:tr w:rsidR="008D306E" w14:paraId="76B8F9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5B0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Desarrollo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2652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Principal inversión inicial (hoy: tiempo del fundador + herramientas)</w:t>
            </w:r>
          </w:p>
        </w:tc>
      </w:tr>
      <w:tr w:rsidR="008D306E" w14:paraId="28AAB0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B1F8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Infraestructura </w:t>
            </w:r>
            <w:proofErr w:type="spellStart"/>
            <w:r>
              <w:rPr>
                <w:b/>
                <w:bCs/>
                <w:sz w:val="20"/>
                <w:szCs w:val="20"/>
              </w:rPr>
              <w:t>cloud</w:t>
            </w:r>
            <w:proofErr w:type="spellEnd"/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5221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Mínima en MVP (un servidor + base de datos gestionada)</w:t>
            </w:r>
          </w:p>
        </w:tc>
      </w:tr>
      <w:tr w:rsidR="008D306E" w14:paraId="43ABD4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29ED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Comercial y soporte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4B42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Crece con la tracción; principal destino de inversión externa</w:t>
            </w:r>
          </w:p>
        </w:tc>
      </w:tr>
      <w:tr w:rsidR="008D306E" w14:paraId="43EEE6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352D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Legal y contable</w:t>
            </w:r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D0CB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Puntual y por gatillos (ver dimensión legal)</w:t>
            </w:r>
          </w:p>
        </w:tc>
      </w:tr>
      <w:tr w:rsidR="008D306E" w14:paraId="4001B5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2FCF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Lo que NO tenemos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E2D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Tesorería, custodia, capital regulatorio, licencias financieras costosas</w:t>
            </w:r>
          </w:p>
        </w:tc>
      </w:tr>
    </w:tbl>
    <w:p w14:paraId="1C9F00EC" w14:textId="77777777" w:rsidR="008D306E" w:rsidRDefault="00000000">
      <w:pPr>
        <w:pStyle w:val="Ttulo2"/>
      </w:pPr>
      <w:r>
        <w:t>Punto de equilibrio (concepto)</w:t>
      </w:r>
    </w:p>
    <w:p w14:paraId="1AF32CA3" w14:textId="77777777" w:rsidR="008D306E" w:rsidRDefault="00000000">
      <w:pPr>
        <w:spacing w:after="120" w:line="276" w:lineRule="auto"/>
      </w:pPr>
      <w:r>
        <w:t>Con margen del ~1–1.5% del TPV, el punto de equilibrio se define por: TPV mensual × margen ≥ costos fijos mensuales. Con costos fijos deliberadamente bajos en la etapa inicial, el equilibrio operativo es alcanzable con una base modesta de comercios activos de buen ticket — y los ingresos por instalación acortan el camino.</w:t>
      </w:r>
    </w:p>
    <w:p w14:paraId="7E0426F4" w14:textId="77777777" w:rsidR="008D306E" w:rsidRDefault="00000000">
      <w:pPr>
        <w:pStyle w:val="Ttulo2"/>
      </w:pPr>
      <w:r>
        <w:lastRenderedPageBreak/>
        <w:t>Uso de fondos propuesto (estructura de prioridades)</w:t>
      </w:r>
    </w:p>
    <w:p w14:paraId="00575242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Comercial y adquisición de comercios: 40–50%</w:t>
      </w:r>
    </w:p>
    <w:p w14:paraId="30FB6BF2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Producto y desarrollo: 25–30%</w:t>
      </w:r>
    </w:p>
    <w:p w14:paraId="3868DEB6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Legal y cumplimiento: 10–15%</w:t>
      </w:r>
    </w:p>
    <w:p w14:paraId="2A34AC08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>Operación y soporte: 10–15%</w:t>
      </w:r>
    </w:p>
    <w:p w14:paraId="41B8866C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Hitos que compra la inversión: </w:t>
      </w:r>
      <w:r>
        <w:t>MVP en producción → piloto validado con métricas → 50–100 comercios activos → datos duros para siguiente ronda o rentabilidad temprana.</w:t>
      </w:r>
    </w:p>
    <w:p w14:paraId="5F09BD11" w14:textId="77777777" w:rsidR="008D306E" w:rsidRDefault="00000000">
      <w:r>
        <w:br w:type="page"/>
      </w:r>
    </w:p>
    <w:p w14:paraId="13A71B3B" w14:textId="77777777" w:rsidR="008D306E" w:rsidRDefault="00000000">
      <w:pPr>
        <w:pStyle w:val="Ttulo1"/>
      </w:pPr>
      <w:r>
        <w:lastRenderedPageBreak/>
        <w:t>6. Dimensión legal y de cumplimiento</w:t>
      </w:r>
    </w:p>
    <w:p w14:paraId="0CCC690C" w14:textId="77777777" w:rsidR="008D306E" w:rsidRDefault="00000000">
      <w:pPr>
        <w:pStyle w:val="Ttulo2"/>
      </w:pPr>
      <w:r>
        <w:t>La decisión que define todo: sin custodia</w:t>
      </w:r>
    </w:p>
    <w:p w14:paraId="18E6B732" w14:textId="77777777" w:rsidR="008D306E" w:rsidRDefault="00000000">
      <w:pPr>
        <w:spacing w:after="120" w:line="276" w:lineRule="auto"/>
      </w:pPr>
      <w:r>
        <w:t>La plataforma nunca recibe, guarda, convierte ni administra dinero o cripto de terceros. Es un proveedor tecnológico (software de orquestación), no un intermediario financiero. Consecuencias:</w:t>
      </w:r>
    </w:p>
    <w:p w14:paraId="660EB7BA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Carga regulatoria mínima: </w:t>
      </w:r>
      <w:r>
        <w:t>las obligaciones pesadas (custodia, KYC profundo, registro como proveedor de servicios de activos virtuales) recaen en el proveedor de conversión, que ya está regulado.</w:t>
      </w:r>
    </w:p>
    <w:p w14:paraId="5DAB4E1C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Limpieza tributaria: </w:t>
      </w:r>
      <w:r>
        <w:t xml:space="preserve">la SAS opera en Régimen Simple de Tributación (tributa sobre ingresos brutos). Como ningún dinero de terceros pasa por nuestras cuentas, el único ingreso es la comisión — no hay riesgo de tributar sobre dinero ajeno. Existe doctrina DIAN sobre “gestión de </w:t>
      </w:r>
      <w:proofErr w:type="spellStart"/>
      <w:r>
        <w:t>criptoactivos</w:t>
      </w:r>
      <w:proofErr w:type="spellEnd"/>
      <w:r>
        <w:t>” y el RST; la posición de la empresa — proveedor de software, sin custodia — es defendible, está documentada, y se validará con contador/abogado antes de facturar.</w:t>
      </w:r>
    </w:p>
    <w:p w14:paraId="0FE06576" w14:textId="77777777" w:rsidR="008D306E" w:rsidRDefault="00000000">
      <w:pPr>
        <w:pStyle w:val="Ttulo2"/>
      </w:pPr>
      <w:r>
        <w:t>El vehículo</w:t>
      </w:r>
    </w:p>
    <w:p w14:paraId="2EA118D0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SAS constituida (domicilio Valledupar; opera a nivel nacional), en proceso de puesta al día (renovación de matrícula; ajuste de objeto social cuando se requiera para el KYB con proveedores).</w:t>
      </w:r>
    </w:p>
    <w:p w14:paraId="7541BF32" w14:textId="77777777" w:rsidR="008D306E" w:rsidRDefault="00000000">
      <w:pPr>
        <w:pStyle w:val="Ttulo2"/>
      </w:pPr>
      <w:r>
        <w:t>El contexto regulatorio (transparencia)</w:t>
      </w:r>
    </w:p>
    <w:p w14:paraId="7650E6FC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marco cripto colombiano está en evolución: la DIAN ya obliga a las plataformas de </w:t>
      </w:r>
      <w:proofErr w:type="spellStart"/>
      <w:r>
        <w:t>criptoactivos</w:t>
      </w:r>
      <w:proofErr w:type="spellEnd"/>
      <w:r>
        <w:t xml:space="preserve"> a reportar operaciones (Resolución 000240 de 2025) y hay proyectos de ley en trámite para regular el sector.</w:t>
      </w:r>
    </w:p>
    <w:p w14:paraId="18BA3B46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Nuestra lectura: </w:t>
      </w:r>
      <w:r>
        <w:t>la regulación entrante golpea a quien custodia e intermedia; a un orquestador de software lo afecta marginalmente, y el diseño por adaptadores permite ajustarse rápido. La regulación clara además legitima el mercado y probablemente acelere la adopción por comercios — nos favorece.</w:t>
      </w:r>
    </w:p>
    <w:p w14:paraId="3B80AB4C" w14:textId="77777777" w:rsidR="008D306E" w:rsidRDefault="00000000">
      <w:pPr>
        <w:pStyle w:val="Ttulo2"/>
      </w:pPr>
      <w:r>
        <w:t>Cumplimiento propio desde el día uno (proporcional)</w:t>
      </w:r>
    </w:p>
    <w:p w14:paraId="5238454B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Límites por transacción y por comercio/mes; bitácora de operaciones inusuales.</w:t>
      </w:r>
    </w:p>
    <w:p w14:paraId="53C74169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Verificación básica de comercios (RUT, cámara de comercio, representante legal); el KYC del pagador lo hace el proveedor.</w:t>
      </w:r>
    </w:p>
    <w:p w14:paraId="1E2539F4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Protección de datos (Ley 1581): política de tratamiento y autorizaciones.</w:t>
      </w:r>
    </w:p>
    <w:p w14:paraId="152D1332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Contratos clave revisados por abogado </w:t>
      </w:r>
      <w:proofErr w:type="spellStart"/>
      <w:r>
        <w:t>fintech</w:t>
      </w:r>
      <w:proofErr w:type="spellEnd"/>
      <w:r>
        <w:t xml:space="preserve"> antes de mover dinero real: contrato con comercios, términos del pagador, acuerdo con proveedor.</w:t>
      </w:r>
    </w:p>
    <w:p w14:paraId="7D461890" w14:textId="77777777" w:rsidR="008D306E" w:rsidRDefault="00000000">
      <w:pPr>
        <w:pStyle w:val="Ttulo2"/>
      </w:pPr>
      <w:r>
        <w:t>Gatillos legales (el gasto legal solo cuando toca)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8D306E" w14:paraId="07AE6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3D62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Gatillo</w:t>
            </w:r>
          </w:p>
        </w:tc>
        <w:tc>
          <w:tcPr>
            <w:tcW w:w="54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8FD4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Acción legal</w:t>
            </w:r>
          </w:p>
        </w:tc>
      </w:tr>
      <w:tr w:rsidR="008D306E" w14:paraId="6470C77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FB1C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Pedir producción al proveedor (KYB)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4220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Certificados al día, ajuste de objeto social si aplica, RUT</w:t>
            </w:r>
          </w:p>
        </w:tc>
      </w:tr>
      <w:tr w:rsidR="008D306E" w14:paraId="1B80071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64EB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Primera transacción con dinero real</w:t>
            </w:r>
          </w:p>
        </w:tc>
        <w:tc>
          <w:tcPr>
            <w:tcW w:w="54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5DCB" w14:textId="77777777" w:rsidR="008D306E" w:rsidRDefault="00000000">
            <w:pPr>
              <w:spacing w:line="252" w:lineRule="auto"/>
            </w:pPr>
            <w:proofErr w:type="gramStart"/>
            <w:r>
              <w:rPr>
                <w:sz w:val="20"/>
                <w:szCs w:val="20"/>
              </w:rPr>
              <w:t>Consulta abogado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fintech</w:t>
            </w:r>
            <w:proofErr w:type="spellEnd"/>
            <w:r>
              <w:rPr>
                <w:sz w:val="20"/>
                <w:szCs w:val="20"/>
              </w:rPr>
              <w:t xml:space="preserve"> + contratos + política de datos</w:t>
            </w:r>
          </w:p>
        </w:tc>
      </w:tr>
      <w:tr w:rsidR="008D306E" w14:paraId="2EE5604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EF19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Primera factura de comisión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619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Facturación electrónica activa + definición RST vs. ordinario con números reales</w:t>
            </w:r>
          </w:p>
        </w:tc>
      </w:tr>
    </w:tbl>
    <w:p w14:paraId="30AA7043" w14:textId="77777777" w:rsidR="008D306E" w:rsidRDefault="00000000">
      <w:r>
        <w:br w:type="page"/>
      </w:r>
    </w:p>
    <w:p w14:paraId="15A17B3B" w14:textId="77777777" w:rsidR="008D306E" w:rsidRDefault="00000000">
      <w:pPr>
        <w:pStyle w:val="Ttulo1"/>
      </w:pPr>
      <w:r>
        <w:lastRenderedPageBreak/>
        <w:t>7. Dimensión administrativa y organizacional</w:t>
      </w:r>
    </w:p>
    <w:p w14:paraId="6F014572" w14:textId="77777777" w:rsidR="008D306E" w:rsidRDefault="00000000">
      <w:pPr>
        <w:pStyle w:val="Ttulo2"/>
      </w:pPr>
      <w:r>
        <w:t>Hoy: fundador único con documentación exhaustiva</w:t>
      </w:r>
    </w:p>
    <w:p w14:paraId="1ED21D67" w14:textId="77777777" w:rsidR="008D306E" w:rsidRDefault="00000000">
      <w:pPr>
        <w:spacing w:after="120" w:line="276" w:lineRule="auto"/>
      </w:pPr>
      <w:r>
        <w:t>El proyecto lo lidera un fundador con perfil dual (arquitecto de software + administrador de empresas de la Universidad Nacional). El riesgo de “fundador único” se mitiga con la práctica menos común y más valiosa: todo está documentado — visión, alcance, arquitectura, decisiones, modelo de dominio, plan comercial — de modo que cualquier persona que se incorpore es productiva rápido y el conocimiento no vive solo en una cabeza.</w:t>
      </w:r>
    </w:p>
    <w:p w14:paraId="7DBEBCF9" w14:textId="77777777" w:rsidR="008D306E" w:rsidRDefault="00000000">
      <w:pPr>
        <w:pStyle w:val="Ttulo2"/>
      </w:pPr>
      <w:r>
        <w:t>Estructura por etapas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D306E" w14:paraId="1AEDA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A461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E3E5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</w:tr>
      <w:tr w:rsidR="008D306E" w14:paraId="54D1B3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6B92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MVP + piloto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7B1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Fundador (producto, desarrollo, venta piloto) + contador externo + abogado </w:t>
            </w:r>
            <w:proofErr w:type="spellStart"/>
            <w:r>
              <w:rPr>
                <w:sz w:val="20"/>
                <w:szCs w:val="20"/>
              </w:rPr>
              <w:t>fintech</w:t>
            </w:r>
            <w:proofErr w:type="spellEnd"/>
            <w:r>
              <w:rPr>
                <w:sz w:val="20"/>
                <w:szCs w:val="20"/>
              </w:rPr>
              <w:t xml:space="preserve"> puntual</w:t>
            </w:r>
          </w:p>
        </w:tc>
      </w:tr>
      <w:tr w:rsidR="008D306E" w14:paraId="1BC0B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7A7A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Densidad (50–100 comercios)</w:t>
            </w:r>
          </w:p>
        </w:tc>
        <w:tc>
          <w:tcPr>
            <w:tcW w:w="61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41A9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+ 1 perfil comercial (calle) + soporte tercerizado o de medio tiempo</w:t>
            </w:r>
          </w:p>
        </w:tc>
      </w:tr>
      <w:tr w:rsidR="008D306E" w14:paraId="47E99C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3BC2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Segunda ciudad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5FBD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+ comercial 2 + primer desarrollador adicional</w:t>
            </w:r>
          </w:p>
        </w:tc>
      </w:tr>
    </w:tbl>
    <w:p w14:paraId="68247405" w14:textId="77777777" w:rsidR="008D306E" w:rsidRDefault="00000000">
      <w:pPr>
        <w:pStyle w:val="Ttulo2"/>
      </w:pPr>
      <w:r>
        <w:t>Gobierno y relación con socios</w:t>
      </w:r>
    </w:p>
    <w:p w14:paraId="5983C825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Decisiones de arquitectura y de negocio registradas por escrito: trazabilidad total para socios e inversionistas.</w:t>
      </w:r>
    </w:p>
    <w:p w14:paraId="2FA21599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Métricas del negocio (TPV, comercios activos, retención, margen) reportables mensualmente desde el piloto — el </w:t>
      </w:r>
      <w:proofErr w:type="spellStart"/>
      <w:r>
        <w:t>dashboard</w:t>
      </w:r>
      <w:proofErr w:type="spellEnd"/>
      <w:r>
        <w:t xml:space="preserve"> interno se construye a la par del producto.</w:t>
      </w:r>
    </w:p>
    <w:p w14:paraId="78236678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Apertura explícita a socios que aporten distribución comercial o capital con red de contactos en comercio/</w:t>
      </w:r>
      <w:proofErr w:type="spellStart"/>
      <w:r>
        <w:t>fintech</w:t>
      </w:r>
      <w:proofErr w:type="spellEnd"/>
      <w:r>
        <w:t>; el frente técnico está cubierto por el fundador.</w:t>
      </w:r>
    </w:p>
    <w:p w14:paraId="011F0C46" w14:textId="77777777" w:rsidR="008D306E" w:rsidRDefault="00000000">
      <w:pPr>
        <w:pStyle w:val="Ttulo2"/>
      </w:pPr>
      <w:r>
        <w:t>Operación diaria (MVP)</w:t>
      </w:r>
    </w:p>
    <w:p w14:paraId="1F268484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Verificación de comercios: manual, por el administrador (control de calidad y cumplimiento en la etapa donde más importa).</w:t>
      </w:r>
    </w:p>
    <w:p w14:paraId="23B68071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Soporte: WhatsApp directo, con tiempos de respuesta comprometidos a los comercios del piloto.</w:t>
      </w:r>
    </w:p>
    <w:p w14:paraId="2B6A2EC7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Conciliación: automática en el producto + revisión periódica.</w:t>
      </w:r>
    </w:p>
    <w:p w14:paraId="23916192" w14:textId="77777777" w:rsidR="008D306E" w:rsidRDefault="00000000">
      <w:r>
        <w:br w:type="page"/>
      </w:r>
    </w:p>
    <w:p w14:paraId="1B58F4FF" w14:textId="77777777" w:rsidR="008D306E" w:rsidRDefault="00000000">
      <w:pPr>
        <w:pStyle w:val="Ttulo1"/>
      </w:pPr>
      <w:r>
        <w:lastRenderedPageBreak/>
        <w:t>8. Dimensión técnica (explicada para no técnicos)</w:t>
      </w:r>
    </w:p>
    <w:p w14:paraId="3EBB9964" w14:textId="77777777" w:rsidR="008D306E" w:rsidRDefault="00000000">
      <w:pPr>
        <w:pStyle w:val="Ttulo2"/>
      </w:pPr>
      <w:r>
        <w:t>La analogía: un director de orquesta</w:t>
      </w:r>
    </w:p>
    <w:p w14:paraId="3DF85CBE" w14:textId="77777777" w:rsidR="008D306E" w:rsidRDefault="00000000">
      <w:pPr>
        <w:spacing w:after="120" w:line="276" w:lineRule="auto"/>
      </w:pPr>
      <w:r>
        <w:t>Nuestra plataforma no es un banco ni una casa de cambio. Es un director de orquesta: no toca ningún instrumento (no toca el dinero), pero coordina a los músicos — el comercio, la app del pagador y el proveedor financiero — para que la canción (el pago) suene perfecta y en segundos.</w:t>
      </w:r>
    </w:p>
    <w:p w14:paraId="7C0ACB39" w14:textId="77777777" w:rsidR="008D306E" w:rsidRDefault="00000000">
      <w:pPr>
        <w:pStyle w:val="Ttulo2"/>
      </w:pPr>
      <w:r>
        <w:t>Cómo funciona un pago, sin tecnicismos</w:t>
      </w:r>
    </w:p>
    <w:p w14:paraId="4523409E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El comercio digita el monto → nuestra plataforma le pide al proveedor “prepara un cobro por $40.000” → aparece el QR.</w:t>
      </w:r>
    </w:p>
    <w:p w14:paraId="7472D16D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El pagador escanea y paga desde su app → el dinero cripto va al proveedor regulado, nunca a nosotros.</w:t>
      </w:r>
    </w:p>
    <w:p w14:paraId="73D92F3E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El proveedor nos avisa “pago recibido” (una notificación firmada digitalmente, imposible de falsificar) → verificamos, registramos y le mostramos “PAGADO ✓” al comercio.</w:t>
      </w:r>
    </w:p>
    <w:p w14:paraId="6DF6460C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t>El proveedor convierte a pesos y los deposita directo al comercio. Nosotros registramos la operación y nuestra comisión.</w:t>
      </w:r>
    </w:p>
    <w:p w14:paraId="1BEA2330" w14:textId="77777777" w:rsidR="008D306E" w:rsidRDefault="00000000">
      <w:pPr>
        <w:pStyle w:val="Ttulo2"/>
      </w:pPr>
      <w:r>
        <w:t>Las tres garantías técnicas que protegen el negocio</w:t>
      </w:r>
    </w:p>
    <w:p w14:paraId="0054A06A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Nunca se cobra doble. </w:t>
      </w:r>
      <w:r>
        <w:t>Si la notificación de pago llega repetida (pasa en internet), el sistema la reconoce y la ignora: procesar el mismo aviso mil veces da el mismo resultado que procesarlo una. En pagos, esto se llama idempotencia y es la diferencia entre un sistema serio y un problema legal.</w:t>
      </w:r>
    </w:p>
    <w:p w14:paraId="499AA9EB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Nada se pierde. </w:t>
      </w:r>
      <w:r>
        <w:t>Si una notificación no llega (también pasa), un proceso automático revisa periódicamente las órdenes pendientes y las pone al día consultando al proveedor. El sistema siempre converge al estado correcto.</w:t>
      </w:r>
    </w:p>
    <w:p w14:paraId="4D758B0B" w14:textId="77777777" w:rsidR="008D306E" w:rsidRDefault="00000000">
      <w:pPr>
        <w:pStyle w:val="Prrafodelista"/>
        <w:numPr>
          <w:ilvl w:val="0"/>
          <w:numId w:val="3"/>
        </w:numPr>
        <w:spacing w:after="60" w:line="264" w:lineRule="auto"/>
      </w:pPr>
      <w:r>
        <w:rPr>
          <w:b/>
          <w:bCs/>
        </w:rPr>
        <w:t xml:space="preserve">Todo queda registrado. </w:t>
      </w:r>
      <w:r>
        <w:t>Cada pago, cada cambio de estado y cada liquidación quedan guardados con fecha y hora — auditable ante el comercio, el contador, el proveedor o una autoridad.</w:t>
      </w:r>
    </w:p>
    <w:p w14:paraId="3163F1B9" w14:textId="77777777" w:rsidR="008D306E" w:rsidRDefault="00000000">
      <w:pPr>
        <w:pStyle w:val="Ttulo2"/>
      </w:pPr>
      <w:r>
        <w:t>Por qué la arquitectura elegida es una ventaja competitiva</w:t>
      </w:r>
    </w:p>
    <w:p w14:paraId="623D200B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“Enchufes” intercambiables de proveedores: </w:t>
      </w:r>
      <w:r>
        <w:t>cada proveedor de pago (</w:t>
      </w:r>
      <w:proofErr w:type="spellStart"/>
      <w:r>
        <w:t>Binance</w:t>
      </w:r>
      <w:proofErr w:type="spellEnd"/>
      <w:r>
        <w:t xml:space="preserve"> hoy, otros mañana) es como un electrodoméstico conectado a un enchufe estándar. Cambiar o añadir un proveedor no requiere reconstruir nada. Esto elimina el mayor riesgo del modelo (depender de un solo tercero).</w:t>
      </w:r>
    </w:p>
    <w:p w14:paraId="5E033E08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Un solo sistema, ordenado por dentro: </w:t>
      </w:r>
      <w:r>
        <w:t>más barato de operar y más rápido de evolucionar en esta etapa, y preparado para dividirse si algún día la escala lo exige. Frugalidad técnica = frugalidad de capital.</w:t>
      </w:r>
    </w:p>
    <w:p w14:paraId="3D6F924C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Calidad verificada automáticamente: </w:t>
      </w:r>
      <w:r>
        <w:t>las reglas de construcción del software se comprueban con pruebas automáticas en cada cambio. Menos errores en producción = menos costo de soporte y más confianza del comercio.</w:t>
      </w:r>
    </w:p>
    <w:p w14:paraId="7C4C3BD5" w14:textId="77777777" w:rsidR="008D306E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Seguridad de base: </w:t>
      </w:r>
      <w:r>
        <w:t>credenciales fuera del código, notificaciones verificadas con firma digital, accesos por roles, y ningún dato sensible en lugares expuestos.</w:t>
      </w:r>
    </w:p>
    <w:p w14:paraId="13A04C7F" w14:textId="67615E2A" w:rsidR="008D306E" w:rsidRDefault="00000000">
      <w:pPr>
        <w:spacing w:after="120" w:line="276" w:lineRule="auto"/>
      </w:pPr>
      <w:r>
        <w:rPr>
          <w:b/>
          <w:bCs/>
        </w:rPr>
        <w:lastRenderedPageBreak/>
        <w:t xml:space="preserve">El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en una línea (para el lector técnico): </w:t>
      </w:r>
      <w:r>
        <w:t>Java 2</w:t>
      </w:r>
      <w:r w:rsidR="006458B2">
        <w:t>5</w:t>
      </w:r>
      <w:r>
        <w:t xml:space="preserve"> / Spring </w:t>
      </w:r>
      <w:proofErr w:type="spellStart"/>
      <w:r>
        <w:t>Boot</w:t>
      </w:r>
      <w:proofErr w:type="spellEnd"/>
      <w:r>
        <w:t xml:space="preserve"> 3, arquitectura hexagonal con DDD, PostgreSQL, </w:t>
      </w:r>
      <w:proofErr w:type="spellStart"/>
      <w:r>
        <w:t>frontend</w:t>
      </w:r>
      <w:proofErr w:type="spellEnd"/>
      <w:r>
        <w:t xml:space="preserve"> Angular, pruebas automatizadas y CI/CD. Documentación técnica completa disponible para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diligence</w:t>
      </w:r>
      <w:proofErr w:type="spellEnd"/>
      <w:r>
        <w:t>.</w:t>
      </w:r>
    </w:p>
    <w:p w14:paraId="07A37031" w14:textId="77777777" w:rsidR="008D306E" w:rsidRDefault="00000000">
      <w:r>
        <w:br w:type="page"/>
      </w:r>
    </w:p>
    <w:p w14:paraId="2413C94A" w14:textId="77777777" w:rsidR="008D306E" w:rsidRDefault="00000000">
      <w:pPr>
        <w:pStyle w:val="Ttulo1"/>
      </w:pPr>
      <w:r>
        <w:lastRenderedPageBreak/>
        <w:t>9. Hoja de ruta integral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700"/>
        <w:gridCol w:w="2760"/>
        <w:gridCol w:w="2200"/>
      </w:tblGrid>
      <w:tr w:rsidR="008D306E" w14:paraId="751D5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EC48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5C2C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Técnico</w:t>
            </w:r>
          </w:p>
        </w:tc>
        <w:tc>
          <w:tcPr>
            <w:tcW w:w="27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F1E8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Comercial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16AB" w14:textId="77777777" w:rsidR="008D306E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Legal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</w:p>
        </w:tc>
      </w:tr>
      <w:tr w:rsidR="008D306E" w14:paraId="7C9BFC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5F11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Ahora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C3DA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Fundaciones + núcleo de dominio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5046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Validación con comercios + encuesta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6241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Matrícula al día</w:t>
            </w:r>
          </w:p>
        </w:tc>
      </w:tr>
      <w:tr w:rsidR="008D306E" w14:paraId="4AE684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DC61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Desarrollo MVP</w:t>
            </w:r>
          </w:p>
        </w:tc>
        <w:tc>
          <w:tcPr>
            <w:tcW w:w="27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2A84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Órdenes, </w:t>
            </w: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(proveedor simulado)</w:t>
            </w:r>
          </w:p>
        </w:tc>
        <w:tc>
          <w:tcPr>
            <w:tcW w:w="27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C30C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Instalaciones “cobro digital” (ingresos puente)</w:t>
            </w:r>
          </w:p>
        </w:tc>
        <w:tc>
          <w:tcPr>
            <w:tcW w:w="2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8CF0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8D306E" w14:paraId="4B3C52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5DF6" w14:textId="77777777" w:rsidR="008D306E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Pre-piloto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502E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Integración real </w:t>
            </w:r>
            <w:proofErr w:type="spellStart"/>
            <w:r>
              <w:rPr>
                <w:sz w:val="20"/>
                <w:szCs w:val="20"/>
              </w:rPr>
              <w:t>Binance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sandbox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B5D2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Materiales punto de venta listos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3393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KYB proveedor; abogado; contratos</w:t>
            </w:r>
          </w:p>
        </w:tc>
      </w:tr>
      <w:tr w:rsidR="008D306E" w14:paraId="05EEB9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0970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Piloto</w:t>
            </w:r>
          </w:p>
        </w:tc>
        <w:tc>
          <w:tcPr>
            <w:tcW w:w="27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0B0A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Producción + </w:t>
            </w:r>
            <w:proofErr w:type="spellStart"/>
            <w:r>
              <w:rPr>
                <w:sz w:val="20"/>
                <w:szCs w:val="20"/>
              </w:rPr>
              <w:t>observabilidad</w:t>
            </w:r>
            <w:proofErr w:type="spellEnd"/>
          </w:p>
        </w:tc>
        <w:tc>
          <w:tcPr>
            <w:tcW w:w="27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7A6B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5–10 comercios, una zona, mes gratis</w:t>
            </w:r>
          </w:p>
        </w:tc>
        <w:tc>
          <w:tcPr>
            <w:tcW w:w="2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110B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Facturación al cerrar el gratis</w:t>
            </w:r>
          </w:p>
        </w:tc>
      </w:tr>
      <w:tr w:rsidR="008D306E" w14:paraId="2C68C4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69D1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Densidad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52A3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Segundo riel (</w:t>
            </w:r>
            <w:proofErr w:type="spellStart"/>
            <w:r>
              <w:rPr>
                <w:sz w:val="20"/>
                <w:szCs w:val="20"/>
              </w:rPr>
              <w:t>on-chain</w:t>
            </w:r>
            <w:proofErr w:type="spellEnd"/>
            <w:r>
              <w:rPr>
                <w:sz w:val="20"/>
                <w:szCs w:val="20"/>
              </w:rPr>
              <w:t>); mejoras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1DA5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50–100 comercios; directorio; 1er comercial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60207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Reporte mensual a socios</w:t>
            </w:r>
          </w:p>
        </w:tc>
      </w:tr>
      <w:tr w:rsidR="008D306E" w14:paraId="052660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22F0" w14:textId="77777777" w:rsidR="008D306E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Expansión</w:t>
            </w:r>
          </w:p>
        </w:tc>
        <w:tc>
          <w:tcPr>
            <w:tcW w:w="27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331F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App/PWA pulida; redundancia</w:t>
            </w:r>
          </w:p>
        </w:tc>
        <w:tc>
          <w:tcPr>
            <w:tcW w:w="276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9EF3F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Segunda ciudad con </w:t>
            </w:r>
            <w:proofErr w:type="spellStart"/>
            <w:r>
              <w:rPr>
                <w:sz w:val="20"/>
                <w:szCs w:val="20"/>
              </w:rPr>
              <w:t>playbook</w:t>
            </w:r>
            <w:proofErr w:type="spellEnd"/>
            <w:r>
              <w:rPr>
                <w:sz w:val="20"/>
                <w:szCs w:val="20"/>
              </w:rPr>
              <w:t xml:space="preserve"> probado</w:t>
            </w:r>
          </w:p>
        </w:tc>
        <w:tc>
          <w:tcPr>
            <w:tcW w:w="2200" w:type="dxa"/>
            <w:shd w:val="clear" w:color="auto" w:fill="EEF3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2C8F" w14:textId="77777777" w:rsidR="008D306E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Estructura societaria según ronda</w:t>
            </w:r>
          </w:p>
        </w:tc>
      </w:tr>
    </w:tbl>
    <w:p w14:paraId="2C58FC23" w14:textId="77777777" w:rsidR="008D306E" w:rsidRDefault="00000000">
      <w:pPr>
        <w:spacing w:after="120" w:line="276" w:lineRule="auto"/>
      </w:pPr>
      <w:r>
        <w:rPr>
          <w:b/>
          <w:bCs/>
        </w:rPr>
        <w:t xml:space="preserve">Criterio de avance entre fases: </w:t>
      </w:r>
      <w:r>
        <w:t>métricas cumplidas, no fechas.</w:t>
      </w:r>
    </w:p>
    <w:p w14:paraId="6CCD9245" w14:textId="77777777" w:rsidR="008D306E" w:rsidRDefault="00000000">
      <w:r>
        <w:br w:type="page"/>
      </w:r>
    </w:p>
    <w:p w14:paraId="25714CD1" w14:textId="77777777" w:rsidR="008D306E" w:rsidRDefault="00000000">
      <w:pPr>
        <w:pStyle w:val="Ttulo1"/>
      </w:pPr>
      <w:r>
        <w:lastRenderedPageBreak/>
        <w:t>10. Preguntas frecuentes de inversionistas</w:t>
      </w:r>
    </w:p>
    <w:p w14:paraId="069CA933" w14:textId="77777777" w:rsidR="008D306E" w:rsidRDefault="00000000">
      <w:pPr>
        <w:pStyle w:val="Ttulo3"/>
      </w:pPr>
      <w:r>
        <w:t>“¿Esto es legal en Colombia?”</w:t>
      </w:r>
    </w:p>
    <w:p w14:paraId="4313B0A4" w14:textId="77777777" w:rsidR="008D306E" w:rsidRDefault="00000000">
      <w:pPr>
        <w:spacing w:after="120" w:line="276" w:lineRule="auto"/>
      </w:pPr>
      <w:r>
        <w:t>Tener y transar cripto es legal en Colombia; lo que está en construcción es la regulación específica del sector. Nuestro modelo — software sin custodia, con la conversión en manos de un proveedor regulado — está diseñado precisamente para operar con la mínima exposición mientras el marco madura, y se valida con asesoría legal antes de mover dinero real.</w:t>
      </w:r>
    </w:p>
    <w:p w14:paraId="656C565F" w14:textId="77777777" w:rsidR="008D306E" w:rsidRDefault="00000000">
      <w:pPr>
        <w:pStyle w:val="Ttulo3"/>
      </w:pPr>
      <w:r>
        <w:t xml:space="preserve">“¿Qué pasa si </w:t>
      </w:r>
      <w:proofErr w:type="spellStart"/>
      <w:r>
        <w:t>Binance</w:t>
      </w:r>
      <w:proofErr w:type="spellEnd"/>
      <w:r>
        <w:t xml:space="preserve"> o el proveedor los bloquea?”</w:t>
      </w:r>
    </w:p>
    <w:p w14:paraId="083A6FB4" w14:textId="77777777" w:rsidR="008D306E" w:rsidRDefault="00000000">
      <w:pPr>
        <w:spacing w:after="120" w:line="276" w:lineRule="auto"/>
      </w:pPr>
      <w:r>
        <w:t xml:space="preserve">La arquitectura de “enchufes” permite conectar proveedores alternativos sin reconstruir la plataforma. </w:t>
      </w:r>
      <w:proofErr w:type="spellStart"/>
      <w:r>
        <w:t>Multi-proveedor</w:t>
      </w:r>
      <w:proofErr w:type="spellEnd"/>
      <w:r>
        <w:t xml:space="preserve"> es parte del diseño desde el día uno, y el segundo riel está en el </w:t>
      </w:r>
      <w:proofErr w:type="spellStart"/>
      <w:r>
        <w:t>roadmap</w:t>
      </w:r>
      <w:proofErr w:type="spellEnd"/>
      <w:r>
        <w:t xml:space="preserve"> inmediato post-MVP.</w:t>
      </w:r>
    </w:p>
    <w:p w14:paraId="44DC032A" w14:textId="77777777" w:rsidR="008D306E" w:rsidRDefault="00000000">
      <w:pPr>
        <w:pStyle w:val="Ttulo3"/>
      </w:pPr>
      <w:r>
        <w:t xml:space="preserve">“¿Por qué no lo hace </w:t>
      </w:r>
      <w:proofErr w:type="spellStart"/>
      <w:r>
        <w:t>Binance</w:t>
      </w:r>
      <w:proofErr w:type="spellEnd"/>
      <w:r>
        <w:t xml:space="preserve"> directamente?”</w:t>
      </w:r>
    </w:p>
    <w:p w14:paraId="477233A1" w14:textId="77777777" w:rsidR="008D306E" w:rsidRDefault="00000000">
      <w:pPr>
        <w:spacing w:after="120" w:line="276" w:lineRule="auto"/>
      </w:pPr>
      <w:proofErr w:type="spellStart"/>
      <w:r>
        <w:t>Binance</w:t>
      </w:r>
      <w:proofErr w:type="spellEnd"/>
      <w:r>
        <w:t xml:space="preserve"> ofrece la tubería (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Pay</w:t>
      </w:r>
      <w:proofErr w:type="spellEnd"/>
      <w:r>
        <w:t>), no la experiencia local: no visita barberías en Chapinero, no da soporte por WhatsApp en español, no genera reportes para el contador colombiano ni construye el directorio local. Nuestro valor es la última milla — exactamente donde los gigantes no llegan y donde Bold/</w:t>
      </w:r>
      <w:proofErr w:type="spellStart"/>
      <w:r>
        <w:t>Wompi</w:t>
      </w:r>
      <w:proofErr w:type="spellEnd"/>
      <w:r>
        <w:t xml:space="preserve"> construyeron su negocio frente a los bancos.</w:t>
      </w:r>
    </w:p>
    <w:p w14:paraId="03338B5F" w14:textId="77777777" w:rsidR="008D306E" w:rsidRDefault="00000000">
      <w:pPr>
        <w:pStyle w:val="Ttulo3"/>
      </w:pPr>
      <w:r>
        <w:t>“¿Y si la adopción de pago con cripto no despega?”</w:t>
      </w:r>
    </w:p>
    <w:p w14:paraId="6B7673DB" w14:textId="77777777" w:rsidR="008D306E" w:rsidRDefault="00000000">
      <w:pPr>
        <w:spacing w:after="120" w:line="276" w:lineRule="auto"/>
      </w:pPr>
      <w:r>
        <w:t>Es el riesgo central y lo tratamos con honestidad: por eso el piloto es barato, medible y previo a cualquier inversión fuerte en escala. Además, el servicio de instalación de cobro digital genera ingresos independientes del despegue cripto, y la relación construida con comercios tiene valor para múltiples productos futuros.</w:t>
      </w:r>
    </w:p>
    <w:p w14:paraId="3A47892E" w14:textId="77777777" w:rsidR="008D306E" w:rsidRDefault="00000000">
      <w:pPr>
        <w:pStyle w:val="Ttulo3"/>
      </w:pPr>
      <w:r>
        <w:t>“¿Qué compra mi inversión?”</w:t>
      </w:r>
    </w:p>
    <w:p w14:paraId="6566746A" w14:textId="77777777" w:rsidR="008D306E" w:rsidRDefault="00000000">
      <w:pPr>
        <w:spacing w:after="120" w:line="276" w:lineRule="auto"/>
      </w:pPr>
      <w:r>
        <w:t>Velocidad comercial (el cuello de botella es la calle, no el código), el piloto validado con métricas duras, y la posición de primer jugador enfocado en el comercio físico pequeño — con un fundador que construye, vende y educa a la vez.</w:t>
      </w:r>
    </w:p>
    <w:p w14:paraId="268CE405" w14:textId="77777777" w:rsidR="008D306E" w:rsidRDefault="00000000">
      <w:pPr>
        <w:pStyle w:val="Ttulo3"/>
      </w:pPr>
      <w:r>
        <w:t>“¿Cuál es la salida (</w:t>
      </w:r>
      <w:proofErr w:type="spellStart"/>
      <w:r>
        <w:t>exit</w:t>
      </w:r>
      <w:proofErr w:type="spellEnd"/>
      <w:r>
        <w:t>)?”</w:t>
      </w:r>
    </w:p>
    <w:p w14:paraId="061461AC" w14:textId="77777777" w:rsidR="008D306E" w:rsidRDefault="00000000">
      <w:pPr>
        <w:spacing w:after="120" w:line="276" w:lineRule="auto"/>
      </w:pPr>
      <w:r>
        <w:t xml:space="preserve">Tres caminos plausibles: (a) crecimiento rentable por comisiones con expansión regional; (b) adquisición por una pasarela tradicional que quiera entrar a cripto con la red ya construida; (c) adquisición o alianza por un </w:t>
      </w:r>
      <w:proofErr w:type="spellStart"/>
      <w:r>
        <w:t>exchange</w:t>
      </w:r>
      <w:proofErr w:type="spellEnd"/>
      <w:r>
        <w:t xml:space="preserve"> o rampa que quiera la última milla comercial. La red de comercios y la marca de confianza son el activo.</w:t>
      </w:r>
    </w:p>
    <w:sectPr w:rsidR="008D30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A5645"/>
    <w:multiLevelType w:val="hybridMultilevel"/>
    <w:tmpl w:val="AF829E14"/>
    <w:lvl w:ilvl="0" w:tplc="F5124870">
      <w:start w:val="1"/>
      <w:numFmt w:val="bullet"/>
      <w:lvlText w:val="•"/>
      <w:lvlJc w:val="left"/>
      <w:pPr>
        <w:ind w:left="420" w:hanging="220"/>
      </w:pPr>
    </w:lvl>
    <w:lvl w:ilvl="1" w:tplc="54FA7B80">
      <w:start w:val="1"/>
      <w:numFmt w:val="bullet"/>
      <w:lvlText w:val="◦"/>
      <w:lvlJc w:val="left"/>
      <w:pPr>
        <w:ind w:left="840" w:hanging="220"/>
      </w:pPr>
    </w:lvl>
    <w:lvl w:ilvl="2" w:tplc="7B3AE722">
      <w:numFmt w:val="decimal"/>
      <w:lvlText w:val=""/>
      <w:lvlJc w:val="left"/>
    </w:lvl>
    <w:lvl w:ilvl="3" w:tplc="A7E48012">
      <w:numFmt w:val="decimal"/>
      <w:lvlText w:val=""/>
      <w:lvlJc w:val="left"/>
    </w:lvl>
    <w:lvl w:ilvl="4" w:tplc="CEB8F8B4">
      <w:numFmt w:val="decimal"/>
      <w:lvlText w:val=""/>
      <w:lvlJc w:val="left"/>
    </w:lvl>
    <w:lvl w:ilvl="5" w:tplc="D678710E">
      <w:numFmt w:val="decimal"/>
      <w:lvlText w:val=""/>
      <w:lvlJc w:val="left"/>
    </w:lvl>
    <w:lvl w:ilvl="6" w:tplc="B372CEC4">
      <w:numFmt w:val="decimal"/>
      <w:lvlText w:val=""/>
      <w:lvlJc w:val="left"/>
    </w:lvl>
    <w:lvl w:ilvl="7" w:tplc="EBE0A272">
      <w:numFmt w:val="decimal"/>
      <w:lvlText w:val=""/>
      <w:lvlJc w:val="left"/>
    </w:lvl>
    <w:lvl w:ilvl="8" w:tplc="8E8C1616">
      <w:numFmt w:val="decimal"/>
      <w:lvlText w:val=""/>
      <w:lvlJc w:val="left"/>
    </w:lvl>
  </w:abstractNum>
  <w:abstractNum w:abstractNumId="1" w15:restartNumberingAfterBreak="0">
    <w:nsid w:val="475E1246"/>
    <w:multiLevelType w:val="hybridMultilevel"/>
    <w:tmpl w:val="50A8B644"/>
    <w:lvl w:ilvl="0" w:tplc="FAC282A6">
      <w:start w:val="1"/>
      <w:numFmt w:val="decimal"/>
      <w:lvlText w:val="%1."/>
      <w:lvlJc w:val="left"/>
      <w:pPr>
        <w:ind w:left="420" w:hanging="260"/>
      </w:pPr>
    </w:lvl>
    <w:lvl w:ilvl="1" w:tplc="AC084094">
      <w:numFmt w:val="decimal"/>
      <w:lvlText w:val=""/>
      <w:lvlJc w:val="left"/>
    </w:lvl>
    <w:lvl w:ilvl="2" w:tplc="D0585D58">
      <w:numFmt w:val="decimal"/>
      <w:lvlText w:val=""/>
      <w:lvlJc w:val="left"/>
    </w:lvl>
    <w:lvl w:ilvl="3" w:tplc="51768DF6">
      <w:numFmt w:val="decimal"/>
      <w:lvlText w:val=""/>
      <w:lvlJc w:val="left"/>
    </w:lvl>
    <w:lvl w:ilvl="4" w:tplc="BA500648">
      <w:numFmt w:val="decimal"/>
      <w:lvlText w:val=""/>
      <w:lvlJc w:val="left"/>
    </w:lvl>
    <w:lvl w:ilvl="5" w:tplc="4D3C82D2">
      <w:numFmt w:val="decimal"/>
      <w:lvlText w:val=""/>
      <w:lvlJc w:val="left"/>
    </w:lvl>
    <w:lvl w:ilvl="6" w:tplc="1714A5EA">
      <w:numFmt w:val="decimal"/>
      <w:lvlText w:val=""/>
      <w:lvlJc w:val="left"/>
    </w:lvl>
    <w:lvl w:ilvl="7" w:tplc="A7BC4B48">
      <w:numFmt w:val="decimal"/>
      <w:lvlText w:val=""/>
      <w:lvlJc w:val="left"/>
    </w:lvl>
    <w:lvl w:ilvl="8" w:tplc="7E842A28">
      <w:numFmt w:val="decimal"/>
      <w:lvlText w:val=""/>
      <w:lvlJc w:val="left"/>
    </w:lvl>
  </w:abstractNum>
  <w:abstractNum w:abstractNumId="2" w15:restartNumberingAfterBreak="0">
    <w:nsid w:val="6FF139F5"/>
    <w:multiLevelType w:val="hybridMultilevel"/>
    <w:tmpl w:val="789A21CE"/>
    <w:lvl w:ilvl="0" w:tplc="42C27F52">
      <w:start w:val="1"/>
      <w:numFmt w:val="bullet"/>
      <w:lvlText w:val="●"/>
      <w:lvlJc w:val="left"/>
      <w:pPr>
        <w:ind w:left="720" w:hanging="360"/>
      </w:pPr>
    </w:lvl>
    <w:lvl w:ilvl="1" w:tplc="DC8C95F4">
      <w:start w:val="1"/>
      <w:numFmt w:val="bullet"/>
      <w:lvlText w:val="○"/>
      <w:lvlJc w:val="left"/>
      <w:pPr>
        <w:ind w:left="1440" w:hanging="360"/>
      </w:pPr>
    </w:lvl>
    <w:lvl w:ilvl="2" w:tplc="37F40A34">
      <w:start w:val="1"/>
      <w:numFmt w:val="bullet"/>
      <w:lvlText w:val="■"/>
      <w:lvlJc w:val="left"/>
      <w:pPr>
        <w:ind w:left="2160" w:hanging="360"/>
      </w:pPr>
    </w:lvl>
    <w:lvl w:ilvl="3" w:tplc="D7D6AB24">
      <w:start w:val="1"/>
      <w:numFmt w:val="bullet"/>
      <w:lvlText w:val="●"/>
      <w:lvlJc w:val="left"/>
      <w:pPr>
        <w:ind w:left="2880" w:hanging="360"/>
      </w:pPr>
    </w:lvl>
    <w:lvl w:ilvl="4" w:tplc="353EDD26">
      <w:start w:val="1"/>
      <w:numFmt w:val="bullet"/>
      <w:lvlText w:val="○"/>
      <w:lvlJc w:val="left"/>
      <w:pPr>
        <w:ind w:left="3600" w:hanging="360"/>
      </w:pPr>
    </w:lvl>
    <w:lvl w:ilvl="5" w:tplc="867A5CDC">
      <w:start w:val="1"/>
      <w:numFmt w:val="bullet"/>
      <w:lvlText w:val="■"/>
      <w:lvlJc w:val="left"/>
      <w:pPr>
        <w:ind w:left="4320" w:hanging="360"/>
      </w:pPr>
    </w:lvl>
    <w:lvl w:ilvl="6" w:tplc="BC4C2C5A">
      <w:start w:val="1"/>
      <w:numFmt w:val="bullet"/>
      <w:lvlText w:val="●"/>
      <w:lvlJc w:val="left"/>
      <w:pPr>
        <w:ind w:left="5040" w:hanging="360"/>
      </w:pPr>
    </w:lvl>
    <w:lvl w:ilvl="7" w:tplc="F83A731C">
      <w:start w:val="1"/>
      <w:numFmt w:val="bullet"/>
      <w:lvlText w:val="●"/>
      <w:lvlJc w:val="left"/>
      <w:pPr>
        <w:ind w:left="5760" w:hanging="360"/>
      </w:pPr>
    </w:lvl>
    <w:lvl w:ilvl="8" w:tplc="7BF851BA">
      <w:start w:val="1"/>
      <w:numFmt w:val="bullet"/>
      <w:lvlText w:val="●"/>
      <w:lvlJc w:val="left"/>
      <w:pPr>
        <w:ind w:left="6480" w:hanging="360"/>
      </w:pPr>
    </w:lvl>
  </w:abstractNum>
  <w:num w:numId="1" w16cid:durableId="343672477">
    <w:abstractNumId w:val="2"/>
    <w:lvlOverride w:ilvl="0">
      <w:startOverride w:val="1"/>
    </w:lvlOverride>
  </w:num>
  <w:num w:numId="2" w16cid:durableId="517277923">
    <w:abstractNumId w:val="0"/>
    <w:lvlOverride w:ilvl="0">
      <w:startOverride w:val="1"/>
    </w:lvlOverride>
  </w:num>
  <w:num w:numId="3" w16cid:durableId="977998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06E"/>
    <w:rsid w:val="00306C01"/>
    <w:rsid w:val="005F2C57"/>
    <w:rsid w:val="006458B2"/>
    <w:rsid w:val="008D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47F71"/>
  <w15:docId w15:val="{3DF0AC3A-1D75-4395-8205-DA4BC0C1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E2E2E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2929</Words>
  <Characters>16114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2026-07-06T21:23:00Z</dcterms:created>
  <dcterms:modified xsi:type="dcterms:W3CDTF">2026-07-07T03:37:00Z</dcterms:modified>
</cp:coreProperties>
</file>