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77777777" w:rsidR="00B652F1" w:rsidRPr="00A818CA" w:rsidRDefault="00B652F1" w:rsidP="00B652F1">
      <w:pPr>
        <w:pStyle w:val="Heading1"/>
        <w:numPr>
          <w:ilvl w:val="0"/>
          <w:numId w:val="0"/>
        </w:numPr>
        <w:jc w:val="both"/>
      </w:pPr>
      <w:bookmarkStart w:id="0" w:name="_Toc527976049"/>
      <w:r>
        <w:t xml:space="preserve">7   </w:t>
      </w:r>
      <w:proofErr w:type="gramStart"/>
      <w:r>
        <w:t>Análisis</w:t>
      </w:r>
      <w:proofErr w:type="gramEnd"/>
      <w:r>
        <w:t xml:space="preserve"> de Consistencia</w:t>
      </w:r>
      <w:bookmarkEnd w:id="0"/>
    </w:p>
    <w:p w14:paraId="03F3ADC2" w14:textId="1493CBFB" w:rsidR="00B652F1" w:rsidRDefault="00B652F1" w:rsidP="00B652F1">
      <w:pPr>
        <w:pStyle w:val="Heading2"/>
      </w:pPr>
      <w:bookmarkStart w:id="1" w:name="_Toc527976050"/>
      <w:r>
        <w:t>Tabla Requisitos-Párrafo</w:t>
      </w:r>
      <w:bookmarkEnd w:id="1"/>
    </w:p>
    <w:p w14:paraId="0505155C" w14:textId="77777777" w:rsidR="00AB4A26" w:rsidRPr="00AB4A26" w:rsidRDefault="00AB4A26" w:rsidP="00AB4A26"/>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lastRenderedPageBreak/>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 xml:space="preserve">en las versiones más baratas el uso de un </w:t>
      </w:r>
      <w:proofErr w:type="spellStart"/>
      <w:r>
        <w:t>framework</w:t>
      </w:r>
      <w:proofErr w:type="spellEnd"/>
      <w:r>
        <w:t xml:space="preserve"> multiplataforma proporciona una portabilidad excelente.</w:t>
      </w:r>
    </w:p>
    <w:p w14:paraId="642BB912" w14:textId="77777777" w:rsidR="00B652F1" w:rsidRDefault="00B652F1" w:rsidP="00B652F1">
      <w:pPr>
        <w:tabs>
          <w:tab w:val="left" w:pos="2025"/>
        </w:tabs>
        <w:jc w:val="both"/>
      </w:pPr>
      <w:r>
        <w:rPr>
          <w:b/>
        </w:rPr>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5B5E59D8" w14:textId="3F785F63" w:rsidR="00B652F1" w:rsidRDefault="00B652F1" w:rsidP="00B652F1">
      <w:pPr>
        <w:tabs>
          <w:tab w:val="left" w:pos="2025"/>
        </w:tabs>
        <w:jc w:val="both"/>
      </w:pPr>
      <w:r>
        <w:rPr>
          <w:b/>
        </w:rPr>
        <w:t>RFN33, RFN34, RFN35, RFN36, RFN37</w:t>
      </w:r>
      <w:r>
        <w:t xml:space="preserve">: todos son </w:t>
      </w:r>
      <w:proofErr w:type="gramStart"/>
      <w:r>
        <w:t>requisitos referente</w:t>
      </w:r>
      <w:proofErr w:type="gramEnd"/>
      <w:r>
        <w:t xml:space="preserve"> a la seguridad del sistema, de los usuarios y de la forma de acceso de dichos usuarios al sistema.</w:t>
      </w:r>
    </w:p>
    <w:p w14:paraId="07F03954" w14:textId="25D3EF42" w:rsidR="00EC40A0" w:rsidRDefault="00EC40A0" w:rsidP="00B652F1">
      <w:pPr>
        <w:tabs>
          <w:tab w:val="left" w:pos="2025"/>
        </w:tabs>
        <w:jc w:val="both"/>
      </w:pPr>
    </w:p>
    <w:p w14:paraId="4E8E831A" w14:textId="4E77B469" w:rsidR="00EC40A0" w:rsidRPr="005D4B4F" w:rsidRDefault="00B30DE3" w:rsidP="00B652F1">
      <w:pPr>
        <w:tabs>
          <w:tab w:val="left" w:pos="2025"/>
        </w:tabs>
        <w:jc w:val="both"/>
      </w:pPr>
      <w:bookmarkStart w:id="2" w:name="OLE_LINK5"/>
      <w:bookmarkStart w:id="3" w:name="OLE_LINK6"/>
      <w:r>
        <w:t>7.</w:t>
      </w:r>
      <w:r w:rsidR="00EC40A0">
        <w:t>2 CONSISTENCIA EN EL DIAGRAMA DE DISEÑO DE CLASES</w:t>
      </w:r>
    </w:p>
    <w:bookmarkEnd w:id="2"/>
    <w:bookmarkEnd w:id="3"/>
    <w:p w14:paraId="4DA99DF1" w14:textId="53CC1DC0"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0C60425C" w14:textId="6ADE1D16" w:rsidR="00B30DE3" w:rsidRDefault="00B30DE3">
      <w:r>
        <w:t>7.2.1 CONSISTENCIA ENTRE DIAGRAMAS DE CLASE</w:t>
      </w:r>
    </w:p>
    <w:p w14:paraId="589E2F7B" w14:textId="562CEA58"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14271E65" w14:textId="257E0398" w:rsidR="00B30DE3" w:rsidRDefault="00B30DE3">
      <w:r>
        <w:t>7.2.2 CONSISTENCIA ENTRE DIAGRAMAS DE CLASE Y DIAGRAMAS DE SECUENCIA</w:t>
      </w:r>
    </w:p>
    <w:p w14:paraId="444AB4EC" w14:textId="6150F8B5" w:rsidR="00B30DE3" w:rsidRDefault="00B30DE3">
      <w:r>
        <w:t>Para crear los distintos diagramas de secuencia tenemos que crear un nuevo diagrama de secuencia intendente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22B1AA14" w14:textId="14D67C2A" w:rsidR="00B30DE3" w:rsidRDefault="00B30DE3"/>
    <w:p w14:paraId="036601E5" w14:textId="6290CE44" w:rsidR="00B30DE3" w:rsidRDefault="00B30DE3">
      <w:r>
        <w:lastRenderedPageBreak/>
        <w:t>7.2.3 CONSISTENCIA ENTRE DIAGRAMAS DE CLASE Y DIAGRAMAS DE COLABORACIÓN</w:t>
      </w:r>
    </w:p>
    <w:p w14:paraId="6845E004" w14:textId="064093C8" w:rsidR="00B30DE3" w:rsidRDefault="00B30DE3">
      <w:bookmarkStart w:id="4" w:name="_GoBack"/>
      <w:bookmarkEnd w:id="4"/>
    </w:p>
    <w:p w14:paraId="408F24E0" w14:textId="005FEFDF" w:rsidR="00B30DE3" w:rsidRDefault="00B30DE3"/>
    <w:sectPr w:rsidR="00B30DE3" w:rsidSect="00AB4A26">
      <w:footerReference w:type="default" r:id="rId7"/>
      <w:headerReference w:type="first" r:id="rId8"/>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A5A9D" w14:textId="77777777" w:rsidR="0007323A" w:rsidRDefault="0007323A">
      <w:pPr>
        <w:spacing w:after="0" w:line="240" w:lineRule="auto"/>
      </w:pPr>
      <w:r>
        <w:separator/>
      </w:r>
    </w:p>
  </w:endnote>
  <w:endnote w:type="continuationSeparator" w:id="0">
    <w:p w14:paraId="3341F13E" w14:textId="77777777" w:rsidR="0007323A" w:rsidRDefault="0007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77777777" w:rsidR="00112FD3" w:rsidRDefault="00B652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07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5E939" w14:textId="77777777" w:rsidR="0007323A" w:rsidRDefault="0007323A">
      <w:pPr>
        <w:spacing w:after="0" w:line="240" w:lineRule="auto"/>
      </w:pPr>
      <w:r>
        <w:separator/>
      </w:r>
    </w:p>
  </w:footnote>
  <w:footnote w:type="continuationSeparator" w:id="0">
    <w:p w14:paraId="5BCCEF38" w14:textId="77777777" w:rsidR="0007323A" w:rsidRDefault="0007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Header"/>
    </w:pPr>
    <w:r>
      <w:t xml:space="preserve">JUAN CASADO BALLESTEROS </w:t>
    </w:r>
  </w:p>
  <w:p w14:paraId="44486561" w14:textId="70E8E824" w:rsidR="00AB4A26" w:rsidRDefault="00AB4A26">
    <w:pPr>
      <w:pStyle w:val="Header"/>
    </w:pPr>
    <w:r>
      <w:t>MIGUEL ÁNGEL LOSADA FERNÁNDEZ</w:t>
    </w:r>
  </w:p>
  <w:p w14:paraId="321EACC2" w14:textId="05A8C920" w:rsidR="00AB4A26" w:rsidRDefault="00AB4A26">
    <w:pPr>
      <w:pStyle w:val="Header"/>
    </w:pPr>
    <w:r>
      <w:t>LAURA PÉREZ MEDEIRO</w:t>
    </w:r>
  </w:p>
  <w:p w14:paraId="37389602" w14:textId="60400F32" w:rsidR="00AB4A26" w:rsidRDefault="00AB4A26">
    <w:pPr>
      <w:pStyle w:val="Header"/>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7323A"/>
    <w:rsid w:val="003662B6"/>
    <w:rsid w:val="005732B1"/>
    <w:rsid w:val="007E76A2"/>
    <w:rsid w:val="00AB4A26"/>
    <w:rsid w:val="00B30DE3"/>
    <w:rsid w:val="00B652F1"/>
    <w:rsid w:val="00C41F00"/>
    <w:rsid w:val="00D058AA"/>
    <w:rsid w:val="00D07700"/>
    <w:rsid w:val="00EC40A0"/>
    <w:rsid w:val="00EF2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F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652F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652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652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652F1"/>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Footer">
    <w:name w:val="footer"/>
    <w:basedOn w:val="Normal"/>
    <w:link w:val="FooterChar"/>
    <w:uiPriority w:val="99"/>
    <w:unhideWhenUsed/>
    <w:rsid w:val="00B652F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52F1"/>
    <w:rPr>
      <w:rFonts w:eastAsiaTheme="minorEastAsia"/>
      <w:sz w:val="21"/>
      <w:szCs w:val="21"/>
    </w:rPr>
  </w:style>
  <w:style w:type="paragraph" w:styleId="BalloonText">
    <w:name w:val="Balloon Text"/>
    <w:basedOn w:val="Normal"/>
    <w:link w:val="BalloonTextChar"/>
    <w:uiPriority w:val="99"/>
    <w:semiHidden/>
    <w:unhideWhenUsed/>
    <w:rsid w:val="00B65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2F1"/>
    <w:rPr>
      <w:rFonts w:ascii="Segoe UI" w:eastAsiaTheme="minorEastAsia" w:hAnsi="Segoe UI" w:cs="Segoe UI"/>
      <w:sz w:val="18"/>
      <w:szCs w:val="18"/>
    </w:rPr>
  </w:style>
  <w:style w:type="paragraph" w:styleId="Header">
    <w:name w:val="header"/>
    <w:basedOn w:val="Normal"/>
    <w:link w:val="HeaderChar"/>
    <w:uiPriority w:val="99"/>
    <w:unhideWhenUsed/>
    <w:rsid w:val="00AB4A26"/>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4A2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Casado Ballesteros Juan</cp:lastModifiedBy>
  <cp:revision>3</cp:revision>
  <dcterms:created xsi:type="dcterms:W3CDTF">2018-10-22T15:06:00Z</dcterms:created>
  <dcterms:modified xsi:type="dcterms:W3CDTF">2018-11-25T19:44:00Z</dcterms:modified>
</cp:coreProperties>
</file>