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83" w:rsidRPr="00EA5D78" w:rsidRDefault="00223464">
      <w:pPr>
        <w:rPr>
          <w:rFonts w:asciiTheme="majorHAnsi" w:hAnsiTheme="majorHAnsi"/>
          <w:sz w:val="32"/>
          <w:szCs w:val="32"/>
        </w:rPr>
      </w:pPr>
      <w:r w:rsidRPr="00EA5D78">
        <w:rPr>
          <w:rFonts w:asciiTheme="majorHAnsi" w:hAnsiTheme="majorHAnsi"/>
          <w:sz w:val="32"/>
          <w:szCs w:val="32"/>
        </w:rPr>
        <w:t>Demo Edo</w:t>
      </w:r>
      <w:r w:rsidR="00EA5D78">
        <w:rPr>
          <w:rFonts w:asciiTheme="majorHAnsi" w:hAnsiTheme="majorHAnsi"/>
          <w:sz w:val="32"/>
          <w:szCs w:val="32"/>
        </w:rPr>
        <w:t xml:space="preserve"> </w:t>
      </w:r>
      <w:r w:rsidRPr="00EA5D78">
        <w:rPr>
          <w:rFonts w:asciiTheme="majorHAnsi" w:hAnsiTheme="majorHAnsi"/>
          <w:sz w:val="32"/>
          <w:szCs w:val="32"/>
        </w:rPr>
        <w:t xml:space="preserve">Mex  Diabetes. </w:t>
      </w:r>
    </w:p>
    <w:p w:rsidR="003F4302" w:rsidRPr="00BB5A4B" w:rsidRDefault="003F4302">
      <w:pP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>24/03/2016</w:t>
      </w:r>
    </w:p>
    <w:p w:rsidR="003F4302" w:rsidRPr="00BB5A4B" w:rsidRDefault="003F4302">
      <w:pP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>JCAA</w:t>
      </w:r>
    </w:p>
    <w:p w:rsidR="00223464" w:rsidRDefault="00223464">
      <w:pPr>
        <w:rPr>
          <w:rFonts w:asciiTheme="majorHAnsi" w:hAnsiTheme="majorHAnsi"/>
          <w:sz w:val="20"/>
          <w:szCs w:val="20"/>
        </w:rPr>
      </w:pPr>
    </w:p>
    <w:p w:rsidR="007D6573" w:rsidRPr="007D6573" w:rsidRDefault="007D6573">
      <w:pPr>
        <w:rPr>
          <w:rFonts w:asciiTheme="majorHAnsi" w:hAnsiTheme="majorHAnsi"/>
          <w:sz w:val="28"/>
          <w:szCs w:val="28"/>
        </w:rPr>
      </w:pPr>
      <w:r w:rsidRPr="007D6573">
        <w:rPr>
          <w:rFonts w:asciiTheme="majorHAnsi" w:hAnsiTheme="majorHAnsi"/>
          <w:sz w:val="28"/>
          <w:szCs w:val="28"/>
        </w:rPr>
        <w:t>Descripción</w:t>
      </w:r>
    </w:p>
    <w:p w:rsidR="007D6573" w:rsidRDefault="00223464" w:rsidP="007D6573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>El propósito de esta demo es mostrar las capacidades de Dattlas. Se resaltan la integración y limpieza de diferentes fuentes de datos, los diversos niveles de deta</w:t>
      </w:r>
      <w:r w:rsidR="00B35E8B" w:rsidRPr="00BB5A4B">
        <w:rPr>
          <w:rFonts w:asciiTheme="majorHAnsi" w:hAnsiTheme="majorHAnsi"/>
          <w:sz w:val="20"/>
          <w:szCs w:val="20"/>
        </w:rPr>
        <w:t>lle en los que</w:t>
      </w:r>
      <w:r w:rsidRPr="00BB5A4B">
        <w:rPr>
          <w:rFonts w:asciiTheme="majorHAnsi" w:hAnsiTheme="majorHAnsi"/>
          <w:sz w:val="20"/>
          <w:szCs w:val="20"/>
        </w:rPr>
        <w:t xml:space="preserve"> es</w:t>
      </w:r>
      <w:r w:rsidR="00057DA1" w:rsidRPr="00BB5A4B">
        <w:rPr>
          <w:rFonts w:asciiTheme="majorHAnsi" w:hAnsiTheme="majorHAnsi"/>
          <w:sz w:val="20"/>
          <w:szCs w:val="20"/>
        </w:rPr>
        <w:t xml:space="preserve"> posi</w:t>
      </w:r>
      <w:r w:rsidR="00B35E8B" w:rsidRPr="00BB5A4B">
        <w:rPr>
          <w:rFonts w:asciiTheme="majorHAnsi" w:hAnsiTheme="majorHAnsi"/>
          <w:sz w:val="20"/>
          <w:szCs w:val="20"/>
        </w:rPr>
        <w:t>ble</w:t>
      </w:r>
      <w:r w:rsidRPr="00BB5A4B">
        <w:rPr>
          <w:rFonts w:asciiTheme="majorHAnsi" w:hAnsiTheme="majorHAnsi"/>
          <w:sz w:val="20"/>
          <w:szCs w:val="20"/>
        </w:rPr>
        <w:t xml:space="preserve"> analizar la información</w:t>
      </w:r>
      <w:r w:rsidR="003F4302" w:rsidRPr="00BB5A4B">
        <w:rPr>
          <w:rFonts w:asciiTheme="majorHAnsi" w:hAnsiTheme="majorHAnsi"/>
          <w:sz w:val="20"/>
          <w:szCs w:val="20"/>
        </w:rPr>
        <w:t xml:space="preserve"> y </w:t>
      </w:r>
      <w:r w:rsidRPr="00BB5A4B">
        <w:rPr>
          <w:rFonts w:asciiTheme="majorHAnsi" w:hAnsiTheme="majorHAnsi"/>
          <w:sz w:val="20"/>
          <w:szCs w:val="20"/>
        </w:rPr>
        <w:t xml:space="preserve">la capacidad de creación de modelos matemáticos para en análisis descriptivo y predictivo. </w:t>
      </w:r>
    </w:p>
    <w:p w:rsidR="003F4302" w:rsidRPr="00BB5A4B" w:rsidRDefault="003F4302" w:rsidP="007D6573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>En esta demo se replica el estudio “Kilos de más, pesos de menos –</w:t>
      </w:r>
      <w:r w:rsidR="00B35E8B" w:rsidRPr="00BB5A4B">
        <w:rPr>
          <w:rFonts w:asciiTheme="majorHAnsi" w:hAnsiTheme="majorHAnsi"/>
          <w:sz w:val="20"/>
          <w:szCs w:val="20"/>
        </w:rPr>
        <w:t xml:space="preserve"> L</w:t>
      </w:r>
      <w:r w:rsidRPr="00BB5A4B">
        <w:rPr>
          <w:rFonts w:asciiTheme="majorHAnsi" w:hAnsiTheme="majorHAnsi"/>
          <w:sz w:val="20"/>
          <w:szCs w:val="20"/>
        </w:rPr>
        <w:t xml:space="preserve">os costos de la obesidad en México” realizado por el Instituto Méxicano para la Competitividad (IMCO). Esta demo replican los métodos de la IMCO </w:t>
      </w:r>
      <w:r w:rsidR="00AC7F22" w:rsidRPr="00BB5A4B">
        <w:rPr>
          <w:rFonts w:asciiTheme="majorHAnsi" w:hAnsiTheme="majorHAnsi"/>
          <w:sz w:val="20"/>
          <w:szCs w:val="20"/>
        </w:rPr>
        <w:t xml:space="preserve">para calcular el costo de la obesidad y el sobrepeso, </w:t>
      </w:r>
      <w:r w:rsidRPr="00BB5A4B">
        <w:rPr>
          <w:rFonts w:asciiTheme="majorHAnsi" w:hAnsiTheme="majorHAnsi"/>
          <w:sz w:val="20"/>
          <w:szCs w:val="20"/>
        </w:rPr>
        <w:t>restringiéndose al estado de México, y aumentando la resolución del análisis a nivel loca</w:t>
      </w:r>
      <w:r w:rsidR="00B35E8B" w:rsidRPr="00BB5A4B">
        <w:rPr>
          <w:rFonts w:asciiTheme="majorHAnsi" w:hAnsiTheme="majorHAnsi"/>
          <w:sz w:val="20"/>
          <w:szCs w:val="20"/>
        </w:rPr>
        <w:t xml:space="preserve">lidad por sexo y grupo etario; además se </w:t>
      </w:r>
      <w:r w:rsidR="00AC7F22" w:rsidRPr="00BB5A4B">
        <w:rPr>
          <w:rFonts w:asciiTheme="majorHAnsi" w:hAnsiTheme="majorHAnsi"/>
          <w:sz w:val="20"/>
          <w:szCs w:val="20"/>
        </w:rPr>
        <w:t xml:space="preserve">integran factores socio demográficos para ampliar el análisis. </w:t>
      </w:r>
    </w:p>
    <w:p w:rsidR="00BB5A4B" w:rsidRDefault="00AC7F22">
      <w:pPr>
        <w:pBdr>
          <w:bottom w:val="single" w:sz="6" w:space="1" w:color="auto"/>
        </w:pBdr>
        <w:rPr>
          <w:rFonts w:asciiTheme="majorHAnsi" w:hAnsiTheme="majorHAnsi"/>
          <w:sz w:val="28"/>
          <w:szCs w:val="28"/>
        </w:rPr>
      </w:pPr>
      <w:r w:rsidRPr="00BB5A4B">
        <w:rPr>
          <w:rFonts w:asciiTheme="majorHAnsi" w:hAnsiTheme="majorHAnsi"/>
          <w:sz w:val="20"/>
          <w:szCs w:val="20"/>
        </w:rPr>
        <w:t>Todas las fuentes de datos en esta demo son datos públicos y se encuentran disponibles en internet.</w:t>
      </w:r>
      <w:r w:rsidRPr="007D6573">
        <w:rPr>
          <w:rFonts w:asciiTheme="majorHAnsi" w:hAnsiTheme="majorHAnsi"/>
          <w:sz w:val="28"/>
          <w:szCs w:val="28"/>
        </w:rPr>
        <w:t xml:space="preserve"> </w:t>
      </w:r>
    </w:p>
    <w:p w:rsidR="007D6573" w:rsidRPr="007D6573" w:rsidRDefault="007D6573">
      <w:pPr>
        <w:pBdr>
          <w:bottom w:val="single" w:sz="6" w:space="1" w:color="auto"/>
        </w:pBdr>
        <w:rPr>
          <w:rFonts w:asciiTheme="majorHAnsi" w:hAnsiTheme="majorHAnsi"/>
          <w:sz w:val="28"/>
          <w:szCs w:val="28"/>
        </w:rPr>
      </w:pPr>
    </w:p>
    <w:p w:rsidR="007D6573" w:rsidRPr="007D6573" w:rsidRDefault="007D6573">
      <w:pPr>
        <w:rPr>
          <w:rFonts w:asciiTheme="majorHAnsi" w:hAnsiTheme="majorHAnsi"/>
          <w:sz w:val="28"/>
          <w:szCs w:val="28"/>
        </w:rPr>
      </w:pPr>
      <w:r w:rsidRPr="007D6573">
        <w:rPr>
          <w:rFonts w:asciiTheme="majorHAnsi" w:hAnsiTheme="majorHAnsi"/>
          <w:sz w:val="28"/>
          <w:szCs w:val="28"/>
        </w:rPr>
        <w:t>Metodología</w:t>
      </w:r>
    </w:p>
    <w:p w:rsidR="006D7EAB" w:rsidRDefault="00C415A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Primero se integraron diversas fuentes de datos a nivel localidad para obtener distintos indicadores </w:t>
      </w:r>
      <w:r w:rsidRPr="00BB5A4B">
        <w:rPr>
          <w:rFonts w:asciiTheme="majorHAnsi" w:hAnsiTheme="majorHAnsi"/>
          <w:sz w:val="20"/>
          <w:szCs w:val="20"/>
        </w:rPr>
        <w:t xml:space="preserve">socio demográficos </w:t>
      </w:r>
      <w:r>
        <w:rPr>
          <w:rFonts w:asciiTheme="majorHAnsi" w:hAnsiTheme="majorHAnsi"/>
          <w:sz w:val="20"/>
          <w:szCs w:val="20"/>
        </w:rPr>
        <w:t>como el número total de habitantes, el número de derechohabientes,</w:t>
      </w:r>
      <w:r w:rsidR="007D6573">
        <w:rPr>
          <w:rFonts w:asciiTheme="majorHAnsi" w:hAnsiTheme="majorHAnsi"/>
          <w:sz w:val="20"/>
          <w:szCs w:val="20"/>
        </w:rPr>
        <w:t xml:space="preserve"> porcentaje de ocupación, escolaridad promedio, </w:t>
      </w:r>
      <w:r>
        <w:rPr>
          <w:rFonts w:asciiTheme="majorHAnsi" w:hAnsiTheme="majorHAnsi"/>
          <w:sz w:val="20"/>
          <w:szCs w:val="20"/>
        </w:rPr>
        <w:t xml:space="preserve"> número de unidades deportivas, número de restau</w:t>
      </w:r>
      <w:r w:rsidR="006D7EAB">
        <w:rPr>
          <w:rFonts w:asciiTheme="majorHAnsi" w:hAnsiTheme="majorHAnsi"/>
          <w:sz w:val="20"/>
          <w:szCs w:val="20"/>
        </w:rPr>
        <w:t>rantes de comida chatarra etc..</w:t>
      </w:r>
    </w:p>
    <w:p w:rsidR="00BB5A4B" w:rsidRDefault="006D7EA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Después se calcula el </w:t>
      </w:r>
      <w:r w:rsidR="00B418BB">
        <w:rPr>
          <w:rFonts w:asciiTheme="majorHAnsi" w:hAnsiTheme="majorHAnsi"/>
          <w:sz w:val="20"/>
          <w:szCs w:val="20"/>
        </w:rPr>
        <w:t xml:space="preserve">costo del </w:t>
      </w:r>
      <w:r w:rsidR="00BB5A4B">
        <w:rPr>
          <w:rFonts w:asciiTheme="majorHAnsi" w:hAnsiTheme="majorHAnsi"/>
          <w:sz w:val="20"/>
          <w:szCs w:val="20"/>
        </w:rPr>
        <w:t xml:space="preserve"> sobrepeso y obesidad se por tres rubros. </w:t>
      </w:r>
    </w:p>
    <w:p w:rsidR="00BB5A4B" w:rsidRDefault="00BB5A4B" w:rsidP="00BB5A4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Costo del tratamiento de pacientes diabéticos e hiperte</w:t>
      </w:r>
      <w:r w:rsidR="007D6573">
        <w:rPr>
          <w:rFonts w:asciiTheme="majorHAnsi" w:hAnsiTheme="majorHAnsi"/>
          <w:sz w:val="20"/>
          <w:szCs w:val="20"/>
        </w:rPr>
        <w:t>nsos (no se consideran complicaciones)</w:t>
      </w:r>
    </w:p>
    <w:p w:rsidR="00BB5A4B" w:rsidRDefault="00BB5A4B" w:rsidP="00BB5A4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Costos de días perdidos en hospitales por pacientes que asisten por diabetes o hipertensión</w:t>
      </w:r>
    </w:p>
    <w:p w:rsidR="00BB5A4B" w:rsidRDefault="00BB5A4B" w:rsidP="00BB5A4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Costos de muertes causadas con diabetes o hipertensión. </w:t>
      </w:r>
    </w:p>
    <w:p w:rsidR="007D6573" w:rsidRDefault="007D657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Para ello</w:t>
      </w:r>
      <w:r w:rsidR="00C415A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a </w:t>
      </w:r>
      <w:r w:rsidR="00C415AD">
        <w:rPr>
          <w:rFonts w:asciiTheme="majorHAnsi" w:hAnsiTheme="majorHAnsi"/>
          <w:sz w:val="20"/>
          <w:szCs w:val="20"/>
        </w:rPr>
        <w:t>partir de diferentes fuentes de datos del sector salud se</w:t>
      </w:r>
      <w:r w:rsidR="00B418BB">
        <w:rPr>
          <w:rFonts w:asciiTheme="majorHAnsi" w:hAnsiTheme="majorHAnsi"/>
          <w:sz w:val="20"/>
          <w:szCs w:val="20"/>
        </w:rPr>
        <w:t xml:space="preserve"> calculan</w:t>
      </w:r>
      <w:r w:rsidR="00852099">
        <w:rPr>
          <w:rFonts w:asciiTheme="majorHAnsi" w:hAnsiTheme="majorHAnsi"/>
          <w:sz w:val="20"/>
          <w:szCs w:val="20"/>
        </w:rPr>
        <w:t xml:space="preserve">  el número de pacientes en tratamiento, los días perdidos</w:t>
      </w:r>
      <w:r w:rsidR="00C415AD">
        <w:rPr>
          <w:rFonts w:asciiTheme="majorHAnsi" w:hAnsiTheme="majorHAnsi"/>
          <w:sz w:val="20"/>
          <w:szCs w:val="20"/>
        </w:rPr>
        <w:t xml:space="preserve"> en hospitales y el número de</w:t>
      </w:r>
      <w:r w:rsidR="00852099">
        <w:rPr>
          <w:rFonts w:asciiTheme="majorHAnsi" w:hAnsiTheme="majorHAnsi"/>
          <w:sz w:val="20"/>
          <w:szCs w:val="20"/>
        </w:rPr>
        <w:t xml:space="preserve"> defunciones</w:t>
      </w:r>
      <w:r w:rsidR="00C415AD">
        <w:rPr>
          <w:rFonts w:asciiTheme="majorHAnsi" w:hAnsiTheme="majorHAnsi"/>
          <w:sz w:val="20"/>
          <w:szCs w:val="20"/>
        </w:rPr>
        <w:t xml:space="preserve">. Estos se calculan por año, de 2010 a 2014  y se agregan por </w:t>
      </w:r>
      <w:r w:rsidR="00852099">
        <w:rPr>
          <w:rFonts w:asciiTheme="majorHAnsi" w:hAnsiTheme="majorHAnsi"/>
          <w:sz w:val="20"/>
          <w:szCs w:val="20"/>
        </w:rPr>
        <w:t xml:space="preserve"> localidad,</w:t>
      </w:r>
      <w:r w:rsidR="00B418BB">
        <w:rPr>
          <w:rFonts w:asciiTheme="majorHAnsi" w:hAnsiTheme="majorHAnsi"/>
          <w:sz w:val="20"/>
          <w:szCs w:val="20"/>
        </w:rPr>
        <w:t xml:space="preserve"> sexo</w:t>
      </w:r>
      <w:r w:rsidR="00852099">
        <w:rPr>
          <w:rFonts w:asciiTheme="majorHAnsi" w:hAnsiTheme="majorHAnsi"/>
          <w:sz w:val="20"/>
          <w:szCs w:val="20"/>
        </w:rPr>
        <w:t xml:space="preserve"> y  grupo etario</w:t>
      </w:r>
      <w:r w:rsidR="00C415AD">
        <w:rPr>
          <w:rFonts w:asciiTheme="majorHAnsi" w:hAnsiTheme="majorHAnsi"/>
          <w:sz w:val="20"/>
          <w:szCs w:val="20"/>
        </w:rPr>
        <w:t xml:space="preserve"> (</w:t>
      </w:r>
      <w:r w:rsidR="00852099">
        <w:rPr>
          <w:rFonts w:asciiTheme="majorHAnsi" w:hAnsiTheme="majorHAnsi"/>
          <w:sz w:val="20"/>
          <w:szCs w:val="20"/>
        </w:rPr>
        <w:t xml:space="preserve">divididos de </w:t>
      </w:r>
      <w:r w:rsidR="00B418BB">
        <w:rPr>
          <w:rFonts w:asciiTheme="majorHAnsi" w:hAnsiTheme="majorHAnsi"/>
          <w:sz w:val="20"/>
          <w:szCs w:val="20"/>
        </w:rPr>
        <w:t>20 a 29,</w:t>
      </w:r>
      <w:r w:rsidR="00B418BB" w:rsidRPr="00B418BB">
        <w:rPr>
          <w:rFonts w:asciiTheme="majorHAnsi" w:hAnsiTheme="majorHAnsi"/>
          <w:sz w:val="20"/>
          <w:szCs w:val="20"/>
        </w:rPr>
        <w:t xml:space="preserve"> </w:t>
      </w:r>
      <w:r w:rsidR="00852099">
        <w:rPr>
          <w:rFonts w:asciiTheme="majorHAnsi" w:hAnsiTheme="majorHAnsi"/>
          <w:sz w:val="20"/>
          <w:szCs w:val="20"/>
        </w:rPr>
        <w:t xml:space="preserve">de </w:t>
      </w:r>
      <w:r w:rsidR="00B418BB">
        <w:rPr>
          <w:rFonts w:asciiTheme="majorHAnsi" w:hAnsiTheme="majorHAnsi"/>
          <w:sz w:val="20"/>
          <w:szCs w:val="20"/>
        </w:rPr>
        <w:t>30 a 39,</w:t>
      </w:r>
      <w:r w:rsidR="00852099">
        <w:rPr>
          <w:rFonts w:asciiTheme="majorHAnsi" w:hAnsiTheme="majorHAnsi"/>
          <w:sz w:val="20"/>
          <w:szCs w:val="20"/>
        </w:rPr>
        <w:t xml:space="preserve"> de</w:t>
      </w:r>
      <w:r w:rsidR="00B418BB">
        <w:rPr>
          <w:rFonts w:asciiTheme="majorHAnsi" w:hAnsiTheme="majorHAnsi"/>
          <w:sz w:val="20"/>
          <w:szCs w:val="20"/>
        </w:rPr>
        <w:t xml:space="preserve"> 40 a 49,</w:t>
      </w:r>
      <w:r w:rsidR="00852099">
        <w:rPr>
          <w:rFonts w:asciiTheme="majorHAnsi" w:hAnsiTheme="majorHAnsi"/>
          <w:sz w:val="20"/>
          <w:szCs w:val="20"/>
        </w:rPr>
        <w:t xml:space="preserve"> de</w:t>
      </w:r>
      <w:r w:rsidR="00B418BB">
        <w:rPr>
          <w:rFonts w:asciiTheme="majorHAnsi" w:hAnsiTheme="majorHAnsi"/>
          <w:sz w:val="20"/>
          <w:szCs w:val="20"/>
        </w:rPr>
        <w:t xml:space="preserve"> 50</w:t>
      </w:r>
      <w:r w:rsidR="00852099">
        <w:rPr>
          <w:rFonts w:asciiTheme="majorHAnsi" w:hAnsiTheme="majorHAnsi"/>
          <w:sz w:val="20"/>
          <w:szCs w:val="20"/>
        </w:rPr>
        <w:t xml:space="preserve"> a 5</w:t>
      </w:r>
      <w:r w:rsidR="00B418BB">
        <w:rPr>
          <w:rFonts w:asciiTheme="majorHAnsi" w:hAnsiTheme="majorHAnsi"/>
          <w:sz w:val="20"/>
          <w:szCs w:val="20"/>
        </w:rPr>
        <w:t>9,</w:t>
      </w:r>
      <w:r w:rsidR="00852099">
        <w:rPr>
          <w:rFonts w:asciiTheme="majorHAnsi" w:hAnsiTheme="majorHAnsi"/>
          <w:sz w:val="20"/>
          <w:szCs w:val="20"/>
        </w:rPr>
        <w:t xml:space="preserve"> de</w:t>
      </w:r>
      <w:r w:rsidR="00B418BB">
        <w:rPr>
          <w:rFonts w:asciiTheme="majorHAnsi" w:hAnsiTheme="majorHAnsi"/>
          <w:sz w:val="20"/>
          <w:szCs w:val="20"/>
        </w:rPr>
        <w:t xml:space="preserve"> 60 a 69</w:t>
      </w:r>
      <w:r w:rsidR="00C415AD">
        <w:rPr>
          <w:rFonts w:asciiTheme="majorHAnsi" w:hAnsiTheme="majorHAnsi"/>
          <w:sz w:val="20"/>
          <w:szCs w:val="20"/>
        </w:rPr>
        <w:t xml:space="preserve"> y 70 a 100)</w:t>
      </w:r>
      <w:r>
        <w:rPr>
          <w:rFonts w:asciiTheme="majorHAnsi" w:hAnsiTheme="majorHAnsi"/>
          <w:sz w:val="20"/>
          <w:szCs w:val="20"/>
        </w:rPr>
        <w:t xml:space="preserve">. </w:t>
      </w:r>
    </w:p>
    <w:p w:rsidR="006D7EAB" w:rsidRDefault="0085209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Una vez calculados en número de tratamientos, días perdidos y defunciones, se modelan  los datos por un GLM  por localidad y se realizan predicciones de los mismos hacia el 2020.  </w:t>
      </w:r>
    </w:p>
    <w:p w:rsidR="007D6573" w:rsidRDefault="007D6573" w:rsidP="007D657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Posterior mente se calculan los costos como siguiendo los métodos de la IMCO.</w:t>
      </w:r>
    </w:p>
    <w:p w:rsidR="00BB5A4B" w:rsidRDefault="006D7EAB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La manipulación de datos y el modelaje  se realizan en R, y los resultados son presentados en Tableau</w:t>
      </w:r>
      <w:r w:rsidR="007D6573">
        <w:rPr>
          <w:rFonts w:asciiTheme="majorHAnsi" w:hAnsiTheme="majorHAnsi"/>
          <w:sz w:val="20"/>
          <w:szCs w:val="20"/>
        </w:rPr>
        <w:t>.</w:t>
      </w:r>
    </w:p>
    <w:p w:rsidR="007D6573" w:rsidRDefault="007D6573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:rsidR="00CC665D" w:rsidRDefault="00CC665D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:rsidR="007D6573" w:rsidRDefault="007D6573">
      <w:pPr>
        <w:rPr>
          <w:rFonts w:asciiTheme="majorHAnsi" w:hAnsiTheme="majorHAnsi"/>
          <w:sz w:val="20"/>
          <w:szCs w:val="20"/>
        </w:rPr>
      </w:pPr>
    </w:p>
    <w:p w:rsidR="00CC665D" w:rsidRDefault="00CC665D">
      <w:pPr>
        <w:rPr>
          <w:rFonts w:asciiTheme="majorHAnsi" w:hAnsiTheme="majorHAnsi"/>
          <w:sz w:val="20"/>
          <w:szCs w:val="20"/>
        </w:rPr>
      </w:pPr>
    </w:p>
    <w:p w:rsidR="00BB5A4B" w:rsidRPr="006D7EAB" w:rsidRDefault="00BB5A4B">
      <w:pPr>
        <w:rPr>
          <w:rFonts w:asciiTheme="majorHAnsi" w:hAnsiTheme="majorHAnsi"/>
          <w:sz w:val="28"/>
          <w:szCs w:val="28"/>
        </w:rPr>
      </w:pPr>
      <w:r w:rsidRPr="006D7EAB">
        <w:rPr>
          <w:rFonts w:asciiTheme="majorHAnsi" w:hAnsiTheme="majorHAnsi"/>
          <w:sz w:val="28"/>
          <w:szCs w:val="28"/>
        </w:rPr>
        <w:lastRenderedPageBreak/>
        <w:t>Fuentes de datos</w:t>
      </w:r>
    </w:p>
    <w:p w:rsidR="00AC7F22" w:rsidRPr="00BB5A4B" w:rsidRDefault="006D7EAB">
      <w:pPr>
        <w:rPr>
          <w:rFonts w:asciiTheme="majorHAnsi" w:hAnsi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/>
          <w:b/>
          <w:color w:val="000000" w:themeColor="text1"/>
          <w:sz w:val="20"/>
          <w:szCs w:val="20"/>
        </w:rPr>
        <w:t>D</w:t>
      </w:r>
      <w:r w:rsidR="00AC7F22" w:rsidRPr="00BB5A4B">
        <w:rPr>
          <w:rFonts w:asciiTheme="majorHAnsi" w:hAnsiTheme="majorHAnsi"/>
          <w:b/>
          <w:color w:val="000000" w:themeColor="text1"/>
          <w:sz w:val="20"/>
          <w:szCs w:val="20"/>
        </w:rPr>
        <w:t>atos del INEGI</w:t>
      </w:r>
    </w:p>
    <w:p w:rsidR="00AC7F22" w:rsidRPr="00BB5A4B" w:rsidRDefault="00AC7F22" w:rsidP="00BB5A4B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BB5A4B">
        <w:rPr>
          <w:rFonts w:asciiTheme="majorHAnsi" w:hAnsiTheme="majorHAnsi"/>
          <w:color w:val="000000" w:themeColor="text1"/>
          <w:sz w:val="20"/>
          <w:szCs w:val="20"/>
        </w:rPr>
        <w:t xml:space="preserve">Censo de población y vivienda 2010 - </w:t>
      </w:r>
      <w:r w:rsidRPr="00BB5A4B">
        <w:rPr>
          <w:rFonts w:asciiTheme="majorHAnsi" w:hAnsiTheme="majorHAnsi" w:cs="Arial"/>
          <w:bCs/>
          <w:color w:val="000000" w:themeColor="text1"/>
          <w:sz w:val="20"/>
          <w:szCs w:val="20"/>
          <w:shd w:val="clear" w:color="auto" w:fill="FFFFFF"/>
        </w:rPr>
        <w:t>Principales resultados por localidad</w:t>
      </w:r>
      <w:r w:rsidRPr="00BB5A4B">
        <w:rPr>
          <w:rStyle w:val="apple-converted-space"/>
          <w:rFonts w:asciiTheme="majorHAnsi" w:hAnsiTheme="majorHAnsi" w:cs="Arial"/>
          <w:bCs/>
          <w:color w:val="000000" w:themeColor="text1"/>
          <w:sz w:val="20"/>
          <w:szCs w:val="20"/>
          <w:shd w:val="clear" w:color="auto" w:fill="FFFFFF"/>
        </w:rPr>
        <w:t> </w:t>
      </w:r>
      <w:r w:rsidRPr="00BB5A4B">
        <w:rPr>
          <w:rFonts w:asciiTheme="majorHAnsi" w:hAnsiTheme="majorHAnsi" w:cs="LMRoman10-Regular"/>
          <w:color w:val="000000" w:themeColor="text1"/>
          <w:sz w:val="20"/>
          <w:szCs w:val="20"/>
        </w:rPr>
        <w:t xml:space="preserve"> </w:t>
      </w:r>
    </w:p>
    <w:p w:rsidR="00AC7F22" w:rsidRPr="00BB5A4B" w:rsidRDefault="00CC665D" w:rsidP="00AC7F22">
      <w:pPr>
        <w:ind w:firstLine="708"/>
        <w:rPr>
          <w:rFonts w:asciiTheme="majorHAnsi" w:hAnsiTheme="majorHAnsi" w:cs="LMRoman10-Regular"/>
          <w:color w:val="2E74B5" w:themeColor="accent1" w:themeShade="BF"/>
          <w:sz w:val="20"/>
          <w:szCs w:val="20"/>
        </w:rPr>
      </w:pPr>
      <w:hyperlink r:id="rId5" w:history="1">
        <w:r w:rsidR="00AC7F22" w:rsidRPr="00BB5A4B">
          <w:rPr>
            <w:rStyle w:val="Hyperlink"/>
            <w:rFonts w:asciiTheme="majorHAnsi" w:hAnsiTheme="majorHAnsi" w:cs="LMRoman10-Regular"/>
            <w:color w:val="2E74B5" w:themeColor="accent1" w:themeShade="BF"/>
            <w:sz w:val="20"/>
            <w:szCs w:val="20"/>
          </w:rPr>
          <w:t>http://www.inegi.org.mx/sistemas/consulta_resultados/iter2010.aspx?c=27329&amp;s=est</w:t>
        </w:r>
      </w:hyperlink>
    </w:p>
    <w:p w:rsidR="00AC7F22" w:rsidRPr="00BB5A4B" w:rsidRDefault="00AC7F22" w:rsidP="00BB5A4B">
      <w:pPr>
        <w:pStyle w:val="ListParagraph"/>
        <w:numPr>
          <w:ilvl w:val="0"/>
          <w:numId w:val="2"/>
        </w:numPr>
        <w:rPr>
          <w:rFonts w:asciiTheme="majorHAnsi" w:hAnsiTheme="majorHAnsi" w:cs="LMRoman10-Regular"/>
          <w:color w:val="000000" w:themeColor="text1"/>
          <w:sz w:val="20"/>
          <w:szCs w:val="20"/>
        </w:rPr>
      </w:pPr>
      <w:r w:rsidRPr="00BB5A4B">
        <w:rPr>
          <w:rFonts w:asciiTheme="majorHAnsi" w:hAnsiTheme="majorHAnsi" w:cs="LMRoman10-Regular"/>
          <w:color w:val="000000" w:themeColor="text1"/>
          <w:sz w:val="20"/>
          <w:szCs w:val="20"/>
        </w:rPr>
        <w:t>Directorio Estadístico Nacional de Unidades Económicas (DENUE)</w:t>
      </w:r>
    </w:p>
    <w:p w:rsidR="00AC7F22" w:rsidRPr="00BB5A4B" w:rsidRDefault="00AC7F22" w:rsidP="00BB5A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MRoman10-Regular"/>
          <w:color w:val="000000" w:themeColor="text1"/>
          <w:sz w:val="20"/>
          <w:szCs w:val="20"/>
        </w:rPr>
      </w:pPr>
      <w:r w:rsidRPr="00BB5A4B">
        <w:rPr>
          <w:rFonts w:asciiTheme="majorHAnsi" w:hAnsiTheme="majorHAnsi" w:cs="LMRoman10-Regular"/>
          <w:color w:val="000000" w:themeColor="text1"/>
          <w:sz w:val="20"/>
          <w:szCs w:val="20"/>
        </w:rPr>
        <w:t>Direcciones y geolocalizaciones de restaurantes.</w:t>
      </w:r>
    </w:p>
    <w:p w:rsidR="00AC7F22" w:rsidRPr="00BB5A4B" w:rsidRDefault="00AC7F22" w:rsidP="00AC7F22">
      <w:pPr>
        <w:ind w:left="708" w:firstLine="708"/>
        <w:rPr>
          <w:rFonts w:asciiTheme="majorHAnsi" w:hAnsiTheme="majorHAnsi" w:cs="LMRoman10-Regular"/>
          <w:color w:val="2E74B5" w:themeColor="accent1" w:themeShade="BF"/>
          <w:sz w:val="20"/>
          <w:szCs w:val="20"/>
          <w:u w:val="single"/>
        </w:rPr>
      </w:pPr>
      <w:r w:rsidRPr="00BB5A4B">
        <w:rPr>
          <w:rFonts w:asciiTheme="majorHAnsi" w:hAnsiTheme="majorHAnsi" w:cs="LMRoman10-Regular"/>
          <w:color w:val="2E74B5" w:themeColor="accent1" w:themeShade="BF"/>
          <w:sz w:val="20"/>
          <w:szCs w:val="20"/>
          <w:u w:val="single"/>
        </w:rPr>
        <w:t>http://www3.inegi.org.mx/sistemas/mapa/denue/default.aspx</w:t>
      </w:r>
    </w:p>
    <w:p w:rsidR="00AC7F22" w:rsidRPr="00BB5A4B" w:rsidRDefault="00AC7F22" w:rsidP="00BB5A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MRoman10-Regular"/>
          <w:color w:val="000000" w:themeColor="text1"/>
          <w:sz w:val="20"/>
          <w:szCs w:val="20"/>
        </w:rPr>
      </w:pPr>
      <w:r w:rsidRPr="00BB5A4B">
        <w:rPr>
          <w:rFonts w:asciiTheme="majorHAnsi" w:hAnsiTheme="majorHAnsi" w:cs="LMRoman10-Regular"/>
          <w:color w:val="000000" w:themeColor="text1"/>
          <w:sz w:val="20"/>
          <w:szCs w:val="20"/>
        </w:rPr>
        <w:t>Direcciones y geolocalizaciones de centros deportivos.</w:t>
      </w:r>
    </w:p>
    <w:p w:rsidR="00AC7F22" w:rsidRPr="00BB5A4B" w:rsidRDefault="00AC7F22" w:rsidP="00AC7F22">
      <w:pPr>
        <w:ind w:left="708" w:firstLine="708"/>
        <w:rPr>
          <w:rFonts w:asciiTheme="majorHAnsi" w:hAnsiTheme="majorHAnsi" w:cs="LMRoman10-Regular"/>
          <w:color w:val="2E74B5" w:themeColor="accent1" w:themeShade="BF"/>
          <w:sz w:val="20"/>
          <w:szCs w:val="20"/>
          <w:u w:val="single"/>
        </w:rPr>
      </w:pPr>
      <w:r w:rsidRPr="00BB5A4B">
        <w:rPr>
          <w:rFonts w:asciiTheme="majorHAnsi" w:hAnsiTheme="majorHAnsi" w:cs="LMRoman10-Regular"/>
          <w:color w:val="2E74B5" w:themeColor="accent1" w:themeShade="BF"/>
          <w:sz w:val="20"/>
          <w:szCs w:val="20"/>
          <w:u w:val="single"/>
        </w:rPr>
        <w:t xml:space="preserve"> http://www3.inegi.org.mx/sistemas/descarga/?c=200</w:t>
      </w:r>
    </w:p>
    <w:p w:rsidR="00AC7F22" w:rsidRPr="00BB5A4B" w:rsidRDefault="00AC7F22" w:rsidP="00BB5A4B">
      <w:pPr>
        <w:pStyle w:val="ListParagraph"/>
        <w:numPr>
          <w:ilvl w:val="0"/>
          <w:numId w:val="2"/>
        </w:numPr>
        <w:rPr>
          <w:rFonts w:asciiTheme="majorHAnsi" w:hAnsiTheme="majorHAnsi" w:cs="LMRoman10-Regular"/>
          <w:color w:val="000000" w:themeColor="text1"/>
          <w:sz w:val="20"/>
          <w:szCs w:val="20"/>
        </w:rPr>
      </w:pPr>
      <w:r w:rsidRPr="00BB5A4B">
        <w:rPr>
          <w:rFonts w:asciiTheme="majorHAnsi" w:hAnsiTheme="majorHAnsi" w:cs="Arial"/>
          <w:bCs/>
          <w:color w:val="000000" w:themeColor="text1"/>
          <w:sz w:val="20"/>
          <w:szCs w:val="20"/>
          <w:shd w:val="clear" w:color="auto" w:fill="FFFFFF"/>
        </w:rPr>
        <w:t>Catálogo Único de Claves de Áreas Geoestadísticas Estatales, Municipales y Localidades</w:t>
      </w:r>
    </w:p>
    <w:p w:rsidR="00AC7F22" w:rsidRPr="00BB5A4B" w:rsidRDefault="00AC7F22" w:rsidP="00AC7F22">
      <w:pPr>
        <w:ind w:firstLine="708"/>
        <w:rPr>
          <w:rFonts w:asciiTheme="majorHAnsi" w:hAnsiTheme="majorHAnsi"/>
          <w:color w:val="2E74B5" w:themeColor="accent1" w:themeShade="BF"/>
          <w:sz w:val="20"/>
          <w:szCs w:val="20"/>
          <w:u w:val="single"/>
        </w:rPr>
      </w:pPr>
      <w:r w:rsidRPr="00BB5A4B">
        <w:rPr>
          <w:rFonts w:asciiTheme="majorHAnsi" w:hAnsiTheme="majorHAnsi"/>
          <w:color w:val="2E74B5" w:themeColor="accent1" w:themeShade="BF"/>
          <w:sz w:val="20"/>
          <w:szCs w:val="20"/>
          <w:u w:val="single"/>
        </w:rPr>
        <w:t>http://www.inegi.org.mx/geo/contenidos/geoestadistica/catalogoclaves.aspx</w:t>
      </w:r>
    </w:p>
    <w:p w:rsidR="00AC7F22" w:rsidRPr="00BB5A4B" w:rsidRDefault="00AC7F22" w:rsidP="00BB5A4B">
      <w:pPr>
        <w:pStyle w:val="ListParagraph"/>
        <w:numPr>
          <w:ilvl w:val="0"/>
          <w:numId w:val="2"/>
        </w:numPr>
        <w:rPr>
          <w:rFonts w:asciiTheme="majorHAnsi" w:hAnsiTheme="majorHAnsi" w:cs="Arial"/>
          <w:bCs/>
          <w:color w:val="000000"/>
          <w:sz w:val="20"/>
          <w:szCs w:val="20"/>
          <w:shd w:val="clear" w:color="auto" w:fill="FFFFFF"/>
        </w:rPr>
      </w:pPr>
      <w:r w:rsidRPr="00BB5A4B">
        <w:rPr>
          <w:rFonts w:asciiTheme="majorHAnsi" w:hAnsiTheme="majorHAnsi" w:cs="Arial"/>
          <w:bCs/>
          <w:color w:val="000000"/>
          <w:sz w:val="20"/>
          <w:szCs w:val="20"/>
          <w:shd w:val="clear" w:color="auto" w:fill="FFFFFF"/>
        </w:rPr>
        <w:t>Encuesta Nacional de Ocupación y Empleo (ENOE)</w:t>
      </w:r>
    </w:p>
    <w:p w:rsidR="00AC7F22" w:rsidRPr="00BB5A4B" w:rsidRDefault="00AC7F22" w:rsidP="00AC7F22">
      <w:pPr>
        <w:ind w:firstLine="708"/>
        <w:rPr>
          <w:rFonts w:asciiTheme="majorHAnsi" w:hAnsiTheme="majorHAnsi"/>
          <w:color w:val="2E74B5" w:themeColor="accent1" w:themeShade="BF"/>
          <w:sz w:val="20"/>
          <w:szCs w:val="20"/>
          <w:u w:val="single"/>
        </w:rPr>
      </w:pPr>
      <w:r w:rsidRPr="00BB5A4B">
        <w:rPr>
          <w:rFonts w:asciiTheme="majorHAnsi" w:hAnsiTheme="majorHAnsi"/>
          <w:color w:val="2E74B5" w:themeColor="accent1" w:themeShade="BF"/>
          <w:sz w:val="20"/>
          <w:szCs w:val="20"/>
          <w:u w:val="single"/>
        </w:rPr>
        <w:t>http://www.inegi.org.mx/est/contenidos/Proyectos/encuestas/hogares/regulares/enoe/</w:t>
      </w:r>
    </w:p>
    <w:p w:rsidR="00AC7F22" w:rsidRPr="00BB5A4B" w:rsidRDefault="00AC7F22" w:rsidP="00BB5A4B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BB5A4B">
        <w:rPr>
          <w:rFonts w:asciiTheme="majorHAnsi" w:hAnsiTheme="majorHAnsi" w:cs="Arial"/>
          <w:bCs/>
          <w:color w:val="000000" w:themeColor="text1"/>
          <w:sz w:val="20"/>
          <w:szCs w:val="20"/>
          <w:shd w:val="clear" w:color="auto" w:fill="FFFFFF"/>
        </w:rPr>
        <w:t>Índices Nacionales de Precios - precios promedio</w:t>
      </w:r>
    </w:p>
    <w:p w:rsidR="00AC7F22" w:rsidRPr="00BB5A4B" w:rsidRDefault="00AC7F22">
      <w:pP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ab/>
      </w:r>
      <w:hyperlink r:id="rId6" w:history="1">
        <w:r w:rsidRPr="00BB5A4B">
          <w:rPr>
            <w:rStyle w:val="Hyperlink"/>
            <w:rFonts w:asciiTheme="majorHAnsi" w:hAnsiTheme="majorHAnsi"/>
            <w:sz w:val="20"/>
            <w:szCs w:val="20"/>
          </w:rPr>
          <w:t>http://www3.inegi.org.mx/sistemas/inp/preciospromedio/</w:t>
        </w:r>
      </w:hyperlink>
    </w:p>
    <w:p w:rsidR="00AC7F22" w:rsidRPr="00BB5A4B" w:rsidRDefault="00AC7F22" w:rsidP="00BB5A4B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>Encuesta Intercensal 2015 – Resultados por Población</w:t>
      </w:r>
    </w:p>
    <w:p w:rsidR="00AC7F22" w:rsidRPr="00BB5A4B" w:rsidRDefault="00CC665D" w:rsidP="00AC7F22">
      <w:pPr>
        <w:ind w:firstLine="708"/>
        <w:rPr>
          <w:rFonts w:asciiTheme="majorHAnsi" w:hAnsiTheme="majorHAnsi"/>
          <w:sz w:val="20"/>
          <w:szCs w:val="20"/>
        </w:rPr>
      </w:pPr>
      <w:hyperlink r:id="rId7" w:history="1">
        <w:r w:rsidR="00AC7F22" w:rsidRPr="00BB5A4B">
          <w:rPr>
            <w:rStyle w:val="Hyperlink"/>
            <w:rFonts w:asciiTheme="majorHAnsi" w:hAnsiTheme="majorHAnsi"/>
            <w:sz w:val="20"/>
            <w:szCs w:val="20"/>
          </w:rPr>
          <w:t>http://www3.inegi.org.mx/sistemas/tabuladosbasicos/default.aspx?c=33725&amp;s=est</w:t>
        </w:r>
      </w:hyperlink>
      <w:r w:rsidR="00AC7F22" w:rsidRPr="00BB5A4B">
        <w:rPr>
          <w:rFonts w:asciiTheme="majorHAnsi" w:hAnsiTheme="majorHAnsi"/>
          <w:sz w:val="20"/>
          <w:szCs w:val="20"/>
        </w:rPr>
        <w:tab/>
      </w:r>
      <w:r w:rsidR="00AC7F22" w:rsidRPr="00BB5A4B">
        <w:rPr>
          <w:rFonts w:asciiTheme="majorHAnsi" w:hAnsiTheme="majorHAnsi"/>
          <w:sz w:val="20"/>
          <w:szCs w:val="20"/>
        </w:rPr>
        <w:tab/>
      </w:r>
    </w:p>
    <w:p w:rsidR="00AC7F22" w:rsidRPr="00BB5A4B" w:rsidRDefault="00AC7F22">
      <w:pPr>
        <w:rPr>
          <w:rFonts w:asciiTheme="majorHAnsi" w:hAnsiTheme="majorHAnsi"/>
          <w:sz w:val="20"/>
          <w:szCs w:val="20"/>
        </w:rPr>
      </w:pPr>
    </w:p>
    <w:p w:rsidR="00D4606C" w:rsidRPr="00BB5A4B" w:rsidRDefault="00AC7F22">
      <w:pPr>
        <w:rPr>
          <w:rFonts w:asciiTheme="majorHAnsi" w:hAnsiTheme="majorHAnsi"/>
          <w:b/>
          <w:sz w:val="20"/>
          <w:szCs w:val="20"/>
        </w:rPr>
      </w:pPr>
      <w:r w:rsidRPr="00BB5A4B">
        <w:rPr>
          <w:rFonts w:asciiTheme="majorHAnsi" w:hAnsiTheme="majorHAnsi"/>
          <w:b/>
          <w:sz w:val="20"/>
          <w:szCs w:val="20"/>
        </w:rPr>
        <w:t xml:space="preserve">Datos de la Secretaría de Salud – Dirección General de  Información en Salud. </w:t>
      </w:r>
    </w:p>
    <w:p w:rsidR="00AC7F22" w:rsidRPr="00BB5A4B" w:rsidRDefault="00057DA1" w:rsidP="00BB5A4B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>Registros de egresos hospitlarios 2010 a 2014</w:t>
      </w:r>
    </w:p>
    <w:p w:rsidR="00057DA1" w:rsidRPr="00BB5A4B" w:rsidRDefault="00CC665D" w:rsidP="00057DA1">
      <w:pPr>
        <w:ind w:firstLine="708"/>
        <w:rPr>
          <w:rFonts w:asciiTheme="majorHAnsi" w:hAnsiTheme="majorHAnsi"/>
          <w:sz w:val="20"/>
          <w:szCs w:val="20"/>
        </w:rPr>
      </w:pPr>
      <w:hyperlink r:id="rId8" w:history="1">
        <w:r w:rsidR="00057DA1" w:rsidRPr="00BB5A4B">
          <w:rPr>
            <w:rStyle w:val="Hyperlink"/>
            <w:rFonts w:asciiTheme="majorHAnsi" w:hAnsiTheme="majorHAnsi"/>
            <w:sz w:val="20"/>
            <w:szCs w:val="20"/>
          </w:rPr>
          <w:t>http://www.dgis.salud.gob.mx/contenidos/basesdedatos/std_egresoshospitalarios.html</w:t>
        </w:r>
      </w:hyperlink>
    </w:p>
    <w:p w:rsidR="00057DA1" w:rsidRPr="00BB5A4B" w:rsidRDefault="00057DA1" w:rsidP="00BB5A4B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>Defunciones Generales 2010 a 2014</w:t>
      </w:r>
    </w:p>
    <w:p w:rsidR="00057DA1" w:rsidRPr="00BB5A4B" w:rsidRDefault="00CC665D" w:rsidP="00057DA1">
      <w:pPr>
        <w:ind w:firstLine="708"/>
        <w:rPr>
          <w:rFonts w:asciiTheme="majorHAnsi" w:hAnsiTheme="majorHAnsi"/>
          <w:sz w:val="20"/>
          <w:szCs w:val="20"/>
        </w:rPr>
      </w:pPr>
      <w:hyperlink r:id="rId9" w:history="1">
        <w:r w:rsidR="00057DA1" w:rsidRPr="00BB5A4B">
          <w:rPr>
            <w:rStyle w:val="Hyperlink"/>
            <w:rFonts w:asciiTheme="majorHAnsi" w:hAnsiTheme="majorHAnsi"/>
            <w:sz w:val="20"/>
            <w:szCs w:val="20"/>
          </w:rPr>
          <w:t>http://www.dgis.salud.gob.mx/contenidos/basesdedatos/std_defunciones.html</w:t>
        </w:r>
      </w:hyperlink>
    </w:p>
    <w:p w:rsidR="00057DA1" w:rsidRPr="00BB5A4B" w:rsidRDefault="00057DA1" w:rsidP="00BB5A4B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>Subsistema de prestación de servicios. 2010-2014</w:t>
      </w:r>
    </w:p>
    <w:p w:rsidR="00057DA1" w:rsidRPr="00BB5A4B" w:rsidRDefault="00057DA1" w:rsidP="00057DA1">
      <w:pP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ab/>
      </w:r>
      <w:hyperlink r:id="rId10" w:history="1">
        <w:r w:rsidRPr="00BB5A4B">
          <w:rPr>
            <w:rStyle w:val="Hyperlink"/>
            <w:rFonts w:asciiTheme="majorHAnsi" w:hAnsiTheme="majorHAnsi"/>
            <w:sz w:val="20"/>
            <w:szCs w:val="20"/>
          </w:rPr>
          <w:t>http://www.dgis.salud.gob.mx/contenidos/basesdedatos/bdc_serviciossis.html</w:t>
        </w:r>
      </w:hyperlink>
    </w:p>
    <w:p w:rsidR="00057DA1" w:rsidRPr="00BB5A4B" w:rsidRDefault="00BB5A4B" w:rsidP="00BB5A4B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>Catá</w:t>
      </w:r>
      <w:r w:rsidR="00057DA1" w:rsidRPr="00BB5A4B">
        <w:rPr>
          <w:rFonts w:asciiTheme="majorHAnsi" w:hAnsiTheme="majorHAnsi"/>
          <w:sz w:val="20"/>
          <w:szCs w:val="20"/>
        </w:rPr>
        <w:t>logo de claves únicas de establecimientos de salud</w:t>
      </w:r>
    </w:p>
    <w:p w:rsidR="00057DA1" w:rsidRPr="00BB5A4B" w:rsidRDefault="00057DA1" w:rsidP="00057DA1">
      <w:pP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ab/>
      </w:r>
      <w:hyperlink r:id="rId11" w:history="1">
        <w:r w:rsidRPr="00BB5A4B">
          <w:rPr>
            <w:rStyle w:val="Hyperlink"/>
            <w:rFonts w:asciiTheme="majorHAnsi" w:hAnsiTheme="majorHAnsi"/>
            <w:sz w:val="20"/>
            <w:szCs w:val="20"/>
          </w:rPr>
          <w:t>http://www.dgis.salud.gob.mx/contenidos/intercambio/clues.html</w:t>
        </w:r>
      </w:hyperlink>
    </w:p>
    <w:p w:rsidR="00057DA1" w:rsidRPr="00BB5A4B" w:rsidRDefault="00057DA1" w:rsidP="00BB5A4B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>Catálogo internacional de enfermedades  y problemas relacionados con salud</w:t>
      </w:r>
    </w:p>
    <w:p w:rsidR="00057DA1" w:rsidRDefault="00057DA1" w:rsidP="00057DA1">
      <w:pPr>
        <w:pBdr>
          <w:bottom w:val="single" w:sz="6" w:space="1" w:color="auto"/>
        </w:pBdr>
        <w:rPr>
          <w:rStyle w:val="Hyperlink"/>
          <w:rFonts w:asciiTheme="majorHAnsi" w:hAnsiTheme="majorHAnsi"/>
          <w:sz w:val="20"/>
          <w:szCs w:val="20"/>
        </w:rPr>
      </w:pPr>
      <w:r w:rsidRPr="00BB5A4B">
        <w:rPr>
          <w:rFonts w:asciiTheme="majorHAnsi" w:hAnsiTheme="majorHAnsi"/>
          <w:sz w:val="20"/>
          <w:szCs w:val="20"/>
        </w:rPr>
        <w:tab/>
      </w:r>
      <w:hyperlink r:id="rId12" w:history="1">
        <w:r w:rsidRPr="00BB5A4B">
          <w:rPr>
            <w:rStyle w:val="Hyperlink"/>
            <w:rFonts w:asciiTheme="majorHAnsi" w:hAnsiTheme="majorHAnsi"/>
            <w:sz w:val="20"/>
            <w:szCs w:val="20"/>
          </w:rPr>
          <w:t>http://www.dgis.salud.gob.mx/contenidos/intercambio/diagnostico.html</w:t>
        </w:r>
      </w:hyperlink>
    </w:p>
    <w:p w:rsidR="00CC665D" w:rsidRDefault="00CC665D" w:rsidP="00057DA1">
      <w:pPr>
        <w:pBdr>
          <w:bottom w:val="single" w:sz="6" w:space="1" w:color="auto"/>
        </w:pBdr>
        <w:rPr>
          <w:rStyle w:val="Hyperlink"/>
          <w:rFonts w:asciiTheme="majorHAnsi" w:hAnsiTheme="majorHAnsi"/>
          <w:sz w:val="20"/>
          <w:szCs w:val="20"/>
        </w:rPr>
      </w:pPr>
    </w:p>
    <w:p w:rsidR="00CC665D" w:rsidRDefault="00CC665D" w:rsidP="00057DA1">
      <w:pPr>
        <w:rPr>
          <w:rFonts w:asciiTheme="majorHAnsi" w:hAnsiTheme="majorHAnsi"/>
          <w:sz w:val="20"/>
          <w:szCs w:val="20"/>
        </w:rPr>
      </w:pPr>
    </w:p>
    <w:p w:rsidR="00057DA1" w:rsidRDefault="006D7EAB" w:rsidP="00057DA1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  <w:r w:rsidRPr="006D7EAB">
        <w:rPr>
          <w:rFonts w:asciiTheme="majorHAnsi" w:hAnsiTheme="majorHAnsi"/>
          <w:sz w:val="28"/>
          <w:szCs w:val="28"/>
        </w:rPr>
        <w:lastRenderedPageBreak/>
        <w:t>Referencias</w:t>
      </w:r>
      <w:r>
        <w:rPr>
          <w:rFonts w:asciiTheme="majorHAnsi" w:hAnsiTheme="majorHAnsi"/>
          <w:sz w:val="20"/>
          <w:szCs w:val="20"/>
        </w:rPr>
        <w:t>:</w:t>
      </w:r>
    </w:p>
    <w:p w:rsidR="006D7EAB" w:rsidRPr="006D7EAB" w:rsidRDefault="006D7EAB" w:rsidP="00057DA1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6D7EAB">
        <w:rPr>
          <w:rFonts w:asciiTheme="majorHAnsi" w:hAnsiTheme="majorHAnsi"/>
          <w:color w:val="000000" w:themeColor="text1"/>
          <w:sz w:val="20"/>
          <w:szCs w:val="20"/>
        </w:rPr>
        <w:t xml:space="preserve">Kilos de más pesos de menos – Los costos de la obesidad en México, </w:t>
      </w:r>
      <w:r w:rsidRPr="006D7EAB">
        <w:rPr>
          <w:rStyle w:val="ng-binding"/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>Gabriela Alarcón</w:t>
      </w:r>
      <w:r w:rsidRPr="006D7EAB">
        <w:rPr>
          <w:rStyle w:val="apple-converted-space"/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> </w:t>
      </w:r>
      <w:r w:rsidRPr="006D7EAB">
        <w:rPr>
          <w:rStyle w:val="ng-binding"/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 xml:space="preserve">· Fátima Masse, </w:t>
      </w:r>
      <w:r w:rsidRPr="006D7EAB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>27-1-2015</w:t>
      </w:r>
    </w:p>
    <w:p w:rsidR="00057DA1" w:rsidRDefault="00CC665D" w:rsidP="00057DA1">
      <w:pPr>
        <w:rPr>
          <w:rFonts w:asciiTheme="majorHAnsi" w:hAnsiTheme="majorHAnsi"/>
          <w:color w:val="2E74B5" w:themeColor="accent1" w:themeShade="BF"/>
          <w:sz w:val="20"/>
          <w:szCs w:val="20"/>
          <w:u w:val="single"/>
        </w:rPr>
      </w:pPr>
      <w:hyperlink r:id="rId13" w:history="1">
        <w:r w:rsidR="006D7EAB" w:rsidRPr="008725D8">
          <w:rPr>
            <w:rStyle w:val="Hyperlink"/>
            <w:rFonts w:asciiTheme="majorHAnsi" w:hAnsiTheme="majorHAnsi"/>
            <w:color w:val="034990" w:themeColor="hyperlink" w:themeShade="BF"/>
            <w:sz w:val="20"/>
            <w:szCs w:val="20"/>
          </w:rPr>
          <w:t>http://imco.org.mx/wp-content/uploads/2015/01/20150311_ObesidadEnMexico_DocumentoCompleto.pdf</w:t>
        </w:r>
      </w:hyperlink>
    </w:p>
    <w:p w:rsidR="006D7EAB" w:rsidRDefault="006D7EAB">
      <w:pPr>
        <w:rPr>
          <w:rFonts w:asciiTheme="majorHAnsi" w:hAnsiTheme="majorHAnsi"/>
          <w:color w:val="000000" w:themeColor="text1"/>
          <w:sz w:val="20"/>
          <w:szCs w:val="20"/>
        </w:rPr>
      </w:pPr>
    </w:p>
    <w:p w:rsidR="00AC7F22" w:rsidRDefault="006D7EAB">
      <w:p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Metodología de indicadores  de la serie histórica censal, INEGI</w:t>
      </w:r>
    </w:p>
    <w:p w:rsidR="006D7EAB" w:rsidRDefault="00CC665D">
      <w:pPr>
        <w:rPr>
          <w:rFonts w:asciiTheme="majorHAnsi" w:hAnsiTheme="majorHAnsi"/>
          <w:color w:val="000000" w:themeColor="text1"/>
          <w:sz w:val="20"/>
          <w:szCs w:val="20"/>
        </w:rPr>
      </w:pPr>
      <w:hyperlink r:id="rId14" w:history="1">
        <w:r w:rsidR="006D7EAB" w:rsidRPr="008725D8">
          <w:rPr>
            <w:rStyle w:val="Hyperlink"/>
            <w:rFonts w:asciiTheme="majorHAnsi" w:hAnsiTheme="majorHAnsi"/>
            <w:sz w:val="20"/>
            <w:szCs w:val="20"/>
          </w:rPr>
          <w:t>http://www.inegi.org.mx/est/contenidos/proyectos/ccpv/cpvsh/doc/metodologia_indicadores.pdf</w:t>
        </w:r>
      </w:hyperlink>
    </w:p>
    <w:p w:rsidR="006D7EAB" w:rsidRDefault="006D7EAB">
      <w:p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Indicadores de ocupación y empleo cifras oportunas  durante enero 2016, INEGI, 26 febrero 2016.</w:t>
      </w:r>
    </w:p>
    <w:p w:rsidR="006D7EAB" w:rsidRDefault="00CC665D">
      <w:pPr>
        <w:rPr>
          <w:rFonts w:asciiTheme="majorHAnsi" w:hAnsiTheme="majorHAnsi"/>
          <w:color w:val="000000" w:themeColor="text1"/>
          <w:sz w:val="20"/>
          <w:szCs w:val="20"/>
        </w:rPr>
      </w:pPr>
      <w:hyperlink r:id="rId15" w:history="1">
        <w:r w:rsidR="006D7EAB" w:rsidRPr="008725D8">
          <w:rPr>
            <w:rStyle w:val="Hyperlink"/>
            <w:rFonts w:asciiTheme="majorHAnsi" w:hAnsiTheme="majorHAnsi"/>
            <w:sz w:val="20"/>
            <w:szCs w:val="20"/>
          </w:rPr>
          <w:t>http://www.inegi.org.mx/saladeprensa/boletines/2016/iooe/iooe2016_02.pdf</w:t>
        </w:r>
      </w:hyperlink>
    </w:p>
    <w:p w:rsidR="006D7EAB" w:rsidRDefault="006D7EAB">
      <w:pPr>
        <w:rPr>
          <w:rFonts w:asciiTheme="majorHAnsi" w:hAnsiTheme="majorHAnsi"/>
          <w:color w:val="000000" w:themeColor="text1"/>
          <w:sz w:val="20"/>
          <w:szCs w:val="20"/>
        </w:rPr>
      </w:pPr>
    </w:p>
    <w:p w:rsidR="006D7EAB" w:rsidRDefault="006D7EAB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6D7EAB">
        <w:rPr>
          <w:rFonts w:asciiTheme="majorHAnsi" w:hAnsiTheme="majorHAnsi"/>
          <w:sz w:val="20"/>
          <w:szCs w:val="20"/>
        </w:rPr>
        <w:t xml:space="preserve">Censo de Población y Vivienda 2010 Principales Resultados </w:t>
      </w:r>
      <w:r>
        <w:rPr>
          <w:rFonts w:asciiTheme="majorHAnsi" w:hAnsiTheme="majorHAnsi"/>
          <w:sz w:val="20"/>
          <w:szCs w:val="20"/>
        </w:rPr>
        <w:t>por Localidad</w:t>
      </w:r>
      <w:r>
        <w:rPr>
          <w:rFonts w:asciiTheme="majorHAnsi" w:hAnsiTheme="majorHAnsi"/>
          <w:color w:val="000000" w:themeColor="text1"/>
          <w:sz w:val="20"/>
          <w:szCs w:val="20"/>
        </w:rPr>
        <w:t>, INEGI</w:t>
      </w:r>
    </w:p>
    <w:p w:rsidR="006D7EAB" w:rsidRDefault="00CC665D">
      <w:pPr>
        <w:rPr>
          <w:rFonts w:asciiTheme="majorHAnsi" w:hAnsiTheme="majorHAnsi"/>
          <w:color w:val="000000" w:themeColor="text1"/>
          <w:sz w:val="20"/>
          <w:szCs w:val="20"/>
          <w:lang w:val="en-US"/>
        </w:rPr>
      </w:pPr>
      <w:hyperlink r:id="rId16" w:history="1">
        <w:r w:rsidR="006D7EAB" w:rsidRPr="008725D8">
          <w:rPr>
            <w:rStyle w:val="Hyperlink"/>
            <w:rFonts w:asciiTheme="majorHAnsi" w:hAnsiTheme="majorHAnsi"/>
            <w:sz w:val="20"/>
            <w:szCs w:val="20"/>
            <w:lang w:val="en-US"/>
          </w:rPr>
          <w:t>file:///C:/Users/JALMEIDA/Downloads/fd_iter_2010%20(1).pdf</w:t>
        </w:r>
      </w:hyperlink>
    </w:p>
    <w:p w:rsidR="006D7EAB" w:rsidRPr="006D7EAB" w:rsidRDefault="006D7EAB">
      <w:pPr>
        <w:rPr>
          <w:rFonts w:asciiTheme="majorHAnsi" w:hAnsiTheme="majorHAnsi"/>
          <w:color w:val="000000" w:themeColor="text1"/>
          <w:sz w:val="20"/>
          <w:szCs w:val="20"/>
          <w:lang w:val="en-US"/>
        </w:rPr>
      </w:pPr>
    </w:p>
    <w:p w:rsidR="00057DA1" w:rsidRPr="006D7EAB" w:rsidRDefault="00057DA1">
      <w:pPr>
        <w:rPr>
          <w:rFonts w:asciiTheme="majorHAnsi" w:hAnsiTheme="majorHAnsi"/>
          <w:sz w:val="20"/>
          <w:szCs w:val="20"/>
          <w:lang w:val="en-US"/>
        </w:rPr>
      </w:pPr>
    </w:p>
    <w:p w:rsidR="00057DA1" w:rsidRPr="006D7EAB" w:rsidRDefault="00057DA1">
      <w:pPr>
        <w:rPr>
          <w:rFonts w:asciiTheme="majorHAnsi" w:hAnsiTheme="majorHAnsi"/>
          <w:sz w:val="20"/>
          <w:szCs w:val="20"/>
          <w:lang w:val="en-US"/>
        </w:rPr>
      </w:pPr>
    </w:p>
    <w:p w:rsidR="00057DA1" w:rsidRPr="006D7EAB" w:rsidRDefault="00057DA1">
      <w:pPr>
        <w:rPr>
          <w:rFonts w:asciiTheme="majorHAnsi" w:hAnsiTheme="majorHAnsi"/>
          <w:sz w:val="20"/>
          <w:szCs w:val="20"/>
          <w:lang w:val="en-US"/>
        </w:rPr>
      </w:pPr>
    </w:p>
    <w:sectPr w:rsidR="00057DA1" w:rsidRPr="006D7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A4EFF"/>
    <w:multiLevelType w:val="hybridMultilevel"/>
    <w:tmpl w:val="BE08AA5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351E35"/>
    <w:multiLevelType w:val="hybridMultilevel"/>
    <w:tmpl w:val="80944878"/>
    <w:lvl w:ilvl="0" w:tplc="1E5E55F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36B17F8"/>
    <w:multiLevelType w:val="hybridMultilevel"/>
    <w:tmpl w:val="97C871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64"/>
    <w:rsid w:val="00057DA1"/>
    <w:rsid w:val="001E6483"/>
    <w:rsid w:val="00223464"/>
    <w:rsid w:val="00363B3B"/>
    <w:rsid w:val="003F4302"/>
    <w:rsid w:val="004336AC"/>
    <w:rsid w:val="006D7EAB"/>
    <w:rsid w:val="007D6573"/>
    <w:rsid w:val="00852099"/>
    <w:rsid w:val="00AC7F22"/>
    <w:rsid w:val="00B35E8B"/>
    <w:rsid w:val="00B418BB"/>
    <w:rsid w:val="00BB5A4B"/>
    <w:rsid w:val="00C415AD"/>
    <w:rsid w:val="00CC665D"/>
    <w:rsid w:val="00D1562F"/>
    <w:rsid w:val="00D4606C"/>
    <w:rsid w:val="00E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3E44A-C6E7-4C8B-8A82-677481B2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F2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C7F22"/>
  </w:style>
  <w:style w:type="paragraph" w:styleId="ListParagraph">
    <w:name w:val="List Paragraph"/>
    <w:basedOn w:val="Normal"/>
    <w:uiPriority w:val="34"/>
    <w:qFormat/>
    <w:rsid w:val="00BB5A4B"/>
    <w:pPr>
      <w:ind w:left="720"/>
      <w:contextualSpacing/>
    </w:pPr>
  </w:style>
  <w:style w:type="character" w:customStyle="1" w:styleId="ng-binding">
    <w:name w:val="ng-binding"/>
    <w:basedOn w:val="DefaultParagraphFont"/>
    <w:rsid w:val="006D7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gis.salud.gob.mx/contenidos/basesdedatos/std_egresoshospitalarios.html" TargetMode="External"/><Relationship Id="rId13" Type="http://schemas.openxmlformats.org/officeDocument/2006/relationships/hyperlink" Target="http://imco.org.mx/wp-content/uploads/2015/01/20150311_ObesidadEnMexico_DocumentoCompleto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3.inegi.org.mx/sistemas/tabuladosbasicos/default.aspx?c=33725&amp;s=est" TargetMode="External"/><Relationship Id="rId12" Type="http://schemas.openxmlformats.org/officeDocument/2006/relationships/hyperlink" Target="http://www.dgis.salud.gob.mx/contenidos/intercambio/diagnostico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/Users/JALMEIDA/Downloads/fd_iter_2010%20(1)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3.inegi.org.mx/sistemas/inp/preciospromedio/" TargetMode="External"/><Relationship Id="rId11" Type="http://schemas.openxmlformats.org/officeDocument/2006/relationships/hyperlink" Target="http://www.dgis.salud.gob.mx/contenidos/intercambio/clues.html" TargetMode="External"/><Relationship Id="rId5" Type="http://schemas.openxmlformats.org/officeDocument/2006/relationships/hyperlink" Target="http://www.inegi.org.mx/sistemas/consulta_resultados/iter2010.aspx?c=27329&amp;s=est" TargetMode="External"/><Relationship Id="rId15" Type="http://schemas.openxmlformats.org/officeDocument/2006/relationships/hyperlink" Target="http://www.inegi.org.mx/saladeprensa/boletines/2016/iooe/iooe2016_02.pdf" TargetMode="External"/><Relationship Id="rId10" Type="http://schemas.openxmlformats.org/officeDocument/2006/relationships/hyperlink" Target="http://www.dgis.salud.gob.mx/contenidos/basesdedatos/bdc_servicioss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gis.salud.gob.mx/contenidos/basesdedatos/std_defunciones.html" TargetMode="External"/><Relationship Id="rId14" Type="http://schemas.openxmlformats.org/officeDocument/2006/relationships/hyperlink" Target="http://www.inegi.org.mx/est/contenidos/proyectos/ccpv/cpvsh/doc/metodologia_indicado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Almeida Alvarez</dc:creator>
  <cp:keywords/>
  <dc:description/>
  <cp:lastModifiedBy>Juan Carlos Almeida Alvarez</cp:lastModifiedBy>
  <cp:revision>10</cp:revision>
  <dcterms:created xsi:type="dcterms:W3CDTF">2016-05-24T15:30:00Z</dcterms:created>
  <dcterms:modified xsi:type="dcterms:W3CDTF">2016-05-24T17:30:00Z</dcterms:modified>
</cp:coreProperties>
</file>