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Override PartName="/word/media/rId57.png" ContentType="image/png"/>
  <Override PartName="/word/media/rId67.png" ContentType="image/png"/>
  <Override PartName="/word/media/rId79.png" ContentType="image/png"/>
  <Override PartName="/word/media/rId104.png" ContentType="image/png"/>
  <Override PartName="/word/media/rId105.png" ContentType="image/png"/>
  <Override PartName="/word/media/rId107.png" ContentType="image/png"/>
  <Override PartName="/word/media/rId109.png" ContentType="image/png"/>
  <Override PartName="/word/media/rId111.png" ContentType="image/png"/>
  <Override PartName="/word/media/rId114.png" ContentType="image/png"/>
  <Override PartName="/word/media/rId116.png" ContentType="image/png"/>
  <Override PartName="/word/media/rId125.png" ContentType="image/png"/>
  <Override PartName="/word/media/rId127.png" ContentType="image/png"/>
  <Override PartName="/word/media/rId129.png" ContentType="image/png"/>
  <Override PartName="/word/media/rId81.png" ContentType="image/png"/>
  <Override PartName="/word/media/rId131.png" ContentType="image/png"/>
  <Override PartName="/word/media/rId133.png" ContentType="image/png"/>
  <Override PartName="/word/media/rId138.png" ContentType="image/png"/>
  <Override PartName="/word/media/rId140.png" ContentType="image/png"/>
  <Override PartName="/word/media/rId143.png" ContentType="image/png"/>
  <Override PartName="/word/media/rId149.png" ContentType="image/png"/>
  <Override PartName="/word/media/rId151.png" ContentType="image/png"/>
  <Override PartName="/word/media/rId161.png" ContentType="image/png"/>
  <Override PartName="/word/media/rId83.png" ContentType="image/png"/>
  <Override PartName="/word/media/rId85.png" ContentType="image/png"/>
  <Override PartName="/word/media/rId90.png" ContentType="image/png"/>
  <Override PartName="/word/media/rId92.png" ContentType="image/png"/>
  <Override PartName="/word/media/rId93.png" ContentType="image/png"/>
  <Override PartName="/word/media/rId95.png" ContentType="image/png"/>
  <Override PartName="/word/media/rId9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 de la venta diaria a la decisión de reposición</w:t>
      </w:r>
    </w:p>
    <w:p>
      <w:pPr>
        <w:pStyle w:val="Subtitle"/>
      </w:pPr>
      <w:r>
        <w:t xml:space="preserve">Previsión de demanda, segmentación e inventario en una cadena de distribución minorista</w:t>
      </w:r>
    </w:p>
    <w:p>
      <w:pPr>
        <w:pStyle w:val="BodyText"/>
      </w:pPr>
      <w:r>
        <w:rPr>
          <w:b/>
        </w:rPr>
        <w:t xml:space="preserve">Trabajo de Fin de Máster</w:t>
      </w:r>
    </w:p>
    <w:p>
      <w:pPr>
        <w:pStyle w:val="BodyText"/>
      </w:pPr>
      <w:r>
        <w:t xml:space="preserve">Máster en Data Science &amp; Inteligencia Artificial ·</w:t>
      </w:r>
      <w:r>
        <w:t xml:space="preserve"> </w:t>
      </w:r>
      <w:r>
        <w:rPr>
          <w:b/>
        </w:rPr>
        <w:t xml:space="preserve">Nuclio Digital School</w:t>
      </w:r>
    </w:p>
    <w:p>
      <w:pPr>
        <w:pStyle w:val="BodyText"/>
      </w:pPr>
      <w:r>
        <w:rPr>
          <w:b/>
        </w:rPr>
        <w:t xml:space="preserve">Autores:</w:t>
      </w:r>
      <w:r>
        <w:t xml:space="preserve"> </w:t>
      </w:r>
      <w:r>
        <w:t xml:space="preserve">[Nombre y apellidos] · [Nombre y apellidos] · [Nombre y apellidos]</w:t>
      </w:r>
    </w:p>
    <w:p>
      <w:pPr>
        <w:pStyle w:val="BodyText"/>
      </w:pPr>
      <w:r>
        <w:rPr>
          <w:b/>
        </w:rPr>
        <w:t xml:space="preserve">Tutora:</w:t>
      </w:r>
      <w:r>
        <w:t xml:space="preserve"> </w:t>
      </w:r>
      <w:r>
        <w:t xml:space="preserve">[Nombre y apellidos]</w:t>
      </w:r>
    </w:p>
    <w:p>
      <w:pPr>
        <w:pStyle w:val="BodyText"/>
      </w:pPr>
      <w:r>
        <w:rPr>
          <w:b/>
        </w:rPr>
        <w:t xml:space="preserve">Defensa:</w:t>
      </w:r>
      <w:r>
        <w:t xml:space="preserve"> </w:t>
      </w:r>
      <w:r>
        <w:t xml:space="preserve">[fecha] ·</w:t>
      </w:r>
      <w:r>
        <w:t xml:space="preserve"> </w:t>
      </w:r>
      <w:r>
        <w:rPr>
          <w:b/>
        </w:rPr>
        <w:t xml:space="preserve">Entrega de la memoria:</w:t>
      </w:r>
      <w:r>
        <w:t xml:space="preserve"> </w:t>
      </w:r>
      <w:r>
        <w:t xml:space="preserve">[fecha]</w:t>
      </w:r>
    </w:p>
    <w:p>
      <w:pPr>
        <w:pStyle w:val="BodyText"/>
      </w:pPr>
      <w:r>
        <w:t xml:space="preserve">Barcelona, octubre de 2026</w:t>
      </w:r>
    </w:p>
    <w:p>
      <w:r>
        <w:br w:type="page"/>
      </w:r>
    </w:p>
    <w:p>
      <w:pPr>
        <w:pStyle w:val="Heading2"/>
      </w:pPr>
      <w:bookmarkStart w:id="20" w:name="resumen"/>
      <w:r>
        <w:t xml:space="preserve">Resumen</w:t>
      </w:r>
      <w:bookmarkEnd w:id="20"/>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1,0422 (1,0002 en la última ventana con el modelo final de 400 días de historia), y la estrategia de horizonte resulta unas tres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br w:type="page"/>
      </w:r>
    </w:p>
    <w:p>
      <w:pPr>
        <w:pStyle w:val="Heading2"/>
      </w:pPr>
      <w:bookmarkStart w:id="21" w:name="abstract"/>
      <w:r>
        <w:t xml:space="preserve">Abstract</w:t>
      </w:r>
      <w:bookmarkEnd w:id="21"/>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adopted forecasting model reaches a WRMSSE of 1.0422 (1.0002 in the last window with the final model, trained on 400 days of history); the horizon strategy proves roughly three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
        </w:rPr>
        <w:t xml:space="preserve">Keywords:</w:t>
      </w:r>
      <w:r>
        <w:t xml:space="preserve"> </w:t>
      </w:r>
      <w:r>
        <w:t xml:space="preserve">demand forecasting, intermittent demand, hierarchical reconciliation, inventory theory, newsvendor model, analytical data architecture.</w:t>
      </w:r>
    </w:p>
    <w:p>
      <w:r>
        <w:br w:type="page"/>
      </w:r>
    </w:p>
    <w:p>
      <w:pPr>
        <w:pStyle w:val="TOCHeading"/>
      </w:pPr>
      <w:r>
        <w:t xml:space="preserve">Índice</w:t>
      </w:r>
    </w:p>
    <w:p>
      <w:r>
        <w:fldChar w:fldCharType="begin" w:dirty="true"/>
      </w:r>
      <w:r>
        <w:instrText xml:space="preserve"> TOC \o "1-3" \h \z \u </w:instrText>
      </w:r>
      <w:r>
        <w:fldChar w:fldCharType="separate"/>
      </w:r>
      <w:r>
        <w:t>Para ver el índice con los números de página: clic derecho aquí y «Actualizar campo».</w:t>
      </w:r>
      <w:r>
        <w:fldChar w:fldCharType="end"/>
      </w:r>
    </w:p>
    <w:p>
      <w:pPr>
        <w:pStyle w:val="Heading1"/>
      </w:pPr>
      <w:bookmarkStart w:id="22" w:name="introducción"/>
      <w:r>
        <w:t xml:space="preserve">3. Introducción</w:t>
      </w:r>
      <w:bookmarkEnd w:id="22"/>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casi tres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p>
      <w:pPr>
        <w:pStyle w:val="Heading2"/>
      </w:pPr>
      <w:bookmarkStart w:id="23" w:name="el-problema-formulado-con-precisión"/>
      <w:r>
        <w:t xml:space="preserve">3.1. El problema, formulado con precisión</w:t>
      </w:r>
      <w:bookmarkEnd w:id="23"/>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p>
      <w:pPr>
        <w:pStyle w:val="Heading2"/>
      </w:pPr>
      <w:bookmarkStart w:id="24" w:name="alcance"/>
      <w:r>
        <w:t xml:space="preserve">3.2. Alcance</w:t>
      </w:r>
      <w:bookmarkEnd w:id="24"/>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p>
      <w:pPr>
        <w:pStyle w:val="Heading2"/>
      </w:pPr>
      <w:bookmarkStart w:id="25" w:name="qué-encontrará-el-lector"/>
      <w:r>
        <w:t xml:space="preserve">3.3. Qué encontrará el lector</w:t>
      </w:r>
      <w:bookmarkEnd w:id="25"/>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siete capítulos de la narrativa, cada uno</w:t>
      </w:r>
      <w:r>
        <w:t xml:space="preserve"> </w:t>
      </w:r>
      <w:r>
        <w:t xml:space="preserve">abierto por la pregunta de negocio que lo motiva y cerrado por la que abre el siguiente.</w:t>
      </w:r>
    </w:p>
    <w:p>
      <w:pPr>
        <w:pStyle w:val="BodyText"/>
      </w:pPr>
      <w:r>
        <w:t xml:space="preserve">El lector encontrará también cuatro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 la política invirtió, una elasticidad estadísticamente significativa que una prueba de falsación dejó sin interpretación causal, y una aparente afinidad entre productos que no superó el nivel de ruido.</w:t>
      </w:r>
    </w:p>
    <w:p>
      <w:pPr>
        <w:pStyle w:val="Heading2"/>
      </w:pPr>
      <w:bookmarkStart w:id="26" w:name="principales-conclusiones"/>
      <w:r>
        <w:t xml:space="preserve">3.4. Principales conclusiones</w:t>
      </w:r>
      <w:bookmarkEnd w:id="26"/>
    </w:p>
    <w:p>
      <w:pPr>
        <w:numPr>
          <w:ilvl w:val="0"/>
          <w:numId w:val="1002"/>
        </w:numPr>
        <w:pStyle w:val="Compact"/>
      </w:pPr>
      <w:r>
        <w:rPr>
          <w:b/>
        </w:rPr>
        <w:t xml:space="preserve">La demanda no es homogénea.</w:t>
      </w:r>
      <w:r>
        <w:t xml:space="preserve"> </w:t>
      </w:r>
      <w:r>
        <w:t xml:space="preserve">Solo 5 de los 15 productos más vendidos (33 %) son comunes a</w:t>
      </w:r>
      <w:r>
        <w:t xml:space="preserve"> </w:t>
      </w:r>
      <w:r>
        <w:t xml:space="preserve">las tres ciudades, y el perfil de venta de una tienda no lo determina su ciudad: Tribeca, en</w:t>
      </w:r>
      <w:r>
        <w:t xml:space="preserve"> </w:t>
      </w:r>
      <w:r>
        <w:t xml:space="preserve">Nueva York, se parece más a las tiendas de Boston que a las de su propia ciudad.</w:t>
      </w:r>
    </w:p>
    <w:p>
      <w:pPr>
        <w:numPr>
          <w:ilvl w:val="0"/>
          <w:numId w:val="1002"/>
        </w:numPr>
        <w:pStyle w:val="Compact"/>
      </w:pPr>
      <w:r>
        <w:rPr>
          <w:b/>
        </w:rPr>
        <w:t xml:space="preserve">Seis grupos de producto ordenan el catálogo.</w:t>
      </w:r>
      <w:r>
        <w:t xml:space="preserve"> </w:t>
      </w:r>
      <w:r>
        <w:t xml:space="preserve">Son estables entre ejecuciones y cada uno</w:t>
      </w:r>
      <w:r>
        <w:t xml:space="preserve"> </w:t>
      </w:r>
      <w:r>
        <w:t xml:space="preserve">admite una lectura de negocio; los dos primeros concentran el 68 % de la facturación.</w:t>
      </w:r>
    </w:p>
    <w:p>
      <w:pPr>
        <w:numPr>
          <w:ilvl w:val="0"/>
          <w:numId w:val="1002"/>
        </w:numPr>
        <w:pStyle w:val="Compact"/>
      </w:pPr>
      <w:r>
        <w:rPr>
          <w:b/>
        </w:rPr>
        <w:t xml:space="preserve">Sumar las predicciones individuales es válido.</w:t>
      </w:r>
      <w:r>
        <w:t xml:space="preserve"> </w:t>
      </w:r>
      <w:r>
        <w:t xml:space="preserve">Sumar las predicciones de cada producto y</w:t>
      </w:r>
      <w:r>
        <w:t xml:space="preserve"> </w:t>
      </w:r>
      <w:r>
        <w:t xml:space="preserve">tienda da mejor resultado que modelar cada agregado por separado en los cuatro niveles</w:t>
      </w:r>
      <w:r>
        <w:t xml:space="preserve"> </w:t>
      </w:r>
      <w:r>
        <w:t xml:space="preserve">evaluados, y la forma de organizar el horizonte de predicción pesa más que la elección del</w:t>
      </w:r>
      <w:r>
        <w:t xml:space="preserve"> </w:t>
      </w:r>
      <w:r>
        <w:t xml:space="preserve">algoritmo.</w:t>
      </w:r>
    </w:p>
    <w:p>
      <w:pPr>
        <w:numPr>
          <w:ilvl w:val="0"/>
          <w:numId w:val="1002"/>
        </w:numPr>
        <w:pStyle w:val="Compact"/>
      </w:pPr>
      <w:r>
        <w:rPr>
          <w:b/>
        </w:rPr>
        <w:t xml:space="preserve">La reposición se decide por coste, no por error.</w:t>
      </w:r>
      <w:r>
        <w:t xml:space="preserve"> </w:t>
      </w:r>
      <w:r>
        <w:t xml:space="preserve">La política propuesta, híbrida según la</w:t>
      </w:r>
      <w:r>
        <w:t xml:space="preserve"> </w:t>
      </w:r>
      <w:r>
        <w:t xml:space="preserve">clase XYZ, eleva el nivel de servicio del 86,6 % al 96,2 % y reduce el coste total un 62,5 % en</w:t>
      </w:r>
      <w:r>
        <w:t xml:space="preserve"> </w:t>
      </w:r>
      <w:r>
        <w:t xml:space="preserve">el periodo simulado. El nivel de servicio óptimo depende sobre todo de la merma, que la</w:t>
      </w:r>
      <w:r>
        <w:t xml:space="preserve"> </w:t>
      </w:r>
      <w:r>
        <w:t xml:space="preserve">compañía no mide hoy.</w:t>
      </w:r>
    </w:p>
    <w:p>
      <w:pPr>
        <w:numPr>
          <w:ilvl w:val="0"/>
          <w:numId w:val="1002"/>
        </w:numPr>
        <w:pStyle w:val="Compact"/>
      </w:pPr>
      <w:r>
        <w:rPr>
          <w:b/>
        </w:rPr>
        <w:t xml:space="preserve">La elasticidad precio no puede estimarse de forma creíble con estos datos.</w:t>
      </w:r>
      <w:r>
        <w:t xml:space="preserve"> </w:t>
      </w:r>
      <w:r>
        <w:t xml:space="preserve">En su lugar se</w:t>
      </w:r>
      <w:r>
        <w:t xml:space="preserve"> </w:t>
      </w:r>
      <w:r>
        <w:t xml:space="preserve">diseña el experimento de precios que permitiría medirla.</w:t>
      </w:r>
    </w:p>
    <w:p>
      <w:pPr>
        <w:pStyle w:val="FirstParagraph"/>
      </w:pPr>
      <w:r>
        <w:t xml:space="preserve">Los referentes teóricos de cada parte —la competición M5 para la previsión, la teoría del</w:t>
      </w:r>
      <w:r>
        <w:t xml:space="preserve"> </w:t>
      </w:r>
      <w:r>
        <w:t xml:space="preserve">vendedor de periódicos para la reposición y la literatura sobre identificación del efecto del</w:t>
      </w:r>
      <w:r>
        <w:t xml:space="preserve"> </w:t>
      </w:r>
      <w:r>
        <w:t xml:space="preserve">precio— se recogen en el estado del arte (§4.4).</w:t>
      </w:r>
    </w:p>
    <w:p>
      <w:pPr>
        <w:pStyle w:val="Heading1"/>
      </w:pPr>
      <w:bookmarkStart w:id="27" w:name="justificación-y-contextualización"/>
      <w:r>
        <w:t xml:space="preserve">4. Justificación y contextualización</w:t>
      </w:r>
      <w:bookmarkEnd w:id="27"/>
    </w:p>
    <w:p>
      <w:pPr>
        <w:pStyle w:val="Heading2"/>
      </w:pPr>
      <w:bookmarkStart w:id="28" w:name="el-contexto-de-dsmarket"/>
      <w:r>
        <w:t xml:space="preserve">4.1. El contexto de DSMarket</w:t>
      </w:r>
      <w:bookmarkEnd w:id="28"/>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p>
      <w:pPr>
        <w:pStyle w:val="Heading2"/>
      </w:pPr>
      <w:bookmarkStart w:id="29" w:name="Xe4ae5b9a58fc080daa7f5d18f34610bb411ae52"/>
      <w:r>
        <w:t xml:space="preserve">4.2. Por qué la decisión de reposición es el problema</w:t>
      </w:r>
      <w:bookmarkEnd w:id="29"/>
    </w:p>
    <w:p>
      <w:pPr>
        <w:pStyle w:val="FirstParagraph"/>
      </w:pPr>
      <w:r>
        <w:t xml:space="preserve">La distribución minorista de gran consumo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
        </w:rPr>
        <w:t xml:space="preserve">exceso</w:t>
      </w:r>
      <w:r>
        <w:t xml:space="preserve"> </w:t>
      </w:r>
      <w:r>
        <w:t xml:space="preserve">de</w:t>
      </w:r>
      <w:r>
        <w:t xml:space="preserve"> </w:t>
      </w:r>
      <w:r>
        <w:t xml:space="preserve">inventario inmoviliza capital, ocupa espacio y, en producto perecedero, se descarta. La</w:t>
      </w:r>
      <w:r>
        <w:t xml:space="preserve"> </w:t>
      </w:r>
      <w:r>
        <w:rPr>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—casi quince dólares de margen perdido por cada dólar de inventario</w:t>
      </w:r>
      <w:r>
        <w:t xml:space="preserve"> </w:t>
      </w:r>
      <w:r>
        <w:t xml:space="preserve">inmovilizado— orienta toda la optimización posterior en una única dirección.</w:t>
      </w:r>
    </w:p>
    <w:p>
      <w:pPr>
        <w:pStyle w:val="Heading2"/>
      </w:pPr>
      <w:bookmarkStart w:id="30" w:name="por-qué-el-problema-no-es-trivial"/>
      <w:r>
        <w:t xml:space="preserve">4.3. Por qué el problema no es trivial</w:t>
      </w:r>
      <w:bookmarkEnd w:id="30"/>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p>
      <w:pPr>
        <w:pStyle w:val="Heading2"/>
      </w:pPr>
      <w:bookmarkStart w:id="31" w:name="estado-del-arte"/>
      <w:r>
        <w:t xml:space="preserve">4.4. Estado del arte</w:t>
      </w:r>
      <w:bookmarkEnd w:id="31"/>
    </w:p>
    <w:p>
      <w:pPr>
        <w:pStyle w:val="Heading3"/>
      </w:pPr>
      <w:bookmarkStart w:id="32" w:name="previsión-de-demanda-a-gran-escala"/>
      <w:r>
        <w:t xml:space="preserve">4.4.1. Previsión de demanda a gran escala</w:t>
      </w:r>
      <w:bookmarkEnd w:id="32"/>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
        </w:rPr>
        <w:t xml:space="preserve">ensambles de árboles de decisión con potenciación del</w:t>
      </w:r>
      <w:r>
        <w:rPr>
          <w:b/>
        </w:rPr>
        <w:t xml:space="preserve"> </w:t>
      </w:r>
      <w:r>
        <w:rPr>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p>
      <w:pPr>
        <w:pStyle w:val="Heading3"/>
      </w:pPr>
      <w:bookmarkStart w:id="33" w:name="previsión-probabilística"/>
      <w:r>
        <w:t xml:space="preserve">4.4.2. Previsión probabilística</w:t>
      </w:r>
      <w:bookmarkEnd w:id="33"/>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p>
      <w:pPr>
        <w:pStyle w:val="Heading3"/>
      </w:pPr>
      <w:bookmarkStart w:id="34" w:name="reconciliación-jerárquica"/>
      <w:r>
        <w:t xml:space="preserve">4.4.3. Reconciliación jerárquica</w:t>
      </w:r>
      <w:bookmarkEnd w:id="34"/>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último es el</w:t>
      </w:r>
      <w:r>
        <w:t xml:space="preserve"> </w:t>
      </w:r>
      <w:r>
        <w:t xml:space="preserve">método con el que se contrastó la reconciliación en §7.3.8 como ejercicio complementario al</w:t>
      </w:r>
      <w:r>
        <w:t xml:space="preserve"> </w:t>
      </w:r>
      <w:r>
        <w:t xml:space="preserve">enfoque ascendente, y su propiedad más valiosa para la organización no es la mejora del error</w:t>
      </w:r>
      <w:r>
        <w:t xml:space="preserve"> </w:t>
      </w:r>
      <w:r>
        <w:t xml:space="preserve">sino la garantía de coherencia entre niveles.</w:t>
      </w:r>
    </w:p>
    <w:p>
      <w:pPr>
        <w:pStyle w:val="Heading3"/>
      </w:pPr>
      <w:bookmarkStart w:id="35" w:name="teoría-de-inventarios"/>
      <w:r>
        <w:t xml:space="preserve">4.4.4. Teoría de inventarios</w:t>
      </w:r>
      <w:bookmarkEnd w:id="35"/>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p>
      <w:pPr>
        <w:pStyle w:val="Heading3"/>
      </w:pPr>
      <w:bookmarkStart w:id="36" w:name="segmentación"/>
      <w:r>
        <w:t xml:space="preserve">4.4.5. Segmentación</w:t>
      </w:r>
      <w:bookmarkEnd w:id="36"/>
    </w:p>
    <w:p>
      <w:pPr>
        <w:pStyle w:val="FirstParagraph"/>
      </w:pPr>
      <w:r>
        <w:t xml:space="preserve">La segmentación de productos emplea</w:t>
      </w:r>
      <w:r>
        <w:t xml:space="preserve"> </w:t>
      </w:r>
      <w:r>
        <w:rPr>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p>
      <w:pPr>
        <w:pStyle w:val="Heading3"/>
      </w:pPr>
      <w:bookmarkStart w:id="37" w:name="identificación-del-efecto-del-precio"/>
      <w:r>
        <w:t xml:space="preserve">4.4.6. Identificación del efecto del precio</w:t>
      </w:r>
      <w:bookmarkEnd w:id="37"/>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p>
      <w:pPr>
        <w:pStyle w:val="Heading3"/>
      </w:pPr>
      <w:bookmarkStart w:id="38" w:name="arquitectura-de-datos-analíticos"/>
      <w:r>
        <w:t xml:space="preserve">4.4.7. Arquitectura de datos analíticos</w:t>
      </w:r>
      <w:bookmarkEnd w:id="38"/>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p>
      <w:pPr>
        <w:pStyle w:val="Heading2"/>
      </w:pPr>
      <w:bookmarkStart w:id="39" w:name="aportación-de-este-trabajo"/>
      <w:r>
        <w:t xml:space="preserve">4.5. Aportación de este trabajo</w:t>
      </w:r>
      <w:bookmarkEnd w:id="39"/>
    </w:p>
    <w:p>
      <w:pPr>
        <w:pStyle w:val="FirstParagraph"/>
      </w:pPr>
      <w:r>
        <w:t xml:space="preserve">El trabajo no propone un método nuevo. Su aportación es de otro tipo, y se concreta en tres</w:t>
      </w:r>
      <w:r>
        <w:t xml:space="preserve"> </w:t>
      </w:r>
      <w:r>
        <w:t xml:space="preserve">puntos.</w:t>
      </w:r>
    </w:p>
    <w:p>
      <w:pPr>
        <w:pStyle w:val="BodyText"/>
      </w:pPr>
      <w:r>
        <w:rPr>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
        </w:rPr>
        <w:t xml:space="preserve">El uso sistemático de pruebas de falsación.</w:t>
      </w:r>
      <w:r>
        <w:t xml:space="preserve"> </w:t>
      </w:r>
      <w:r>
        <w:t xml:space="preserve">Cada conclusión relevante se acompaña de la</w:t>
      </w:r>
      <w:r>
        <w:t xml:space="preserve"> </w:t>
      </w:r>
      <w:r>
        <w:t xml:space="preserve">prueba que la habría desmentido. En cuatro ocasiones la prueba desmintió efectivamente una conclusión propia, y esos cuatro casos se documentan como resultado y no como incidencia.</w:t>
      </w:r>
    </w:p>
    <w:p>
      <w:pPr>
        <w:pStyle w:val="Heading1"/>
      </w:pPr>
      <w:bookmarkStart w:id="40" w:name="objetivos"/>
      <w:r>
        <w:t xml:space="preserve">5. Objetivos</w:t>
      </w:r>
      <w:bookmarkEnd w:id="40"/>
    </w:p>
    <w:p>
      <w:pPr>
        <w:pStyle w:val="Heading2"/>
      </w:pPr>
      <w:bookmarkStart w:id="41" w:name="objetivo-general"/>
      <w:r>
        <w:t xml:space="preserve">5.1. Objetivo general</w:t>
      </w:r>
      <w:bookmarkEnd w:id="41"/>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p>
      <w:pPr>
        <w:pStyle w:val="Heading2"/>
      </w:pPr>
      <w:bookmarkStart w:id="42" w:name="objetivos-específicos"/>
      <w:r>
        <w:t xml:space="preserve">5.2. Objetivos específicos</w:t>
      </w:r>
      <w:bookmarkEnd w:id="42"/>
    </w:p>
    <w:p>
      <w:pPr>
        <w:pStyle w:val="FirstParagraph"/>
      </w:pPr>
      <w:r>
        <w:rPr>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
        </w:rPr>
        <w:t xml:space="preserve">OE2 — Segmentar el catálogo y la red de tiendas.</w:t>
      </w:r>
      <w:r>
        <w:t xml:space="preserve"> </w:t>
      </w:r>
      <w:r>
        <w:t xml:space="preserve">Obtener una agrupación de productos basada en su perfil de demanda, con una elección del número de grupos justificada por métricas internas, y comparar las tiendas entre sí. Criterio de cumplimiento: que la partición sea estable entre ejecuciones con distinta semilla y que los grupos admitan una interpretación de negocio, no solamente una separación estadística.</w:t>
      </w:r>
    </w:p>
    <w:p>
      <w:pPr>
        <w:pStyle w:val="BodyText"/>
      </w:pPr>
      <w:r>
        <w:rPr>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cuatro niveles de la jerarquía y una</w:t>
      </w:r>
      <w:r>
        <w:t xml:space="preserve"> </w:t>
      </w:r>
      <w:r>
        <w:t xml:space="preserve">garantía de coherencia entre niveles.</w:t>
      </w:r>
    </w:p>
    <w:p>
      <w:pPr>
        <w:pStyle w:val="BodyText"/>
      </w:pPr>
      <w:r>
        <w:rPr>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p>
      <w:pPr>
        <w:pStyle w:val="Heading2"/>
      </w:pPr>
      <w:bookmarkStart w:id="43" w:name="correspondencia-con-el-encargo"/>
      <w:r>
        <w:t xml:space="preserve">5.3. Correspondencia con el encargo</w:t>
      </w:r>
      <w:bookmarkEnd w:id="43"/>
    </w:p>
    <w:tbl>
      <w:tblPr>
        <w:tblStyle w:val="Table"/>
        <w:tblW w:type="pct" w:w="0.0"/>
        <w:tblLook w:firstRow="1"/>
      </w:tblPr>
      <w:tblGrid/>
      <w:tr>
        <w:trPr>
          <w:cnfStyle w:firstRow="1"/>
        </w:trPr>
        <w:tc>
          <w:tcPr>
            <w:tcBorders>
              <w:bottom w:val="single"/>
            </w:tcBorders>
            <w:vAlign w:val="bottom"/>
          </w:tcPr>
          <w:p>
            <w:pPr>
              <w:pStyle w:val="Compact"/>
              <w:jc w:val="left"/>
            </w:pPr>
            <w:r>
              <w:t xml:space="preserve">Petición original</w:t>
            </w:r>
          </w:p>
        </w:tc>
        <w:tc>
          <w:tcPr>
            <w:tcBorders>
              <w:bottom w:val="single"/>
            </w:tcBorders>
            <w:vAlign w:val="bottom"/>
          </w:tcPr>
          <w:p>
            <w:pPr>
              <w:pStyle w:val="Compact"/>
              <w:jc w:val="left"/>
            </w:pPr>
            <w:r>
              <w:t xml:space="preserve">Objetivo</w:t>
            </w:r>
          </w:p>
        </w:tc>
        <w:tc>
          <w:tcPr>
            <w:tcBorders>
              <w:bottom w:val="single"/>
            </w:tcBorders>
            <w:vAlign w:val="bottom"/>
          </w:tcPr>
          <w:p>
            <w:pPr>
              <w:pStyle w:val="Compact"/>
              <w:jc w:val="left"/>
            </w:pPr>
            <w:r>
              <w:t xml:space="preserve">Capítulo de resultados</w:t>
            </w:r>
          </w:p>
        </w:tc>
      </w:tr>
      <w:tr>
        <w:tc>
          <w:p>
            <w:pPr>
              <w:pStyle w:val="Compact"/>
              <w:jc w:val="left"/>
            </w:pPr>
            <w:r>
              <w:t xml:space="preserve">«Mirá en profundidad cómo se está vendiendo»</w:t>
            </w:r>
          </w:p>
        </w:tc>
        <w:tc>
          <w:p>
            <w:pPr>
              <w:pStyle w:val="Compact"/>
              <w:jc w:val="left"/>
            </w:pPr>
            <w:r>
              <w:t xml:space="preserve">OE1</w:t>
            </w:r>
          </w:p>
        </w:tc>
        <w:tc>
          <w:p>
            <w:pPr>
              <w:pStyle w:val="Compact"/>
              <w:jc w:val="left"/>
            </w:pPr>
            <w:r>
              <w:t xml:space="preserve">§7.1</w:t>
            </w:r>
          </w:p>
        </w:tc>
      </w:tr>
      <w:tr>
        <w:tc>
          <w:p>
            <w:pPr>
              <w:pStyle w:val="Compact"/>
              <w:jc w:val="left"/>
            </w:pPr>
            <w:r>
              <w:t xml:space="preserve">«Agrupá productos que se comporten parecido»</w:t>
            </w:r>
          </w:p>
        </w:tc>
        <w:tc>
          <w:p>
            <w:pPr>
              <w:pStyle w:val="Compact"/>
              <w:jc w:val="left"/>
            </w:pPr>
            <w:r>
              <w:t xml:space="preserve">OE2</w:t>
            </w:r>
          </w:p>
        </w:tc>
        <w:tc>
          <w:p>
            <w:pPr>
              <w:pStyle w:val="Compact"/>
              <w:jc w:val="left"/>
            </w:pPr>
            <w:r>
              <w:t xml:space="preserve">§7.2</w:t>
            </w:r>
          </w:p>
        </w:tc>
      </w:tr>
      <w:tr>
        <w:tc>
          <w:p>
            <w:pPr>
              <w:pStyle w:val="Compact"/>
              <w:jc w:val="left"/>
            </w:pPr>
            <w:r>
              <w:t xml:space="preserve">Predicción de ventas a cuatro semanas</w:t>
            </w:r>
          </w:p>
        </w:tc>
        <w:tc>
          <w:p>
            <w:pPr>
              <w:pStyle w:val="Compact"/>
              <w:jc w:val="left"/>
            </w:pPr>
            <w:r>
              <w:t xml:space="preserve">OE3</w:t>
            </w:r>
          </w:p>
        </w:tc>
        <w:tc>
          <w:p>
            <w:pPr>
              <w:pStyle w:val="Compact"/>
              <w:jc w:val="left"/>
            </w:pPr>
            <w:r>
              <w:t xml:space="preserve">§7.3</w:t>
            </w:r>
          </w:p>
        </w:tc>
      </w:tr>
      <w:tr>
        <w:tc>
          <w:p>
            <w:pPr>
              <w:pStyle w:val="Compact"/>
              <w:jc w:val="left"/>
            </w:pPr>
            <w:r>
              <w:t xml:space="preserve">«¿Sigue siendo válido sumar las predicciones?»</w:t>
            </w:r>
          </w:p>
        </w:tc>
        <w:tc>
          <w:p>
            <w:pPr>
              <w:pStyle w:val="Compact"/>
              <w:jc w:val="left"/>
            </w:pPr>
            <w:r>
              <w:t xml:space="preserve">OE4</w:t>
            </w:r>
          </w:p>
        </w:tc>
        <w:tc>
          <w:p>
            <w:pPr>
              <w:pStyle w:val="Compact"/>
              <w:jc w:val="left"/>
            </w:pPr>
            <w:r>
              <w:t xml:space="preserve">§7.3</w:t>
            </w:r>
          </w:p>
        </w:tc>
      </w:tr>
      <w:tr>
        <w:tc>
          <w:p>
            <w:pPr>
              <w:pStyle w:val="Compact"/>
              <w:jc w:val="left"/>
            </w:pPr>
            <w:r>
              <w:t xml:space="preserve">Cantidad a reponer por tienda y producto</w:t>
            </w:r>
          </w:p>
        </w:tc>
        <w:tc>
          <w:p>
            <w:pPr>
              <w:pStyle w:val="Compact"/>
              <w:jc w:val="left"/>
            </w:pPr>
            <w:r>
              <w:t xml:space="preserve">OE5</w:t>
            </w:r>
          </w:p>
        </w:tc>
        <w:tc>
          <w:p>
            <w:pPr>
              <w:pStyle w:val="Compact"/>
              <w:jc w:val="left"/>
            </w:pPr>
            <w:r>
              <w:t xml:space="preserve">§7.4</w:t>
            </w:r>
          </w:p>
        </w:tc>
      </w:tr>
      <w:tr>
        <w:tc>
          <w:p>
            <w:pPr>
              <w:pStyle w:val="Compact"/>
              <w:jc w:val="left"/>
            </w:pPr>
            <w:r>
              <w:t xml:space="preserve">Explotar las diferencias de precio</w:t>
            </w:r>
          </w:p>
        </w:tc>
        <w:tc>
          <w:p>
            <w:pPr>
              <w:pStyle w:val="Compact"/>
              <w:jc w:val="left"/>
            </w:pPr>
            <w:r>
              <w:t xml:space="preserve">OE6</w:t>
            </w:r>
          </w:p>
        </w:tc>
        <w:tc>
          <w:p>
            <w:pPr>
              <w:pStyle w:val="Compact"/>
              <w:jc w:val="left"/>
            </w:pPr>
            <w:r>
              <w:t xml:space="preserve">§7.5</w:t>
            </w:r>
          </w:p>
        </w:tc>
      </w:tr>
      <w:tr>
        <w:tc>
          <w:p>
            <w:pPr>
              <w:pStyle w:val="Compact"/>
              <w:jc w:val="left"/>
            </w:pPr>
            <w:r>
              <w:t xml:space="preserve">Migración de fuentes y procesos a la nube</w:t>
            </w:r>
          </w:p>
        </w:tc>
        <w:tc>
          <w:p>
            <w:pPr>
              <w:pStyle w:val="Compact"/>
              <w:jc w:val="left"/>
            </w:pPr>
            <w:r>
              <w:t xml:space="preserve">OE7</w:t>
            </w:r>
          </w:p>
        </w:tc>
        <w:tc>
          <w:p>
            <w:pPr>
              <w:pStyle w:val="Compact"/>
              <w:jc w:val="left"/>
            </w:pPr>
            <w:r>
              <w:t xml:space="preserve">§7.6</w:t>
            </w:r>
          </w:p>
        </w:tc>
      </w:tr>
    </w:tbl>
    <w:p>
      <w:pPr>
        <w:pStyle w:val="Heading1"/>
      </w:pPr>
      <w:bookmarkStart w:id="44" w:name="metodología"/>
      <w:r>
        <w:t xml:space="preserve">6. Metodología</w:t>
      </w:r>
      <w:bookmarkEnd w:id="44"/>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p>
      <w:pPr>
        <w:pStyle w:val="Heading2"/>
      </w:pPr>
      <w:bookmarkStart w:id="45" w:name="origen-y-descripción-de-los-datos"/>
      <w:r>
        <w:t xml:space="preserve">6.1. Origen y descripción de los datos</w:t>
      </w:r>
      <w:bookmarkEnd w:id="45"/>
    </w:p>
    <w:p>
      <w:pPr>
        <w:pStyle w:val="FirstParagraph"/>
      </w:pPr>
      <w:r>
        <w:t xml:space="preserve">El material de partida son tres ficheros planos que suman 490,9 MB.</w:t>
      </w:r>
    </w:p>
    <w:p>
      <w:pPr>
        <w:pStyle w:val="BodyText"/>
      </w:pPr>
      <w:r>
        <w:rPr>
          <w:rStyle w:val="VerbatimChar"/>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
        </w:rPr>
        <w:t xml:space="preserve">item_prices.csv</w:t>
      </w:r>
      <w:r>
        <w:t xml:space="preserve"> </w:t>
      </w:r>
      <w:r>
        <w:t xml:space="preserve">recoge el precio de venta con granularidad semanal por producto y tienda,</w:t>
      </w:r>
      <w:r>
        <w:t xml:space="preserve"> </w:t>
      </w:r>
      <w:r>
        <w:t xml:space="preserve">identificando la semana mediante un código propio,</w:t>
      </w:r>
      <w:r>
        <w:t xml:space="preserve"> </w:t>
      </w:r>
      <w:r>
        <w:rPr>
          <w:rStyle w:val="VerbatimChar"/>
        </w:rPr>
        <w:t xml:space="preserve">yearweek</w:t>
      </w:r>
      <w:r>
        <w:t xml:space="preserve">. Es, con 370 MB, el fichero más grande</w:t>
      </w:r>
      <w:r>
        <w:t xml:space="preserve"> </w:t>
      </w:r>
      <w:r>
        <w:t xml:space="preserve">del conjunto pese a ser el de menor cardinalidad conceptual.</w:t>
      </w:r>
    </w:p>
    <w:p>
      <w:pPr>
        <w:pStyle w:val="BodyText"/>
      </w:pPr>
      <w:r>
        <w:rPr>
          <w:rStyle w:val="VerbatimChar"/>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
        </w:rPr>
        <w:t xml:space="preserve">58.327.370</w:t>
      </w:r>
      <w:r>
        <w:rPr>
          <w:b/>
        </w:rPr>
        <w:t xml:space="preserve"> </w:t>
      </w:r>
      <w:r>
        <w:rPr>
          <w:b/>
        </w:rPr>
        <w:t xml:space="preserve">observaciones diarias</w:t>
      </w:r>
      <w:r>
        <w:t xml:space="preserve"> </w:t>
      </w:r>
      <w:r>
        <w:t xml:space="preserve">de producto, tienda y día.</w:t>
      </w:r>
    </w:p>
    <w:p>
      <w:pPr>
        <w:pStyle w:val="Heading3"/>
      </w:pPr>
      <w:bookmarkStart w:id="46" w:name="la-unidad-de-análisis"/>
      <w:r>
        <w:t xml:space="preserve">6.1.1. La unidad de análisis</w:t>
      </w:r>
      <w:bookmarkEnd w:id="46"/>
    </w:p>
    <w:p>
      <w:pPr>
        <w:pStyle w:val="FirstParagraph"/>
      </w:pPr>
      <w:r>
        <w:t xml:space="preserve">El trabajo emplea de forma sistemática la</w:t>
      </w:r>
      <w:r>
        <w:t xml:space="preserve"> </w:t>
      </w:r>
      <w:r>
        <w:rPr>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p>
      <w:pPr>
        <w:pStyle w:val="Heading2"/>
      </w:pPr>
      <w:bookmarkStart w:id="47" w:name="Xb3c46f3f79282c0cd28b6d7383aadeb57a56278"/>
      <w:r>
        <w:t xml:space="preserve">6.2. Calidad de los datos y decisiones de tratamiento</w:t>
      </w:r>
      <w:bookmarkEnd w:id="47"/>
    </w:p>
    <w:p>
      <w:pPr>
        <w:pStyle w:val="Heading3"/>
      </w:pPr>
      <w:bookmarkStart w:id="48" w:name="el-desfase-entre-precios-y-ventas"/>
      <w:r>
        <w:t xml:space="preserve">6.2.1. El desfase entre precios y ventas</w:t>
      </w:r>
      <w:bookmarkEnd w:id="48"/>
    </w:p>
    <w:p>
      <w:pPr>
        <w:pStyle w:val="FirstParagraph"/>
      </w:pPr>
      <w:r>
        <w:t xml:space="preserve">La comprobación de integridad más relevante del trabajo surgió al cruzar los dos ficheros</w:t>
      </w:r>
      <w:r>
        <w:t xml:space="preserve"> </w:t>
      </w:r>
      <w:r>
        <w:t xml:space="preserve">principales. El fichero de precios tiene 279 semanas etiquetadas y el calendario de ventas cubre 274, de modo que hay que decidir de qué lado sobran cinco. Alinearlo mal desplazaría cinco semanas todas las variables de precio, un error que no se detecta mirando métricas.</w:t>
      </w:r>
    </w:p>
    <w:p>
      <w:pPr>
        <w:pStyle w:val="BodyText"/>
      </w:pPr>
      <w:r>
        <w:t xml:space="preserve">La hipótesis se contrastó de forma directa: un producto no puede venderse en una tienda antes de tener precio en ella, así que se contaron las unidades que quedarían vendidas en días sin precio con cada alineación. Si precios y ventas empezaran a la vez, quedarían 164.349 unidades sin precio, repartidas en 13.731 series; si los precios empiezan cinco semanas antes, no queda ninguna. El histórico de precios comienza, por tanto, cinco semanas antes que el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p>
      <w:pPr>
        <w:pStyle w:val="Heading3"/>
      </w:pPr>
      <w:bookmarkStart w:id="49" w:name="los-ceros"/>
      <w:r>
        <w:t xml:space="preserve">6.2.2. Los ceros</w:t>
      </w:r>
      <w:bookmarkEnd w:id="49"/>
    </w:p>
    <w:p>
      <w:pPr>
        <w:pStyle w:val="FirstParagraph"/>
      </w:pPr>
      <w:r>
        <w:t xml:space="preserve">El</w:t>
      </w:r>
      <w:r>
        <w:t xml:space="preserve"> </w:t>
      </w:r>
      <w:r>
        <w:rPr>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p>
      <w:pPr>
        <w:pStyle w:val="Heading3"/>
      </w:pPr>
      <w:bookmarkStart w:id="50" w:name="eventos-del-calendario"/>
      <w:r>
        <w:t xml:space="preserve">6.2.3. Eventos del calendario</w:t>
      </w:r>
      <w:bookmarkEnd w:id="50"/>
    </w:p>
    <w:p>
      <w:pPr>
        <w:pStyle w:val="FirstParagraph"/>
      </w:pPr>
      <w:r>
        <w:t xml:space="preserve">El fichero de calendario marca cinco eventos (SuperBowl, Ramadan starts, Thanksgiving, NewYear y Easter), a los que se añadieron por regla de fecha Christmas, Labor Day y, como candidato, Black Friday.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
        </w:rPr>
        <w:t xml:space="preserve">Labor Day</w:t>
      </w:r>
      <w:r>
        <w:t xml:space="preserve"> </w:t>
      </w:r>
      <w:r>
        <w:t xml:space="preserve">superó el criterio: vende un</w:t>
      </w:r>
      <w:r>
        <w:t xml:space="preserve"> </w:t>
      </w:r>
      <w:r>
        <w:rPr>
          <w:b/>
        </w:rPr>
        <w:t xml:space="preserve">28 % más</w:t>
      </w:r>
      <w:r>
        <w:t xml:space="preserve"> </w:t>
      </w:r>
      <w:r>
        <w:t xml:space="preserve">que un lunes normal, en los cinco años</w:t>
      </w:r>
      <w:r>
        <w:t xml:space="preserve"> </w:t>
      </w:r>
      <w:r>
        <w:t xml:space="preserve">(entre +22 % y +39 %).</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
        </w:rPr>
        <w:t xml:space="preserve">Black Friday</w:t>
      </w:r>
      <w:r>
        <w:t xml:space="preserve">. El examen del histórico no solo no mostró</w:t>
      </w:r>
      <w:r>
        <w:t xml:space="preserve"> </w:t>
      </w:r>
      <w:r>
        <w:t xml:space="preserve">un pico: en los cinco años, Black Friday vende un</w:t>
      </w:r>
      <w:r>
        <w:t xml:space="preserve"> </w:t>
      </w:r>
      <w:r>
        <w:rPr>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p>
      <w:pPr>
        <w:pStyle w:val="Heading3"/>
      </w:pPr>
      <w:bookmarkStart w:id="51" w:name="demanda-censurada"/>
      <w:r>
        <w:t xml:space="preserve">6.2.4. Demanda censurada</w:t>
      </w:r>
      <w:bookmarkEnd w:id="51"/>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
        </w:rPr>
        <w:t xml:space="preserve">fact_ventas</w:t>
      </w:r>
      <w:r>
        <w:rPr>
          <w:b/>
        </w:rPr>
        <w:t xml:space="preserve"> </w:t>
      </w:r>
      <w:r>
        <w:rPr>
          <w:b/>
        </w:rPr>
        <w:t xml:space="preserve">registra unidades vendidas, no unidades</w:t>
      </w:r>
      <w:r>
        <w:rPr>
          <w:b/>
        </w:rPr>
        <w:t xml:space="preserve"> </w:t>
      </w:r>
      <w:r>
        <w:rPr>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3"/>
        </w:numPr>
        <w:pStyle w:val="Compact"/>
      </w:pPr>
      <w:r>
        <w:t xml:space="preserve">Los modelos de §7.3 se entrenan sobre demanda censurada, de modo que</w:t>
      </w:r>
      <w:r>
        <w:t xml:space="preserve"> </w:t>
      </w:r>
      <w:r>
        <w:rPr>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3"/>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
        </w:rPr>
        <w:t xml:space="preserve">cota inferior</w:t>
      </w:r>
      <w:r>
        <w:t xml:space="preserve"> </w:t>
      </w:r>
      <w:r>
        <w:t xml:space="preserve">y no una estimación.</w:t>
      </w:r>
    </w:p>
    <w:p>
      <w:pPr>
        <w:numPr>
          <w:ilvl w:val="0"/>
          <w:numId w:val="1003"/>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
        </w:rPr>
        <w:t xml:space="preserve">no es corregible</w:t>
      </w:r>
      <w:r>
        <w:t xml:space="preserve">: no existe información que permita</w:t>
      </w:r>
      <w:r>
        <w:t xml:space="preserve"> </w:t>
      </w:r>
      <w:r>
        <w:t xml:space="preserve">determinar qué ceros correspondieron a rotura. Sí es acotable, y así se trata en §7.4.7: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p>
      <w:pPr>
        <w:pStyle w:val="Heading3"/>
      </w:pPr>
      <w:bookmarkStart w:id="52" w:name="días-de-cierre"/>
      <w:r>
        <w:t xml:space="preserve">6.2.5. Días de cierre</w:t>
      </w:r>
      <w:bookmarkEnd w:id="52"/>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p>
      <w:pPr>
        <w:pStyle w:val="Heading2"/>
      </w:pPr>
      <w:bookmarkStart w:id="53" w:name="arquitectura-del-almacén-analítico"/>
      <w:r>
        <w:t xml:space="preserve">6.3. Arquitectura del almacén analítico</w:t>
      </w:r>
      <w:bookmarkEnd w:id="53"/>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p>
      <w:pPr>
        <w:pStyle w:val="Heading3"/>
      </w:pPr>
      <w:bookmarkStart w:id="54" w:name="arquitectura-medallón"/>
      <w:r>
        <w:t xml:space="preserve">6.3.1. Arquitectura medallón</w:t>
      </w:r>
      <w:bookmarkEnd w:id="54"/>
    </w:p>
    <w:p>
      <w:pPr>
        <w:pStyle w:val="FirstParagraph"/>
      </w:pPr>
      <w:r>
        <w:t xml:space="preserve">El almacén se organiza en tres capas sucesivas, cada una con una responsabilidad única:</w:t>
      </w:r>
    </w:p>
    <w:p>
      <w:pPr>
        <w:pStyle w:val="BodyText"/>
      </w:pPr>
      <w:r>
        <w:rPr>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1" name="Picture"/>
            <a:graphic>
              <a:graphicData uri="http://schemas.openxmlformats.org/drawingml/2006/picture">
                <pic:pic>
                  <pic:nvPicPr>
                    <pic:cNvPr descr="figuras/fig_6_1.png" id="0" name="Picture"/>
                    <pic:cNvPicPr>
                      <a:picLocks noChangeArrowheads="1" noChangeAspect="1"/>
                    </pic:cNvPicPr>
                  </pic:nvPicPr>
                  <pic:blipFill>
                    <a:blip r:embed="rId55"/>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
        </w:rPr>
        <w:t xml:space="preserve">Figura 6.1.</w:t>
      </w:r>
      <w:r>
        <w:t xml:space="preserve"> </w:t>
      </w:r>
      <w:r>
        <w:t xml:space="preserve">Arquitectura del almacén en tres capas.</w:t>
      </w:r>
      <w:r>
        <w:t xml:space="preserve"> </w:t>
      </w:r>
      <w:r>
        <w:rPr>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
        </w:rPr>
        <w:t xml:space="preserve">58.327.370</w:t>
      </w:r>
      <w:r>
        <w:rPr>
          <w:b/>
        </w:rPr>
        <w:t xml:space="preserve"> </w:t>
      </w:r>
      <w:r>
        <w:rPr>
          <w:b/>
        </w:rPr>
        <w:t xml:space="preserve">filas en cuatro segundos</w:t>
      </w:r>
      <w:r>
        <w:t xml:space="preserve">. La reconstrucción íntegra del almacén desde los ficheros de origen</w:t>
      </w:r>
      <w:r>
        <w:t xml:space="preserve"> </w:t>
      </w:r>
      <w:r>
        <w:t xml:space="preserve">tarda aproximadamente</w:t>
      </w:r>
      <w:r>
        <w:t xml:space="preserve"> </w:t>
      </w:r>
      <w:r>
        <w:rPr>
          <w:b/>
        </w:rPr>
        <w:t xml:space="preserve">veinte segundos</w:t>
      </w:r>
      <w:r>
        <w:t xml:space="preserve">.</w:t>
      </w:r>
    </w:p>
    <w:p>
      <w:pPr>
        <w:pStyle w:val="Heading3"/>
      </w:pPr>
      <w:bookmarkStart w:id="56" w:name="modelo-dimensional"/>
      <w:r>
        <w:t xml:space="preserve">6.3.2. Modelo dimensional</w:t>
      </w:r>
      <w:bookmarkEnd w:id="56"/>
    </w:p>
    <w:p>
      <w:pPr>
        <w:pStyle w:val="FirstParagraph"/>
      </w:pPr>
      <w:r>
        <w:t xml:space="preserve">La capa oro adopta un</w:t>
      </w:r>
      <w:r>
        <w:t xml:space="preserve"> </w:t>
      </w:r>
      <w:r>
        <w:rPr>
          <w:b/>
        </w:rPr>
        <w:t xml:space="preserve">esquema en estrella</w:t>
      </w:r>
      <w:r>
        <w:t xml:space="preserve"> </w:t>
      </w:r>
      <w:r>
        <w:t xml:space="preserve">con cuatro dimensiones y tres tablas de hechos: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Tipo</w:t>
            </w:r>
          </w:p>
        </w:tc>
        <w:tc>
          <w:tcPr>
            <w:tcBorders>
              <w:bottom w:val="single"/>
            </w:tcBorders>
            <w:vAlign w:val="bottom"/>
          </w:tcPr>
          <w:p>
            <w:pPr>
              <w:pStyle w:val="Compact"/>
              <w:jc w:val="left"/>
            </w:pPr>
            <w:r>
              <w:t xml:space="preserve">Filas</w:t>
            </w:r>
          </w:p>
        </w:tc>
        <w:tc>
          <w:tcPr>
            <w:tcBorders>
              <w:bottom w:val="single"/>
            </w:tcBorders>
            <w:vAlign w:val="bottom"/>
          </w:tcPr>
          <w:p>
            <w:pPr>
              <w:pStyle w:val="Compact"/>
              <w:jc w:val="left"/>
            </w:pPr>
            <w:r>
              <w:t xml:space="preserve">Contenido</w:t>
            </w:r>
          </w:p>
        </w:tc>
      </w:tr>
      <w:tr>
        <w:tc>
          <w:p>
            <w:pPr>
              <w:pStyle w:val="Compact"/>
              <w:jc w:val="left"/>
            </w:pPr>
            <w:r>
              <w:rPr>
                <w:rStyle w:val="VerbatimChar"/>
              </w:rPr>
              <w:t xml:space="preserve">dim_calendario</w:t>
            </w:r>
          </w:p>
        </w:tc>
        <w:tc>
          <w:p>
            <w:pPr>
              <w:pStyle w:val="Compact"/>
              <w:jc w:val="left"/>
            </w:pPr>
            <w:r>
              <w:t xml:space="preserve">dimensión</w:t>
            </w:r>
          </w:p>
        </w:tc>
        <w:tc>
          <w:p>
            <w:pPr>
              <w:pStyle w:val="Compact"/>
              <w:jc w:val="left"/>
            </w:pPr>
            <w:r>
              <w:t xml:space="preserve">1.941</w:t>
            </w:r>
          </w:p>
        </w:tc>
        <w:tc>
          <w:p>
            <w:pPr>
              <w:pStyle w:val="Compact"/>
              <w:jc w:val="left"/>
            </w:pPr>
            <w:r>
              <w:t xml:space="preserve">Fecha, día de la semana, evento, banderas de cierre y temporada</w:t>
            </w:r>
          </w:p>
        </w:tc>
      </w:tr>
      <w:tr>
        <w:tc>
          <w:p>
            <w:pPr>
              <w:pStyle w:val="Compact"/>
              <w:jc w:val="left"/>
            </w:pPr>
            <w:r>
              <w:rPr>
                <w:rStyle w:val="VerbatimChar"/>
              </w:rPr>
              <w:t xml:space="preserve">dim_producto</w:t>
            </w:r>
          </w:p>
        </w:tc>
        <w:tc>
          <w:p>
            <w:pPr>
              <w:pStyle w:val="Compact"/>
              <w:jc w:val="left"/>
            </w:pPr>
            <w:r>
              <w:t xml:space="preserve">dimensión</w:t>
            </w:r>
          </w:p>
        </w:tc>
        <w:tc>
          <w:p>
            <w:pPr>
              <w:pStyle w:val="Compact"/>
              <w:jc w:val="left"/>
            </w:pPr>
            <w:r>
              <w:t xml:space="preserve">3.049</w:t>
            </w:r>
          </w:p>
        </w:tc>
        <w:tc>
          <w:p>
            <w:pPr>
              <w:pStyle w:val="Compact"/>
              <w:jc w:val="left"/>
            </w:pPr>
            <w:r>
              <w:t xml:space="preserve">Categoría, departamento y los grupos de §7.2</w:t>
            </w:r>
          </w:p>
        </w:tc>
      </w:tr>
      <w:tr>
        <w:tc>
          <w:p>
            <w:pPr>
              <w:pStyle w:val="Compact"/>
              <w:jc w:val="left"/>
            </w:pPr>
            <w:r>
              <w:rPr>
                <w:rStyle w:val="VerbatimChar"/>
              </w:rPr>
              <w:t xml:space="preserve">dim_tienda</w:t>
            </w:r>
          </w:p>
        </w:tc>
        <w:tc>
          <w:p>
            <w:pPr>
              <w:pStyle w:val="Compact"/>
              <w:jc w:val="left"/>
            </w:pPr>
            <w:r>
              <w:t xml:space="preserve">dimensión</w:t>
            </w:r>
          </w:p>
        </w:tc>
        <w:tc>
          <w:p>
            <w:pPr>
              <w:pStyle w:val="Compact"/>
              <w:jc w:val="left"/>
            </w:pPr>
            <w:r>
              <w:t xml:space="preserve">10</w:t>
            </w:r>
          </w:p>
        </w:tc>
        <w:tc>
          <w:p>
            <w:pPr>
              <w:pStyle w:val="Compact"/>
              <w:jc w:val="left"/>
            </w:pPr>
            <w:r>
              <w:t xml:space="preserve">Nombre y ciudad</w:t>
            </w:r>
          </w:p>
        </w:tc>
      </w:tr>
      <w:tr>
        <w:tc>
          <w:p>
            <w:pPr>
              <w:pStyle w:val="Compact"/>
              <w:jc w:val="left"/>
            </w:pPr>
            <w:r>
              <w:rPr>
                <w:rStyle w:val="VerbatimChar"/>
              </w:rPr>
              <w:t xml:space="preserve">dim_serie</w:t>
            </w:r>
          </w:p>
        </w:tc>
        <w:tc>
          <w:p>
            <w:pPr>
              <w:pStyle w:val="Compact"/>
              <w:jc w:val="left"/>
            </w:pPr>
            <w:r>
              <w:t xml:space="preserve">dimensión</w:t>
            </w:r>
          </w:p>
        </w:tc>
        <w:tc>
          <w:p>
            <w:pPr>
              <w:pStyle w:val="Compact"/>
              <w:jc w:val="left"/>
            </w:pPr>
            <w:r>
              <w:t xml:space="preserve">30.490</w:t>
            </w:r>
          </w:p>
        </w:tc>
        <w:tc>
          <w:p>
            <w:pPr>
              <w:pStyle w:val="Compact"/>
              <w:jc w:val="left"/>
            </w:pPr>
            <w:r>
              <w:t xml:space="preserve">Estadísticos de la serie y clases ABC/XYZ</w:t>
            </w:r>
          </w:p>
        </w:tc>
      </w:tr>
      <w:tr>
        <w:tc>
          <w:p>
            <w:pPr>
              <w:pStyle w:val="Compact"/>
              <w:jc w:val="left"/>
            </w:pPr>
            <w:r>
              <w:rPr>
                <w:rStyle w:val="VerbatimChar"/>
              </w:rPr>
              <w:t xml:space="preserve">fact_ventas</w:t>
            </w:r>
          </w:p>
        </w:tc>
        <w:tc>
          <w:p>
            <w:pPr>
              <w:pStyle w:val="Compact"/>
              <w:jc w:val="left"/>
            </w:pPr>
            <w:r>
              <w:t xml:space="preserve">hecho</w:t>
            </w:r>
          </w:p>
        </w:tc>
        <w:tc>
          <w:p>
            <w:pPr>
              <w:pStyle w:val="Compact"/>
              <w:jc w:val="left"/>
            </w:pPr>
            <w:r>
              <w:t xml:space="preserve">58.327.370</w:t>
            </w:r>
          </w:p>
        </w:tc>
        <w:tc>
          <w:p>
            <w:pPr>
              <w:pStyle w:val="Compact"/>
              <w:jc w:val="left"/>
            </w:pPr>
            <w:r>
              <w:t xml:space="preserve">Unidades, precio e importe por día</w:t>
            </w:r>
          </w:p>
        </w:tc>
      </w:tr>
      <w:tr>
        <w:tc>
          <w:p>
            <w:pPr>
              <w:pStyle w:val="Compact"/>
              <w:jc w:val="left"/>
            </w:pPr>
            <w:r>
              <w:rPr>
                <w:rStyle w:val="VerbatimChar"/>
              </w:rPr>
              <w:t xml:space="preserve">fact_predicciones</w:t>
            </w:r>
          </w:p>
        </w:tc>
        <w:tc>
          <w:p>
            <w:pPr>
              <w:pStyle w:val="Compact"/>
              <w:jc w:val="left"/>
            </w:pPr>
            <w:r>
              <w:t xml:space="preserve">hecho</w:t>
            </w:r>
          </w:p>
        </w:tc>
        <w:tc>
          <w:p>
            <w:pPr>
              <w:pStyle w:val="Compact"/>
              <w:jc w:val="left"/>
            </w:pPr>
            <w:r>
              <w:t xml:space="preserve">853.720</w:t>
            </w:r>
          </w:p>
        </w:tc>
        <w:tc>
          <w:p>
            <w:pPr>
              <w:pStyle w:val="Compact"/>
              <w:jc w:val="left"/>
            </w:pPr>
            <w:r>
              <w:t xml:space="preserve">Previsión media y percentil 90 a 28 días</w:t>
            </w:r>
          </w:p>
        </w:tc>
      </w:tr>
      <w:tr>
        <w:tc>
          <w:p>
            <w:pPr>
              <w:pStyle w:val="Compact"/>
              <w:jc w:val="left"/>
            </w:pPr>
            <w:r>
              <w:rPr>
                <w:rStyle w:val="VerbatimChar"/>
              </w:rPr>
              <w:t xml:space="preserve">fact_reposicion</w:t>
            </w:r>
          </w:p>
        </w:tc>
        <w:tc>
          <w:p>
            <w:pPr>
              <w:pStyle w:val="Compact"/>
              <w:jc w:val="left"/>
            </w:pPr>
            <w:r>
              <w:t xml:space="preserve">hecho</w:t>
            </w:r>
          </w:p>
        </w:tc>
        <w:tc>
          <w:p>
            <w:pPr>
              <w:pStyle w:val="Compact"/>
              <w:jc w:val="left"/>
            </w:pPr>
            <w:r>
              <w:t xml:space="preserve">121.960</w:t>
            </w:r>
          </w:p>
        </w:tc>
        <w:tc>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1" name="Picture"/>
            <a:graphic>
              <a:graphicData uri="http://schemas.openxmlformats.org/drawingml/2006/picture">
                <pic:pic>
                  <pic:nvPicPr>
                    <pic:cNvPr descr="figuras/fig_6_2.png" id="0" name="Picture"/>
                    <pic:cNvPicPr>
                      <a:picLocks noChangeArrowheads="1" noChangeAspect="1"/>
                    </pic:cNvPicPr>
                  </pic:nvPicPr>
                  <pic:blipFill>
                    <a:blip r:embed="rId57"/>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
        </w:rPr>
        <w:t xml:space="preserve">Figura 6.2.</w:t>
      </w:r>
      <w:r>
        <w:t xml:space="preserve"> </w:t>
      </w:r>
      <w:r>
        <w:t xml:space="preserve">Modelo dimensional de la capa de consumo (esquema en estrella).</w:t>
      </w:r>
      <w:r>
        <w:t xml:space="preserve"> </w:t>
      </w:r>
      <w:r>
        <w:rPr>
          <w:i/>
        </w:rPr>
        <w:t xml:space="preserve">Fuente: elaboración propia.</w:t>
      </w:r>
    </w:p>
    <w:p>
      <w:pPr>
        <w:pStyle w:val="Heading3"/>
      </w:pPr>
      <w:bookmarkStart w:id="58" w:name="motor-y-decisiones-de-implementación"/>
      <w:r>
        <w:t xml:space="preserve">6.3.3. Motor y decisiones de implementación</w:t>
      </w:r>
      <w:bookmarkEnd w:id="58"/>
    </w:p>
    <w:p>
      <w:pPr>
        <w:pStyle w:val="FirstParagraph"/>
      </w:pPr>
      <w:r>
        <w:t xml:space="preserve">El almacén se implementó sobre</w:t>
      </w:r>
      <w:r>
        <w:t xml:space="preserve"> </w:t>
      </w:r>
      <w:r>
        <w:rPr>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p>
      <w:pPr>
        <w:pStyle w:val="Heading3"/>
      </w:pPr>
      <w:bookmarkStart w:id="59" w:name="la-trampa-del-abanico"/>
      <w:r>
        <w:t xml:space="preserve">6.3.4. La trampa del abanico</w:t>
      </w:r>
      <w:bookmarkEnd w:id="59"/>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p>
      <w:pPr>
        <w:pStyle w:val="Heading2"/>
      </w:pPr>
      <w:bookmarkStart w:id="60" w:name="ingeniería-de-variables"/>
      <w:r>
        <w:t xml:space="preserve">6.4. Ingeniería de variables</w:t>
      </w:r>
      <w:bookmarkEnd w:id="60"/>
    </w:p>
    <w:p>
      <w:pPr>
        <w:pStyle w:val="Heading3"/>
      </w:pPr>
      <w:bookmarkStart w:id="61" w:name="variables-construidas"/>
      <w:r>
        <w:t xml:space="preserve">6.4.1. Variables construidas</w:t>
      </w:r>
      <w:bookmarkEnd w:id="61"/>
    </w:p>
    <w:p>
      <w:pPr>
        <w:pStyle w:val="FirstParagraph"/>
      </w:pPr>
      <w:r>
        <w:t xml:space="preserve">El conjunto de variables predictoras se organiza en seis bloques:</w:t>
      </w:r>
    </w:p>
    <w:p>
      <w:pPr>
        <w:numPr>
          <w:ilvl w:val="0"/>
          <w:numId w:val="1004"/>
        </w:numPr>
        <w:pStyle w:val="Compact"/>
      </w:pPr>
      <w:r>
        <w:rPr>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4"/>
        </w:numPr>
        <w:pStyle w:val="Compact"/>
      </w:pPr>
      <w:r>
        <w:rPr>
          <w:b/>
        </w:rPr>
        <w:t xml:space="preserve">Medias móviles.</w:t>
      </w:r>
      <w:r>
        <w:t xml:space="preserve"> </w:t>
      </w:r>
      <w:r>
        <w:t xml:space="preserve">Promedios de la serie sobre ventanas de 7, 28, 91 y 364 días.</w:t>
      </w:r>
    </w:p>
    <w:p>
      <w:pPr>
        <w:numPr>
          <w:ilvl w:val="0"/>
          <w:numId w:val="1004"/>
        </w:numPr>
        <w:pStyle w:val="Compact"/>
      </w:pPr>
      <w:r>
        <w:rPr>
          <w:b/>
        </w:rPr>
        <w:t xml:space="preserve">Dispersión.</w:t>
      </w:r>
      <w:r>
        <w:t xml:space="preserve"> </w:t>
      </w:r>
      <w:r>
        <w:t xml:space="preserve">Desviación típica y proporción de días sin venta de los últimos 28 días.</w:t>
      </w:r>
    </w:p>
    <w:p>
      <w:pPr>
        <w:numPr>
          <w:ilvl w:val="0"/>
          <w:numId w:val="1004"/>
        </w:numPr>
        <w:pStyle w:val="Compact"/>
      </w:pPr>
      <w:r>
        <w:rPr>
          <w:b/>
        </w:rPr>
        <w:t xml:space="preserve">Calendario.</w:t>
      </w:r>
      <w:r>
        <w:t xml:space="preserve"> </w:t>
      </w:r>
      <w:r>
        <w:t xml:space="preserve">Día de la semana, mes, día del mes, semana del año, bandera de fin de semana y evento del día.</w:t>
      </w:r>
    </w:p>
    <w:p>
      <w:pPr>
        <w:numPr>
          <w:ilvl w:val="0"/>
          <w:numId w:val="1004"/>
        </w:numPr>
        <w:pStyle w:val="Compact"/>
      </w:pPr>
      <w:r>
        <w:rPr>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4"/>
        </w:numPr>
        <w:pStyle w:val="Compact"/>
      </w:pPr>
      <w:r>
        <w:rPr>
          <w:b/>
        </w:rPr>
        <w:t xml:space="preserve">Precio y segmento.</w:t>
      </w:r>
      <w:r>
        <w:t xml:space="preserve"> </w:t>
      </w:r>
      <w:r>
        <w:t xml:space="preserve">Precio de la semana, precio relativo a la media del producto, variación respecto de cuatro semanas antes, categoría, departamento, tienda y ciudad. El grupo de producto obtenido en §7.2 se probó también como variable y se retiró, porque no mejoraba la predicción (cuaderno 03b).</w:t>
      </w:r>
    </w:p>
    <w:p>
      <w:pPr>
        <w:pStyle w:val="Heading3"/>
      </w:pPr>
      <w:bookmarkStart w:id="62" w:name="la-restricción-de-retardo-mínimo"/>
      <w:r>
        <w:t xml:space="preserve">6.4.2. La restricción de retardo mínimo</w:t>
      </w:r>
      <w:bookmarkEnd w:id="62"/>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p>
      <w:pPr>
        <w:pStyle w:val="Heading3"/>
      </w:pPr>
      <w:bookmarkStart w:id="63" w:name="función-de-pérdida"/>
      <w:r>
        <w:t xml:space="preserve">6.4.3. Función de pérdida</w:t>
      </w:r>
      <w:bookmarkEnd w:id="63"/>
    </w:p>
    <w:p>
      <w:pPr>
        <w:pStyle w:val="FirstParagraph"/>
      </w:pPr>
      <w:r>
        <w:t xml:space="preserve">Los modelos de aprendizaje automático se entrenaron con la función de pérdida</w:t>
      </w:r>
      <w:r>
        <w:t xml:space="preserve"> </w:t>
      </w:r>
      <w:r>
        <w:rPr>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p>
      <w:pPr>
        <w:pStyle w:val="Heading3"/>
      </w:pPr>
      <w:bookmarkStart w:id="64" w:name="precisión-numérica"/>
      <w:r>
        <w:t xml:space="preserve">6.4.4. Precisión numérica</w:t>
      </w:r>
      <w:bookmarkEnd w:id="64"/>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p>
      <w:pPr>
        <w:pStyle w:val="Heading2"/>
      </w:pPr>
      <w:bookmarkStart w:id="65" w:name="protocolo-de-validación"/>
      <w:r>
        <w:t xml:space="preserve">6.5. Protocolo de validación</w:t>
      </w:r>
      <w:bookmarkEnd w:id="65"/>
    </w:p>
    <w:p>
      <w:pPr>
        <w:pStyle w:val="Heading3"/>
      </w:pPr>
      <w:bookmarkStart w:id="66" w:name="validación-temporal-por-avance"/>
      <w:r>
        <w:t xml:space="preserve">6.5.1. Validación temporal por avance</w:t>
      </w:r>
      <w:bookmarkEnd w:id="66"/>
    </w:p>
    <w:p>
      <w:pPr>
        <w:pStyle w:val="FirstParagraph"/>
      </w:pPr>
      <w:r>
        <w:t xml:space="preserve">Toda la evaluación de modelos de predicción emplea</w:t>
      </w:r>
      <w:r>
        <w:t xml:space="preserve"> </w:t>
      </w:r>
      <w:r>
        <w:rPr>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1" name="Picture"/>
            <a:graphic>
              <a:graphicData uri="http://schemas.openxmlformats.org/drawingml/2006/picture">
                <pic:pic>
                  <pic:nvPicPr>
                    <pic:cNvPr descr="figuras/fig_6_3.png" id="0" name="Picture"/>
                    <pic:cNvPicPr>
                      <a:picLocks noChangeArrowheads="1" noChangeAspect="1"/>
                    </pic:cNvPicPr>
                  </pic:nvPicPr>
                  <pic:blipFill>
                    <a:blip r:embed="rId67"/>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
        </w:rPr>
        <w:t xml:space="preserve">Figura 6.3.</w:t>
      </w:r>
      <w:r>
        <w:t xml:space="preserve"> </w:t>
      </w:r>
      <w:r>
        <w:t xml:space="preserve">Esquema de la validación temporal por avance.</w:t>
      </w:r>
      <w:r>
        <w:t xml:space="preserve"> </w:t>
      </w:r>
      <w:r>
        <w:rPr>
          <w:i/>
        </w:rPr>
        <w:t xml:space="preserve">Fuente: elaboración propia.</w:t>
      </w:r>
    </w:p>
    <w:p>
      <w:pPr>
        <w:pStyle w:val="Heading3"/>
      </w:pPr>
      <w:bookmarkStart w:id="68" w:name="ventana-de-entrenamiento"/>
      <w:r>
        <w:t xml:space="preserve">6.5.2. Ventana de entrenamiento</w:t>
      </w:r>
      <w:bookmarkEnd w:id="68"/>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
        </w:rPr>
        <w:t xml:space="preserve">400 días</w:t>
      </w:r>
      <w:r>
        <w:t xml:space="preserve">, que incluyen el año anterior completo: el error mejora un 5,3 % en diciembre y</w:t>
      </w:r>
      <w:r>
        <w:t xml:space="preserve"> </w:t>
      </w:r>
      <w:r>
        <w:t xml:space="preserve">un 3,2 % en noviembre sin empeorar el resto del año. El</w:t>
      </w:r>
      <w:r>
        <w:t xml:space="preserve"> </w:t>
      </w:r>
      <w:r>
        <w:rPr>
          <w:b/>
        </w:rPr>
        <w:t xml:space="preserve">modelo final se entrena con 400 días</w:t>
      </w:r>
      <w:r>
        <w:t xml:space="preserve">;</w:t>
      </w:r>
      <w:r>
        <w:t xml:space="preserve"> </w:t>
      </w:r>
      <w:r>
        <w:t xml:space="preserve">el coste es un tiempo de entrenamiento algo más del doble.</w:t>
      </w:r>
    </w:p>
    <w:p>
      <w:pPr>
        <w:pStyle w:val="Heading3"/>
      </w:pPr>
      <w:bookmarkStart w:id="69" w:name="validación-de-la-segmentación"/>
      <w:r>
        <w:t xml:space="preserve">6.5.3. Validación de la segmentación</w:t>
      </w:r>
      <w:bookmarkEnd w:id="69"/>
    </w:p>
    <w:p>
      <w:pPr>
        <w:pStyle w:val="FirstParagraph"/>
      </w:pPr>
      <w:r>
        <w:t xml:space="preserve">La segmentación de productos se validó en tres pasos. Las</w:t>
      </w:r>
      <w:r>
        <w:t xml:space="preserve"> </w:t>
      </w:r>
      <w:r>
        <w:rPr>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
        </w:rPr>
        <w:t xml:space="preserve">número de grupos</w:t>
      </w:r>
      <w:r>
        <w:t xml:space="preserve"> </w:t>
      </w:r>
      <w:r>
        <w:t xml:space="preserve">se</w:t>
      </w:r>
      <w:r>
        <w:t xml:space="preserve"> </w:t>
      </w:r>
      <w:r>
        <w:t xml:space="preserve">eligió con el método del codo —</w:t>
      </w:r>
      <w:r>
        <w:rPr>
          <w:i/>
        </w:rPr>
        <w:t xml:space="preserve">k</w:t>
      </w:r>
      <w:r>
        <w:t xml:space="preserve">-medias con</w:t>
      </w:r>
      <w:r>
        <w:t xml:space="preserve"> </w:t>
      </w:r>
      <w:r>
        <w:rPr>
          <w:i/>
        </w:rPr>
        <w:t xml:space="preserve">K</w:t>
      </w:r>
      <w:r>
        <w:t xml:space="preserve"> </w:t>
      </w:r>
      <w:r>
        <w:t xml:space="preserve">de 2 a 14— y el coeficiente de silueta. La</w:t>
      </w:r>
      <w:r>
        <w:t xml:space="preserve"> </w:t>
      </w:r>
      <w:r>
        <w:rPr>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p>
      <w:pPr>
        <w:pStyle w:val="Heading2"/>
      </w:pPr>
      <w:bookmarkStart w:id="70" w:name="métricas"/>
      <w:r>
        <w:t xml:space="preserve">6.6. Métricas</w:t>
      </w:r>
      <w:bookmarkEnd w:id="70"/>
    </w:p>
    <w:p>
      <w:pPr>
        <w:pStyle w:val="Heading3"/>
      </w:pPr>
      <w:bookmarkStart w:id="71" w:name="error-de-predicción"/>
      <w:r>
        <w:t xml:space="preserve">6.6.1. Error de predicción</w:t>
      </w:r>
      <w:bookmarkEnd w:id="71"/>
    </w:p>
    <w:p>
      <w:pPr>
        <w:pStyle w:val="FirstParagraph"/>
      </w:pPr>
      <w:r>
        <w:t xml:space="preserve">Se emplean varias métricas, cada una para un propósito distinto.</w:t>
      </w:r>
    </w:p>
    <w:p>
      <w:pPr>
        <w:pStyle w:val="BodyText"/>
      </w:pPr>
      <w:r>
        <w:rPr>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
        </w:rPr>
        <w:t xml:space="preserve">RMSSE</w:t>
      </w:r>
      <w:r>
        <w:t xml:space="preserve"> </w:t>
      </w:r>
      <w:r>
        <w:t xml:space="preserve">(</w:t>
      </w:r>
      <w:r>
        <w:rPr>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t>=</m:t>
          </m:r>
          <m:rad>
            <m:radPr>
              <m:degHide m:val="1"/>
            </m:radPr>
            <m:deg/>
            <m:e>
              <m:f>
                <m:fPr>
                  <m:type m:val="bar"/>
                </m:fPr>
                <m:num>
                  <m:f>
                    <m:fPr>
                      <m:type m:val="bar"/>
                    </m:fPr>
                    <m:num>
                      <m:r>
                        <m:t>1</m:t>
                      </m:r>
                    </m:num>
                    <m:den>
                      <m:r>
                        <m:t>h</m:t>
                      </m:r>
                    </m:den>
                  </m:f>
                  <m:nary>
                    <m:naryPr>
                      <m:chr m:val="∑"/>
                      <m:limLoc m:val="undOvr"/>
                      <m:subHide m:val="0"/>
                      <m:supHide m:val="0"/>
                    </m:naryPr>
                    <m:sub>
                      <m:r>
                        <m:t>t</m:t>
                      </m:r>
                      <m:r>
                        <m:t>=</m:t>
                      </m:r>
                      <m:r>
                        <m:t>n</m:t>
                      </m:r>
                      <m:r>
                        <m:t>+</m:t>
                      </m:r>
                      <m:r>
                        <m:t>1</m:t>
                      </m:r>
                    </m:sub>
                    <m:sup>
                      <m:r>
                        <m:t>n</m:t>
                      </m:r>
                      <m:r>
                        <m:t>+</m:t>
                      </m:r>
                      <m:r>
                        <m:t>h</m:t>
                      </m:r>
                    </m:sup>
                    <m:e>
                      <m:r>
                        <m:t>(</m:t>
                      </m:r>
                    </m:e>
                  </m:nary>
                  <m:sSub>
                    <m:e>
                      <m:r>
                        <m:t>y</m:t>
                      </m:r>
                    </m:e>
                    <m:sub>
                      <m:r>
                        <m:t>t</m:t>
                      </m:r>
                    </m:sub>
                  </m:sSub>
                  <m:r>
                    <m:t>−</m:t>
                  </m:r>
                  <m:sSub>
                    <m:e>
                      <m:acc>
                        <m:accPr>
                          <m:chr m:val="̂"/>
                        </m:accPr>
                        <m:e>
                          <m:r>
                            <m:t>y</m:t>
                          </m:r>
                        </m:e>
                      </m:acc>
                    </m:e>
                    <m:sub>
                      <m:r>
                        <m:t>t</m:t>
                      </m:r>
                    </m:sub>
                  </m:sSub>
                  <m:sSup>
                    <m:e>
                      <m:r>
                        <m:t>)</m:t>
                      </m:r>
                    </m:e>
                    <m:sup>
                      <m:r>
                        <m:t>2</m:t>
                      </m:r>
                    </m:sup>
                  </m:sSup>
                </m:num>
                <m:den>
                  <m:f>
                    <m:fPr>
                      <m:type m:val="bar"/>
                    </m:fPr>
                    <m:num>
                      <m:r>
                        <m:t>1</m:t>
                      </m:r>
                    </m:num>
                    <m:den>
                      <m:r>
                        <m:t>n</m:t>
                      </m:r>
                      <m:r>
                        <m:t>−</m:t>
                      </m:r>
                      <m:r>
                        <m:t>1</m:t>
                      </m:r>
                    </m:den>
                  </m:f>
                  <m:nary>
                    <m:naryPr>
                      <m:chr m:val="∑"/>
                      <m:limLoc m:val="undOvr"/>
                      <m:subHide m:val="0"/>
                      <m:supHide m:val="0"/>
                    </m:naryPr>
                    <m:sub>
                      <m:r>
                        <m:t>t</m:t>
                      </m:r>
                      <m:r>
                        <m:t>=</m:t>
                      </m:r>
                      <m:r>
                        <m:t>2</m:t>
                      </m:r>
                    </m:sub>
                    <m:sup>
                      <m:r>
                        <m:t>n</m:t>
                      </m:r>
                    </m:sup>
                    <m:e>
                      <m:r>
                        <m:t>(</m:t>
                      </m:r>
                    </m:e>
                  </m:nary>
                  <m:sSub>
                    <m:e>
                      <m:r>
                        <m:t>y</m:t>
                      </m:r>
                    </m:e>
                    <m:sub>
                      <m:r>
                        <m:t>t</m:t>
                      </m:r>
                    </m:sub>
                  </m:sSub>
                  <m:r>
                    <m:t>−</m:t>
                  </m:r>
                  <m:sSub>
                    <m:e>
                      <m:r>
                        <m:t>y</m:t>
                      </m:r>
                    </m:e>
                    <m:sub>
                      <m:r>
                        <m:t>t</m:t>
                      </m:r>
                      <m:r>
                        <m:t>−</m:t>
                      </m:r>
                      <m:r>
                        <m:t>1</m:t>
                      </m:r>
                    </m:sub>
                  </m:sSub>
                  <m:sSup>
                    <m:e>
                      <m:r>
                        <m:t>)</m:t>
                      </m:r>
                    </m:e>
                    <m:sup>
                      <m:r>
                        <m:t>2</m:t>
                      </m:r>
                    </m:sup>
                  </m:sSup>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
        </w:rPr>
        <w:t xml:space="preserve">WAPE semanal</w:t>
      </w:r>
      <w:r>
        <w:t xml:space="preserve"> </w:t>
      </w:r>
      <w:r>
        <w:t xml:space="preserve">(</w:t>
      </w:r>
      <w:r>
        <w:rPr>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t>=</m:t>
          </m:r>
          <m:f>
            <m:fPr>
              <m:type m:val="bar"/>
            </m:fPr>
            <m:num>
              <m:r>
                <m:t>∑</m:t>
              </m:r>
              <m:r>
                <m:t>|</m:t>
              </m:r>
              <m:acc>
                <m:accPr>
                  <m:chr m:val="̂"/>
                </m:accPr>
                <m:e>
                  <m:r>
                    <m:t>y</m:t>
                  </m:r>
                </m:e>
              </m:acc>
              <m:r>
                <m:t>−</m:t>
              </m:r>
              <m:r>
                <m:t>y</m:t>
              </m:r>
              <m:r>
                <m:t>|</m:t>
              </m:r>
            </m:num>
            <m:den>
              <m:r>
                <m:t>∑</m:t>
              </m:r>
              <m:r>
                <m:t>y</m:t>
              </m:r>
            </m:den>
          </m:f>
          <m: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t>=</m:t>
        </m:r>
        <m:r>
          <m:t>y</m:t>
        </m:r>
        <m: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r>
            <m:t>(</m:t>
          </m:r>
          <m:r>
            <m:t>e</m:t>
          </m:r>
          <m:r>
            <m:t>)</m:t>
          </m:r>
          <m:r>
            <m:t>=</m:t>
          </m:r>
          <m:r>
            <m:rPr>
              <m:nor/>
              <m:sty m:val="p"/>
            </m:rPr>
            <m:t>max</m:t>
          </m:r>
          <m:r>
            <m:t>(</m:t>
          </m:r>
          <m:r>
            <m:t>τ</m:t>
          </m:r>
          <m:r>
            <m:t>e</m:t>
          </m:r>
          <m:r>
            <m:t>,</m:t>
          </m:r>
          <m:r>
            <m:t> </m:t>
          </m:r>
          <m:r>
            <m:t>(</m:t>
          </m:r>
          <m:r>
            <m:t>τ</m:t>
          </m:r>
          <m:r>
            <m:t>−</m:t>
          </m:r>
          <m:r>
            <m:t>1</m:t>
          </m:r>
          <m:r>
            <m:t>)</m:t>
          </m:r>
          <m:r>
            <m:t>e</m:t>
          </m:r>
          <m:r>
            <m:t>)</m:t>
          </m:r>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t>=</m:t>
        </m:r>
        <m:r>
          <m:t>0</m:t>
        </m:r>
        <m:r>
          <m:t>,</m:t>
        </m:r>
        <m:r>
          <m:t>9</m:t>
        </m:r>
      </m:oMath>
      <w:r>
        <w:t xml:space="preserve">, quedarse corto penaliza nueve veces más que pasarse.</w:t>
      </w:r>
    </w:p>
    <w:p>
      <w:pPr>
        <w:pStyle w:val="BodyText"/>
      </w:pPr>
      <w:r>
        <w:t xml:space="preserve">Se acompaña de la</w:t>
      </w:r>
      <w:r>
        <w:t xml:space="preserve"> </w:t>
      </w:r>
      <w:r>
        <w:rPr>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p>
      <w:pPr>
        <w:pStyle w:val="Heading3"/>
      </w:pPr>
      <w:bookmarkStart w:id="72" w:name="métricas-de-segmentación"/>
      <w:r>
        <w:t xml:space="preserve">6.6.2. Métricas de segmentación</w:t>
      </w:r>
      <w:bookmarkEnd w:id="72"/>
    </w:p>
    <w:p>
      <w:pPr>
        <w:pStyle w:val="FirstParagraph"/>
      </w:pPr>
      <w:r>
        <w:t xml:space="preserve">La</w:t>
      </w:r>
      <w:r>
        <w:t xml:space="preserve"> </w:t>
      </w:r>
      <w:r>
        <w:rPr>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r>
          <m:t>[</m:t>
        </m:r>
        <m:r>
          <m:t>−</m:t>
        </m:r>
        <m:r>
          <m:t>1</m:t>
        </m:r>
        <m:r>
          <m:t>,</m:t>
        </m:r>
        <m:r>
          <m:t>1</m:t>
        </m:r>
        <m:r>
          <m:t>]</m:t>
        </m:r>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p>
      <w:pPr>
        <w:pStyle w:val="Heading3"/>
      </w:pPr>
      <w:bookmarkStart w:id="73" w:name="métricas-económicas"/>
      <w:r>
        <w:t xml:space="preserve">6.6.3. Métricas económicas</w:t>
      </w:r>
      <w:bookmarkEnd w:id="73"/>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5"/>
        </w:numPr>
        <w:pStyle w:val="Compact"/>
      </w:pPr>
      <w:r>
        <w:rPr>
          <w:b/>
        </w:rPr>
        <w:t xml:space="preserve">Margen perdido por rotura</w:t>
      </w:r>
      <w:r>
        <w:t xml:space="preserve">, calculado como las unidades de demanda no atendida</w:t>
      </w:r>
      <w:r>
        <w:t xml:space="preserve"> </w:t>
      </w:r>
      <w:r>
        <w:t xml:space="preserve">multiplicadas por el margen unitario.</w:t>
      </w:r>
    </w:p>
    <w:p>
      <w:pPr>
        <w:numPr>
          <w:ilvl w:val="0"/>
          <w:numId w:val="1005"/>
        </w:numPr>
        <w:pStyle w:val="Compact"/>
      </w:pPr>
      <w:r>
        <w:rPr>
          <w:b/>
        </w:rPr>
        <w:t xml:space="preserve">Coste de mantenimiento</w:t>
      </w:r>
      <w:r>
        <w:t xml:space="preserve">, proporcional al inventario medio inmovilizado.</w:t>
      </w:r>
    </w:p>
    <w:p>
      <w:pPr>
        <w:numPr>
          <w:ilvl w:val="0"/>
          <w:numId w:val="1005"/>
        </w:numPr>
        <w:pStyle w:val="Compact"/>
      </w:pPr>
      <w:r>
        <w:rPr>
          <w:b/>
        </w:rPr>
        <w:t xml:space="preserve">Merma</w:t>
      </w:r>
      <w:r>
        <w:t xml:space="preserve">, proporcional al remanente no vendido al final del ciclo.</w:t>
      </w:r>
    </w:p>
    <w:p>
      <w:pPr>
        <w:pStyle w:val="FirstParagraph"/>
      </w:pPr>
      <w:r>
        <w:t xml:space="preserve">El</w:t>
      </w:r>
      <w:r>
        <w:t xml:space="preserve"> </w:t>
      </w:r>
      <w:r>
        <w:rPr>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p>
      <w:pPr>
        <w:pStyle w:val="Heading2"/>
      </w:pPr>
      <w:bookmarkStart w:id="74" w:name="muestreo-y-organización-del-trabajo"/>
      <w:r>
        <w:t xml:space="preserve">6.7. Muestreo y organización del trabajo</w:t>
      </w:r>
      <w:bookmarkEnd w:id="74"/>
    </w:p>
    <w:p>
      <w:pPr>
        <w:pStyle w:val="FirstParagraph"/>
      </w:pPr>
      <w:r>
        <w:t xml:space="preserve">El trabajo no utiliza una muestra: se analizan las 30.490 series producto-tienda completas de</w:t>
      </w:r>
      <w:r>
        <w:t xml:space="preserve"> </w:t>
      </w:r>
      <w:r>
        <w:t xml:space="preserve">todo el periodo disponible. Las únicas selecciones son intencionales y se declaran donde</w:t>
      </w:r>
      <w:r>
        <w:t xml:space="preserve"> </w:t>
      </w:r>
      <w:r>
        <w:t xml:space="preserve">aparecen: las tres ventanas de validación de febrero a abril de 2016 y las dos de temporada alta</w:t>
      </w:r>
      <w:r>
        <w:t xml:space="preserve"> </w:t>
      </w:r>
      <w:r>
        <w:t xml:space="preserve">de 2015 (§6.5), y la ventana de cuatro semanas sobre la que se simula la política de reposición</w:t>
      </w:r>
      <w:r>
        <w:t xml:space="preserve"> </w:t>
      </w:r>
      <w:r>
        <w:t xml:space="preserve">(§7.4).</w:t>
      </w:r>
    </w:p>
    <w:p>
      <w:pPr>
        <w:pStyle w:val="BodyText"/>
      </w:pPr>
      <w:r>
        <w:t xml:space="preserve">El equipo, de tres personas, no se repartió el trabajo por tareas cerradas. Cada integrante</w:t>
      </w:r>
      <w:r>
        <w:t xml:space="preserve"> </w:t>
      </w:r>
      <w:r>
        <w:t xml:space="preserve">desarrolló por su cuenta el análisis de todas las fases, y las versiones se pusieron en común y</w:t>
      </w:r>
      <w:r>
        <w:t xml:space="preserve"> </w:t>
      </w:r>
      <w:r>
        <w:t xml:space="preserve">se fueron integrando y corrigiendo de forma conjunta sobre un repositorio de código compartido,</w:t>
      </w:r>
      <w:r>
        <w:t xml:space="preserve"> </w:t>
      </w:r>
      <w:r>
        <w:t xml:space="preserve">que es la única versión de referencia.</w:t>
      </w:r>
    </w:p>
    <w:p>
      <w:pPr>
        <w:pStyle w:val="Heading2"/>
      </w:pPr>
      <w:bookmarkStart w:id="75" w:name="reproducibilidad"/>
      <w:r>
        <w:t xml:space="preserve">6.8. Reproducibilidad</w:t>
      </w:r>
      <w:bookmarkEnd w:id="75"/>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El código de entrenamiento de los modelos está en módulos versionados que los cuadernos importan, de modo que el cuaderno y el código que produce sus resultados no divergen.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p>
    <w:p>
      <w:pPr>
        <w:pStyle w:val="Heading1"/>
      </w:pPr>
      <w:bookmarkStart w:id="76" w:name="resultados-y-conclusiones"/>
      <w:r>
        <w:t xml:space="preserve">7. Resultados y conclusiones</w:t>
      </w:r>
      <w:bookmarkEnd w:id="76"/>
    </w:p>
    <w:p>
      <w:pPr>
        <w:pStyle w:val="Heading2"/>
      </w:pPr>
      <w:bookmarkStart w:id="77" w:name="qué-está-pasando-en-las-tiendas"/>
      <w:r>
        <w:t xml:space="preserve">7.1. Qué está pasando en las tiendas</w:t>
      </w:r>
      <w:bookmarkEnd w:id="77"/>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
        </w:rPr>
        <w:t xml:space="preserve">¿hasta qué punto se parecen entre sí las diez tiendas?</w:t>
      </w:r>
    </w:p>
    <w:p>
      <w:pPr>
        <w:pStyle w:val="Heading3"/>
      </w:pPr>
      <w:bookmarkStart w:id="78" w:name="la-estructura-temporal"/>
      <w:r>
        <w:t xml:space="preserve">7.1.1. La estructura temporal</w:t>
      </w:r>
      <w:bookmarkEnd w:id="78"/>
    </w:p>
    <w:p>
      <w:pPr>
        <w:pStyle w:val="FirstParagraph"/>
      </w:pPr>
      <w:r>
        <w:t xml:space="preserve">La serie agregada de la cadena muestra los tres componentes esperables en un minorista de</w:t>
      </w:r>
      <w:r>
        <w:t xml:space="preserve"> </w:t>
      </w:r>
      <w:r>
        <w:t xml:space="preserve">gran consumo. Una</w:t>
      </w:r>
      <w:r>
        <w:t xml:space="preserve"> </w:t>
      </w:r>
      <w:r>
        <w:rPr>
          <w:b/>
        </w:rPr>
        <w:t xml:space="preserve">tendencia</w:t>
      </w:r>
      <w:r>
        <w:t xml:space="preserve"> </w:t>
      </w:r>
      <w:r>
        <w:t xml:space="preserve">suavemente creciente a lo largo de los cinco años. Una</w:t>
      </w:r>
      <w:r>
        <w:t xml:space="preserve"> </w:t>
      </w:r>
      <w:r>
        <w:rPr>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1" name="Picture"/>
            <a:graphic>
              <a:graphicData uri="http://schemas.openxmlformats.org/drawingml/2006/picture">
                <pic:pic>
                  <pic:nvPicPr>
                    <pic:cNvPr descr="figuras/fig_7_1.png" id="0" name="Picture"/>
                    <pic:cNvPicPr>
                      <a:picLocks noChangeArrowheads="1" noChangeAspect="1"/>
                    </pic:cNvPicPr>
                  </pic:nvPicPr>
                  <pic:blipFill>
                    <a:blip r:embed="rId79"/>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
        </w:rPr>
        <w:t xml:space="preserve">Figura 7.1.</w:t>
      </w:r>
      <w:r>
        <w:t xml:space="preserve"> </w:t>
      </w:r>
      <w:r>
        <w:t xml:space="preserve">Serie agregada de ventas diarias, con su tendencia y sus perfiles semanal y anual.</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80" w:name="los-eventos-que-importan-y-el-que-no"/>
      <w:r>
        <w:t xml:space="preserve">7.1.2. Los eventos que importan y el que no</w:t>
      </w:r>
      <w:bookmarkEnd w:id="80"/>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
        </w:rPr>
        <w:t xml:space="preserve">Labor Day</w:t>
      </w:r>
      <w:r>
        <w:t xml:space="preserve">, que vende un</w:t>
      </w:r>
      <w:r>
        <w:t xml:space="preserve"> </w:t>
      </w:r>
      <w:r>
        <w:rPr>
          <w:b/>
        </w:rPr>
        <w:t xml:space="preserve">28 % más</w:t>
      </w:r>
      <w:r>
        <w:t xml:space="preserve"> </w:t>
      </w:r>
      <w:r>
        <w:t xml:space="preserve">que un lunes normal en los cinco</w:t>
      </w:r>
      <w:r>
        <w:t xml:space="preserve"> </w:t>
      </w:r>
      <w:r>
        <w:t xml:space="preserve">años.</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1" name="Picture"/>
            <a:graphic>
              <a:graphicData uri="http://schemas.openxmlformats.org/drawingml/2006/picture">
                <pic:pic>
                  <pic:nvPicPr>
                    <pic:cNvPr descr="figuras/fig_7_2.png" id="0" name="Picture"/>
                    <pic:cNvPicPr>
                      <a:picLocks noChangeArrowheads="1" noChangeAspect="1"/>
                    </pic:cNvPicPr>
                  </pic:nvPicPr>
                  <pic:blipFill>
                    <a:blip r:embed="rId81"/>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
        </w:rPr>
        <w:t xml:space="preserve">Figura 7.2.</w:t>
      </w:r>
      <w:r>
        <w:t xml:space="preserve"> </w:t>
      </w:r>
      <w:r>
        <w:t xml:space="preserve">Coeficiente de elevación por evento del calendario, con Black Friday señalado.</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82" w:name="las-tiendas-no-son-intercambiables"/>
      <w:r>
        <w:t xml:space="preserve">7.1.3. Las tiendas no son intercambiables</w:t>
      </w:r>
      <w:bookmarkEnd w:id="82"/>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
        </w:rPr>
        <w:t xml:space="preserve">Solo cinco de quince.</w:t>
      </w:r>
      <w:r>
        <w:t xml:space="preserve"> </w:t>
      </w:r>
      <w:r>
        <w:t xml:space="preserve">Los otros diez, dos tercios del top, no figuran a la vez entre los más vendidos de las tres ciudades. La misma comparación entre las tiendas de cada ciudad hace el</w:t>
      </w:r>
      <w:r>
        <w:t xml:space="preserve"> </w:t>
      </w:r>
      <w:r>
        <w:t xml:space="preserve">contraste más nítido: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Ciudad</w:t>
            </w:r>
          </w:p>
        </w:tc>
        <w:tc>
          <w:tcPr>
            <w:tcBorders>
              <w:bottom w:val="single"/>
            </w:tcBorders>
            <w:vAlign w:val="bottom"/>
          </w:tcPr>
          <w:p>
            <w:pPr>
              <w:pStyle w:val="Compact"/>
              <w:jc w:val="left"/>
            </w:pPr>
            <w:r>
              <w:t xml:space="preserve">Productos del top 15 comunes a todas las tiendas de la ciudad</w:t>
            </w:r>
          </w:p>
        </w:tc>
      </w:tr>
      <w:tr>
        <w:tc>
          <w:p>
            <w:pPr>
              <w:pStyle w:val="Compact"/>
              <w:jc w:val="left"/>
            </w:pPr>
            <w:r>
              <w:t xml:space="preserve">Boston</w:t>
            </w:r>
          </w:p>
        </w:tc>
        <w:tc>
          <w:p>
            <w:pPr>
              <w:pStyle w:val="Compact"/>
              <w:jc w:val="left"/>
            </w:pPr>
            <w:r>
              <w:t xml:space="preserve">10 de 15 (67 %)</w:t>
            </w:r>
          </w:p>
        </w:tc>
      </w:tr>
      <w:tr>
        <w:tc>
          <w:p>
            <w:pPr>
              <w:pStyle w:val="Compact"/>
              <w:jc w:val="left"/>
            </w:pPr>
            <w:r>
              <w:t xml:space="preserve">Nueva York</w:t>
            </w:r>
          </w:p>
        </w:tc>
        <w:tc>
          <w:p>
            <w:pPr>
              <w:pStyle w:val="Compact"/>
              <w:jc w:val="left"/>
            </w:pPr>
            <w:r>
              <w:t xml:space="preserve">8 de 15 (53 %)</w:t>
            </w:r>
          </w:p>
        </w:tc>
      </w:tr>
      <w:tr>
        <w:tc>
          <w:p>
            <w:pPr>
              <w:pStyle w:val="Compact"/>
              <w:jc w:val="left"/>
            </w:pPr>
            <w:r>
              <w:rPr>
                <w:b/>
              </w:rPr>
              <w:t xml:space="preserve">Filadelfia</w:t>
            </w:r>
          </w:p>
        </w:tc>
        <w:tc>
          <w:p>
            <w:pPr>
              <w:pStyle w:val="Compact"/>
              <w:jc w:val="left"/>
            </w:pPr>
            <w:r>
              <w:rPr>
                <w:b/>
              </w:rPr>
              <w:t xml:space="preserve">4 de 15 (27 %)</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 los productos más vendidos—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1" name="Picture"/>
            <a:graphic>
              <a:graphicData uri="http://schemas.openxmlformats.org/drawingml/2006/picture">
                <pic:pic>
                  <pic:nvPicPr>
                    <pic:cNvPr descr="figuras/fig_7_3.png" id="0" name="Picture"/>
                    <pic:cNvPicPr>
                      <a:picLocks noChangeArrowheads="1" noChangeAspect="1"/>
                    </pic:cNvPicPr>
                  </pic:nvPicPr>
                  <pic:blipFill>
                    <a:blip r:embed="rId83"/>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
        </w:rPr>
        <w:t xml:space="preserve">Figura 7.3.</w:t>
      </w:r>
      <w:r>
        <w:t xml:space="preserve"> </w:t>
      </w:r>
      <w:r>
        <w:t xml:space="preserve">Solapamiento de los quince productos más vendidos entre las tres ciudades.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84" w:name="el-precio-y-un-resultado-contraintuitivo"/>
      <w:r>
        <w:t xml:space="preserve">7.1.4. El precio, y un resultado contraintuitivo</w:t>
      </w:r>
      <w:bookmarkEnd w:id="84"/>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 irrelevantes y unos dólares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
        </w:rPr>
        <w:t xml:space="preserve">SUPERMARKET, con un 2,75%</w:t>
      </w:r>
      <w:r>
        <w:t xml:space="preserve">: un mismo producto es, en mediana, un 2,75 % más caro en la tienda más cara que en la más barata, por delante de ACCESORIES (1,18 %) y HOME_&amp;_GARDEN (0,97 %), de 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1" name="Picture"/>
            <a:graphic>
              <a:graphicData uri="http://schemas.openxmlformats.org/drawingml/2006/picture">
                <pic:pic>
                  <pic:nvPicPr>
                    <pic:cNvPr descr="figuras/fig_7_4.png" id="0" name="Picture"/>
                    <pic:cNvPicPr>
                      <a:picLocks noChangeArrowheads="1" noChangeAspect="1"/>
                    </pic:cNvPicPr>
                  </pic:nvPicPr>
                  <pic:blipFill>
                    <a:blip r:embed="rId85"/>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
        </w:rPr>
        <w:t xml:space="preserve">Figura 7.4.</w:t>
      </w:r>
      <w:r>
        <w:t xml:space="preserve"> </w:t>
      </w:r>
      <w:r>
        <w:t xml:space="preserve">Dispersión relativa de precios entre tiendas, por categoría.</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p>
      <w:pPr>
        <w:pStyle w:val="Heading3"/>
      </w:pPr>
      <w:bookmarkStart w:id="86" w:name="qué-abre-el-capítulo-siguiente"/>
      <w:r>
        <w:t xml:space="preserve">7.1.5. Qué abre el capítulo siguiente</w:t>
      </w:r>
      <w:bookmarkEnd w:id="86"/>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Tratar la cadena como una sola serie ignoraría esa estructura, y un modelo por serie —30.490 modelos— sería inmanejable y desaprovecharía la información compartida entre series parecidas. El trabajo responde con un modelo global que aprende de todas las series a la vez (§7.3).</w:t>
      </w:r>
    </w:p>
    <w:p>
      <w:pPr>
        <w:pStyle w:val="BodyText"/>
      </w:pPr>
      <w:r>
        <w:t xml:space="preserve">Antes, conviene ordenar esa heterogeneidad agrupando los productos que se venden de forma parecida, que es lo que necesita el diseño de campañas. Ese es el objeto del capítulo siguiente.</w:t>
      </w:r>
    </w:p>
    <w:p>
      <w:pPr>
        <w:pStyle w:val="Heading2"/>
      </w:pPr>
      <w:bookmarkStart w:id="87" w:name="Xb749c98a46b9ddd1e3f7ce1a269968ec7cf3c94"/>
      <w:r>
        <w:t xml:space="preserve">7.2. Cómo se comportan los productos y las tiendas</w:t>
      </w:r>
      <w:bookmarkEnd w:id="87"/>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p>
      <w:pPr>
        <w:pStyle w:val="Heading3"/>
      </w:pPr>
      <w:bookmarkStart w:id="88" w:name="qué-se-agrupa-y-con-qué-variables"/>
      <w:r>
        <w:t xml:space="preserve">7.2.1. Qué se agrupa y con qué variables</w:t>
      </w:r>
      <w:bookmarkEnd w:id="88"/>
    </w:p>
    <w:p>
      <w:pPr>
        <w:pStyle w:val="FirstParagraph"/>
      </w:pPr>
      <w:r>
        <w:t xml:space="preserve">La segmentación se realiza sobre el</w:t>
      </w:r>
      <w:r>
        <w:t xml:space="preserve"> </w:t>
      </w:r>
      <w:r>
        <w:rPr>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
        </w:rPr>
        <w:t xml:space="preserve">seis</w:t>
      </w:r>
      <w:r>
        <w:rPr>
          <w:b/>
        </w:rPr>
        <w:t xml:space="preserve"> </w:t>
      </w:r>
      <w:r>
        <w:rPr>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
        </w:rPr>
        <w:t xml:space="preserve">k</w:t>
      </w:r>
      <w:r>
        <w:t xml:space="preserve">-medias</w:t>
      </w:r>
      <w:r>
        <w:t xml:space="preserve"> </w:t>
      </w:r>
      <w:r>
        <w:t xml:space="preserve">los aísla en grupos de un solo producto.</w:t>
      </w:r>
    </w:p>
    <w:p>
      <w:pPr>
        <w:pStyle w:val="Heading3"/>
      </w:pPr>
      <w:bookmarkStart w:id="89" w:name="elección-del-número-de-grupos"/>
      <w:r>
        <w:t xml:space="preserve">7.2.2. Elección del número de grupos</w:t>
      </w:r>
      <w:bookmarkEnd w:id="89"/>
    </w:p>
    <w:p>
      <w:pPr>
        <w:pStyle w:val="FirstParagraph"/>
      </w:pPr>
      <w:r>
        <w:t xml:space="preserve">El número de grupos se eligió con el</w:t>
      </w:r>
      <w:r>
        <w:t xml:space="preserve"> </w:t>
      </w:r>
      <w:r>
        <w:rPr>
          <w:b/>
        </w:rPr>
        <w:t xml:space="preserve">método del codo</w:t>
      </w:r>
      <w:r>
        <w:t xml:space="preserve">: se entrenó</w:t>
      </w:r>
      <w:r>
        <w:t xml:space="preserve"> </w:t>
      </w:r>
      <w:r>
        <w:rPr>
          <w:i/>
        </w:rPr>
        <w:t xml:space="preserve">k</w:t>
      </w:r>
      <w:r>
        <w:t xml:space="preserve">-medias con</w:t>
      </w:r>
      <w:r>
        <w:t xml:space="preserve"> </w:t>
      </w:r>
      <w:r>
        <w:rPr>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
        </w:rPr>
        <w:t xml:space="preserve">6 a 8 grupos</w:t>
      </w:r>
      <w:r>
        <w:t xml:space="preserve">, y dentro de ella</w:t>
      </w:r>
      <w:r>
        <w:t xml:space="preserve"> </w:t>
      </w:r>
      <w:r>
        <w:rPr>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 name="Picture"/>
            <a:graphic>
              <a:graphicData uri="http://schemas.openxmlformats.org/drawingml/2006/picture">
                <pic:pic>
                  <pic:nvPicPr>
                    <pic:cNvPr descr="figuras/fig_7_5.png" id="0" name="Picture"/>
                    <pic:cNvPicPr>
                      <a:picLocks noChangeArrowheads="1" noChangeAspect="1"/>
                    </pic:cNvPicPr>
                  </pic:nvPicPr>
                  <pic:blipFill>
                    <a:blip r:embed="rId90"/>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
        </w:rPr>
        <w:t xml:space="preserve">Figura 7.5.</w:t>
      </w:r>
      <w:r>
        <w:t xml:space="preserve"> </w:t>
      </w:r>
      <w:r>
        <w:t xml:space="preserve">Método del codo: inercia y silueta frente al número de grupos, con la zona del codo y K = 6 señalados.</w:t>
      </w:r>
      <w:r>
        <w:t xml:space="preserve"> </w:t>
      </w:r>
      <w:r>
        <w:rPr>
          <w:i/>
        </w:rPr>
        <w:t xml:space="preserve">Fuente: elaboración propia.</w:t>
      </w:r>
    </w:p>
    <w:p>
      <w:pPr>
        <w:pStyle w:val="BodyText"/>
      </w:pPr>
      <w:r>
        <w:rPr>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supermercado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p>
      <w:pPr>
        <w:pStyle w:val="Heading3"/>
      </w:pPr>
      <w:bookmarkStart w:id="91" w:name="los-seis-grupos-de-producto"/>
      <w:r>
        <w:t xml:space="preserve">7.2.3. Los seis grupos de producto</w:t>
      </w:r>
      <w:bookmarkEnd w:id="91"/>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describe su comportamiento de compra (ritmo de venta, momento de compra o precio), ya que la segmentación se hizo por comportamiento y no por categoría; la categoría predominante se indica solo como contexto en la descripción.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Grupo</w:t>
            </w:r>
          </w:p>
        </w:tc>
        <w:tc>
          <w:tcPr>
            <w:tcBorders>
              <w:bottom w:val="single"/>
            </w:tcBorders>
            <w:vAlign w:val="bottom"/>
          </w:tcPr>
          <w:p>
            <w:pPr>
              <w:pStyle w:val="Compact"/>
              <w:jc w:val="left"/>
            </w:pPr>
            <w:r>
              <w:t xml:space="preserve">Productos</w:t>
            </w:r>
          </w:p>
        </w:tc>
        <w:tc>
          <w:tcPr>
            <w:tcBorders>
              <w:bottom w:val="single"/>
            </w:tcBorders>
            <w:vAlign w:val="bottom"/>
          </w:tcPr>
          <w:p>
            <w:pPr>
              <w:pStyle w:val="Compact"/>
              <w:jc w:val="left"/>
            </w:pPr>
            <w:r>
              <w:t xml:space="preserve">% facturación</w:t>
            </w:r>
          </w:p>
        </w:tc>
        <w:tc>
          <w:tcPr>
            <w:tcBorders>
              <w:bottom w:val="single"/>
            </w:tcBorders>
            <w:vAlign w:val="bottom"/>
          </w:tcPr>
          <w:p>
            <w:pPr>
              <w:pStyle w:val="Compact"/>
              <w:jc w:val="left"/>
            </w:pPr>
            <w:r>
              <w:t xml:space="preserve">Rasgo que lo define</w:t>
            </w:r>
          </w:p>
        </w:tc>
      </w:tr>
      <w:tr>
        <w:tc>
          <w:p>
            <w:pPr>
              <w:pStyle w:val="Compact"/>
              <w:jc w:val="left"/>
            </w:pPr>
            <w:r>
              <w:rPr>
                <w:b/>
              </w:rPr>
              <w:t xml:space="preserve">Alta rotación diaria</w:t>
            </w:r>
          </w:p>
        </w:tc>
        <w:tc>
          <w:p>
            <w:pPr>
              <w:pStyle w:val="Compact"/>
              <w:jc w:val="left"/>
            </w:pPr>
            <w:r>
              <w:t xml:space="preserve">679</w:t>
            </w:r>
          </w:p>
        </w:tc>
        <w:tc>
          <w:p>
            <w:pPr>
              <w:pStyle w:val="Compact"/>
              <w:jc w:val="left"/>
            </w:pPr>
            <w:r>
              <w:t xml:space="preserve">42,4 %</w:t>
            </w:r>
          </w:p>
        </w:tc>
        <w:tc>
          <w:p>
            <w:pPr>
              <w:pStyle w:val="Compact"/>
              <w:jc w:val="left"/>
            </w:pPr>
            <w:r>
              <w:t xml:space="preserve">72 % supermercado, el precio más bajo (2,6 $). Venta muy alta (37 unidades al día entre las diez tiendas) y casi diaria: 5 % de días sin venta.</w:t>
            </w:r>
          </w:p>
        </w:tc>
      </w:tr>
      <w:tr>
        <w:tc>
          <w:p>
            <w:pPr>
              <w:pStyle w:val="Compact"/>
              <w:jc w:val="left"/>
            </w:pPr>
            <w:r>
              <w:rPr>
                <w:b/>
              </w:rPr>
              <w:t xml:space="preserve">Pico de fin de semana</w:t>
            </w:r>
          </w:p>
        </w:tc>
        <w:tc>
          <w:p>
            <w:pPr>
              <w:pStyle w:val="Compact"/>
              <w:jc w:val="left"/>
            </w:pPr>
            <w:r>
              <w:t xml:space="preserve">882</w:t>
            </w:r>
          </w:p>
        </w:tc>
        <w:tc>
          <w:p>
            <w:pPr>
              <w:pStyle w:val="Compact"/>
              <w:jc w:val="left"/>
            </w:pPr>
            <w:r>
              <w:t xml:space="preserve">25,4 %</w:t>
            </w:r>
          </w:p>
        </w:tc>
        <w:tc>
          <w:p>
            <w:pPr>
              <w:pStyle w:val="Compact"/>
              <w:jc w:val="left"/>
            </w:pPr>
            <w:r>
              <w:t xml:space="preserve">45 % hogar y jardín. La mayor elevación en fin de semana (+42 %), y también sube en los eventos.</w:t>
            </w:r>
          </w:p>
        </w:tc>
      </w:tr>
      <w:tr>
        <w:tc>
          <w:p>
            <w:pPr>
              <w:pStyle w:val="Compact"/>
              <w:jc w:val="left"/>
            </w:pPr>
            <w:r>
              <w:rPr>
                <w:b/>
              </w:rPr>
              <w:t xml:space="preserve">Rotación baja sin picos</w:t>
            </w:r>
          </w:p>
        </w:tc>
        <w:tc>
          <w:p>
            <w:pPr>
              <w:pStyle w:val="Compact"/>
              <w:jc w:val="left"/>
            </w:pPr>
            <w:r>
              <w:t xml:space="preserve">745</w:t>
            </w:r>
          </w:p>
        </w:tc>
        <w:tc>
          <w:p>
            <w:pPr>
              <w:pStyle w:val="Compact"/>
              <w:jc w:val="left"/>
            </w:pPr>
            <w:r>
              <w:t xml:space="preserve">14,7 %</w:t>
            </w:r>
          </w:p>
        </w:tc>
        <w:tc>
          <w:p>
            <w:pPr>
              <w:pStyle w:val="Compact"/>
              <w:jc w:val="left"/>
            </w:pPr>
            <w:r>
              <w:t xml:space="preserve">Mixto. Venta baja (6 unidades al día) y sin picos: los que menos reaccionan al fin de semana, a diciembre y a los eventos.</w:t>
            </w:r>
          </w:p>
        </w:tc>
      </w:tr>
      <w:tr>
        <w:tc>
          <w:p>
            <w:pPr>
              <w:pStyle w:val="Compact"/>
              <w:jc w:val="left"/>
            </w:pPr>
            <w:r>
              <w:rPr>
                <w:b/>
              </w:rPr>
              <w:t xml:space="preserve">Precio alto, pocas unidades</w:t>
            </w:r>
          </w:p>
        </w:tc>
        <w:tc>
          <w:p>
            <w:pPr>
              <w:pStyle w:val="Compact"/>
              <w:jc w:val="left"/>
            </w:pPr>
            <w:r>
              <w:t xml:space="preserve">218</w:t>
            </w:r>
          </w:p>
        </w:tc>
        <w:tc>
          <w:p>
            <w:pPr>
              <w:pStyle w:val="Compact"/>
              <w:jc w:val="left"/>
            </w:pPr>
            <w:r>
              <w:t xml:space="preserve">11,1 %</w:t>
            </w:r>
          </w:p>
        </w:tc>
        <w:tc>
          <w:p>
            <w:pPr>
              <w:pStyle w:val="Compact"/>
              <w:jc w:val="left"/>
            </w:pPr>
            <w:r>
              <w:t xml:space="preserve">48 % accesorios y 43 % hogar. Precio medio de 17,4 $, más del triple que el resto.</w:t>
            </w:r>
          </w:p>
        </w:tc>
      </w:tr>
      <w:tr>
        <w:tc>
          <w:p>
            <w:pPr>
              <w:pStyle w:val="Compact"/>
              <w:jc w:val="left"/>
            </w:pPr>
            <w:r>
              <w:rPr>
                <w:b/>
              </w:rPr>
              <w:t xml:space="preserve">Venta esporádica con pico en eventos</w:t>
            </w:r>
          </w:p>
        </w:tc>
        <w:tc>
          <w:p>
            <w:pPr>
              <w:pStyle w:val="Compact"/>
              <w:jc w:val="left"/>
            </w:pPr>
            <w:r>
              <w:t xml:space="preserve">405</w:t>
            </w:r>
          </w:p>
        </w:tc>
        <w:tc>
          <w:p>
            <w:pPr>
              <w:pStyle w:val="Compact"/>
              <w:jc w:val="left"/>
            </w:pPr>
            <w:r>
              <w:t xml:space="preserve">4,2 %</w:t>
            </w:r>
          </w:p>
        </w:tc>
        <w:tc>
          <w:p>
            <w:pPr>
              <w:pStyle w:val="Compact"/>
              <w:jc w:val="left"/>
            </w:pPr>
            <w:r>
              <w:t xml:space="preserve">Mixto. No venden nada en el 39 % de los días en que están a la venta, pero venden un 26 % más en los días de evento.</w:t>
            </w:r>
          </w:p>
        </w:tc>
      </w:tr>
      <w:tr>
        <w:tc>
          <w:p>
            <w:pPr>
              <w:pStyle w:val="Compact"/>
              <w:jc w:val="left"/>
            </w:pPr>
            <w:r>
              <w:rPr>
                <w:b/>
              </w:rPr>
              <w:t xml:space="preserve">Pico de diciembre</w:t>
            </w:r>
          </w:p>
        </w:tc>
        <w:tc>
          <w:p>
            <w:pPr>
              <w:pStyle w:val="Compact"/>
              <w:jc w:val="left"/>
            </w:pPr>
            <w:r>
              <w:t xml:space="preserve">120</w:t>
            </w:r>
          </w:p>
        </w:tc>
        <w:tc>
          <w:p>
            <w:pPr>
              <w:pStyle w:val="Compact"/>
              <w:jc w:val="left"/>
            </w:pPr>
            <w:r>
              <w:t xml:space="preserve">2,1 %</w:t>
            </w:r>
          </w:p>
        </w:tc>
        <w:tc>
          <w:p>
            <w:pPr>
              <w:pStyle w:val="Compact"/>
              <w:jc w:val="left"/>
            </w:pPr>
            <w:r>
              <w:t xml:space="preserve">Mixto (accesorios, supermercado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 name="Picture"/>
            <a:graphic>
              <a:graphicData uri="http://schemas.openxmlformats.org/drawingml/2006/picture">
                <pic:pic>
                  <pic:nvPicPr>
                    <pic:cNvPr descr="figuras/fig_7_6.png" id="0" name="Picture"/>
                    <pic:cNvPicPr>
                      <a:picLocks noChangeArrowheads="1" noChangeAspect="1"/>
                    </pic:cNvPicPr>
                  </pic:nvPicPr>
                  <pic:blipFill>
                    <a:blip r:embed="rId92"/>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
        </w:rPr>
        <w:t xml:space="preserve">Figura 7.6.</w:t>
      </w:r>
      <w:r>
        <w:t xml:space="preserve"> </w:t>
      </w:r>
      <w:r>
        <w:t xml:space="preserve">Proyección PCA de los productos coloreados por grupo, y peso de cada grupo en el catálogo y en la facturación.</w:t>
      </w:r>
      <w:r>
        <w:t xml:space="preserve"> </w:t>
      </w:r>
      <w:r>
        <w:rPr>
          <w:i/>
        </w:rPr>
        <w:t xml:space="preserve">Fuente: elaboración propia.</w:t>
      </w:r>
    </w:p>
    <w:p>
      <w:pPr>
        <w:pStyle w:val="BodyText"/>
      </w:pPr>
      <w:r>
        <w:t xml:space="preserve">Dentro del grupo «Pico de diciembre» destaca</w:t>
      </w:r>
      <w:r>
        <w:t xml:space="preserve"> </w:t>
      </w:r>
      <w:r>
        <w:rPr>
          <w:rStyle w:val="VerbatimChar"/>
          <w:b/>
        </w:rPr>
        <w:t xml:space="preserve">SUPERMARKET_3_069</w:t>
      </w:r>
      <w:r>
        <w:t xml:space="preserve">, con una elevación en diciembre de</w:t>
      </w:r>
      <w:r>
        <w:t xml:space="preserve"> </w:t>
      </w:r>
      <w:r>
        <w:rPr>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 name="Picture"/>
            <a:graphic>
              <a:graphicData uri="http://schemas.openxmlformats.org/drawingml/2006/picture">
                <pic:pic>
                  <pic:nvPicPr>
                    <pic:cNvPr descr="figuras/fig_7_7.png" id="0" name="Picture"/>
                    <pic:cNvPicPr>
                      <a:picLocks noChangeArrowheads="1" noChangeAspect="1"/>
                    </pic:cNvPicPr>
                  </pic:nvPicPr>
                  <pic:blipFill>
                    <a:blip r:embed="rId93"/>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
        </w:rPr>
        <w:t xml:space="preserve">Figura 7.7.</w:t>
      </w:r>
      <w:r>
        <w:t xml:space="preserve"> </w:t>
      </w:r>
      <w:r>
        <w:t xml:space="preserve">Serie diaria de SUPERMARKET_3_069 con sus mejores días señalados.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94" w:name="X89eb7c528f5f5f2ec9f45676de4f884450bb7ac"/>
      <w:r>
        <w:t xml:space="preserve">7.2.4. Las tiendas: comparación directa en lugar de agrupamiento</w:t>
      </w:r>
      <w:bookmarkEnd w:id="94"/>
    </w:p>
    <w:p>
      <w:pPr>
        <w:pStyle w:val="FirstParagraph"/>
      </w:pPr>
      <w:r>
        <w:t xml:space="preserve">El encargo preguntaba también si tendría sentido agrupar las tiendas.</w:t>
      </w:r>
      <w:r>
        <w:t xml:space="preserve"> </w:t>
      </w:r>
      <w:r>
        <w:rPr>
          <w:b/>
        </w:rPr>
        <w:t xml:space="preserve">Con estos datos, no</w:t>
      </w:r>
      <w:r>
        <w:rPr>
          <w:b/>
        </w:rPr>
        <w:t xml:space="preserve"> </w:t>
      </w:r>
      <w:r>
        <w:rPr>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supermercado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6"/>
        </w:numPr>
        <w:pStyle w:val="Compact"/>
      </w:pPr>
      <w:r>
        <w:rPr>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6"/>
        </w:numPr>
        <w:pStyle w:val="Compact"/>
      </w:pPr>
      <w:r>
        <w:rPr>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6"/>
        </w:numPr>
        <w:pStyle w:val="Compact"/>
      </w:pPr>
      <w:r>
        <w:rPr>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pPr>
        <w:pStyle w:val="CaptionedFigure"/>
      </w:pPr>
      <w:r>
        <w:drawing>
          <wp:inline>
            <wp:extent cx="5334000" cy="2133600"/>
            <wp:effectExtent b="0" l="0" r="0" t="0"/>
            <wp:docPr descr="Figura 7.8. Perfil de cada tienda respecto a la media y matriz de parecido entre tiendas. Fuente: elaboración propia." title="" id="1" name="Picture"/>
            <a:graphic>
              <a:graphicData uri="http://schemas.openxmlformats.org/drawingml/2006/picture">
                <pic:pic>
                  <pic:nvPicPr>
                    <pic:cNvPr descr="figuras/fig_7_8.png" id="0" name="Picture"/>
                    <pic:cNvPicPr>
                      <a:picLocks noChangeArrowheads="1" noChangeAspect="1"/>
                    </pic:cNvPicPr>
                  </pic:nvPicPr>
                  <pic:blipFill>
                    <a:blip r:embed="rId9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b/>
        </w:rPr>
        <w:t xml:space="preserve">Figura 7.8.</w:t>
      </w:r>
      <w:r>
        <w:t xml:space="preserve"> </w:t>
      </w:r>
      <w:r>
        <w:t xml:space="preserve">Perfil de cada tienda respecto a la media y matriz de parecido entre tiendas.</w:t>
      </w:r>
      <w:r>
        <w:t xml:space="preserve"> </w:t>
      </w:r>
      <w:r>
        <w:rPr>
          <w:i/>
        </w:rPr>
        <w:t xml:space="preserve">Fuente: elaboración propia.</w:t>
      </w:r>
    </w:p>
    <w:p>
      <w:pPr>
        <w:pStyle w:val="Heading3"/>
      </w:pPr>
      <w:bookmarkStart w:id="96" w:name="segmentación-operativa-abcxyz"/>
      <w:r>
        <w:t xml:space="preserve">7.2.5. Segmentación operativa ABC/XYZ</w:t>
      </w:r>
      <w:bookmarkEnd w:id="96"/>
    </w:p>
    <w:p>
      <w:pPr>
        <w:pStyle w:val="FirstParagraph"/>
      </w:pPr>
      <w:r>
        <w:t xml:space="preserve">Además de la segmentación por comportamiento, se construyó la clasificación</w:t>
      </w:r>
      <w:r>
        <w:t xml:space="preserve"> </w:t>
      </w:r>
      <w:r>
        <w:rPr>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
        </w:rPr>
        <w:t xml:space="preserve">AX</w:t>
      </w:r>
      <w:r>
        <w:t xml:space="preserve"> </w:t>
      </w:r>
      <w:r>
        <w:t xml:space="preserve">—alta facturación, demanda estable— reúne alrededor del</w:t>
      </w:r>
      <w:r>
        <w:t xml:space="preserve"> </w:t>
      </w:r>
      <w:r>
        <w:rPr>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
        </w:rPr>
        <w:t xml:space="preserve">CZ</w:t>
      </w:r>
      <w:r>
        <w:t xml:space="preserve"> </w:t>
      </w:r>
      <w:r>
        <w:t xml:space="preserve">representa cerca del</w:t>
      </w:r>
      <w:r>
        <w:t xml:space="preserve"> </w:t>
      </w:r>
      <w:r>
        <w:rPr>
          <w:b/>
        </w:rPr>
        <w:t xml:space="preserve">28 % del catálogo</w:t>
      </w:r>
      <w:r>
        <w:t xml:space="preserve"> </w:t>
      </w:r>
      <w:r>
        <w:t xml:space="preserve">por apenas el</w:t>
      </w:r>
      <w:r>
        <w:t xml:space="preserve"> </w:t>
      </w:r>
      <w:r>
        <w:rPr>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
        </w:rPr>
        <w:t xml:space="preserve">cómo</w:t>
      </w:r>
      <w:r>
        <w:t xml:space="preserve"> </w:t>
      </w:r>
      <w:r>
        <w:t xml:space="preserve">se vende un producto (diario, fin de semana, Navidad, eventos), y la</w:t>
      </w:r>
      <w:r>
        <w:t xml:space="preserve"> </w:t>
      </w:r>
      <w:r>
        <w:t xml:space="preserve">clase XYZ dice</w:t>
      </w:r>
      <w:r>
        <w:t xml:space="preserve"> </w:t>
      </w:r>
      <w:r>
        <w:rPr>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 name="Picture"/>
            <a:graphic>
              <a:graphicData uri="http://schemas.openxmlformats.org/drawingml/2006/picture">
                <pic:pic>
                  <pic:nvPicPr>
                    <pic:cNvPr descr="figuras/fig_7_9.png" id="0" name="Picture"/>
                    <pic:cNvPicPr>
                      <a:picLocks noChangeArrowheads="1" noChangeAspect="1"/>
                    </pic:cNvPicPr>
                  </pic:nvPicPr>
                  <pic:blipFill>
                    <a:blip r:embed="rId97"/>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
        </w:rPr>
        <w:t xml:space="preserve">Figura 7.9.</w:t>
      </w:r>
      <w:r>
        <w:t xml:space="preserve"> </w:t>
      </w:r>
      <w:r>
        <w:t xml:space="preserve">Matriz ABC/XYZ de las series producto-tienda.</w:t>
      </w:r>
      <w:r>
        <w:t xml:space="preserve"> </w:t>
      </w:r>
      <w:r>
        <w:rPr>
          <w:i/>
        </w:rPr>
        <w:t xml:space="preserve">Fuente: elaboración propia a partir de</w:t>
      </w:r>
      <w:r>
        <w:rPr>
          <w:i/>
        </w:rPr>
        <w:t xml:space="preserve"> </w:t>
      </w:r>
      <w:r>
        <w:rPr>
          <w:rStyle w:val="VerbatimChar"/>
          <w:i/>
        </w:rPr>
        <w:t xml:space="preserve">dim_serie</w:t>
      </w:r>
      <w:r>
        <w:rPr>
          <w:i/>
        </w:rPr>
        <w:t xml:space="preserve">.</w:t>
      </w:r>
    </w:p>
    <w:p>
      <w:pPr>
        <w:pStyle w:val="Heading3"/>
      </w:pPr>
      <w:bookmarkStart w:id="98" w:name="Xb651ec15533c09830763e8767bbd252ab7f0aed"/>
      <w:r>
        <w:t xml:space="preserve">7.2.6. Una hipótesis que no sobrevivió: la afinidad entre productos</w:t>
      </w:r>
      <w:bookmarkEnd w:id="98"/>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
        </w:rPr>
        <w:t xml:space="preserve">+0,041 a +0,001</w:t>
      </w:r>
      <w:r>
        <w:t xml:space="preserve">, y la</w:t>
      </w:r>
      <w:r>
        <w:t xml:space="preserve"> </w:t>
      </w:r>
      <w:r>
        <w:t xml:space="preserve">proporción de pares con correlación superior a 0,30 pasa del</w:t>
      </w:r>
      <w:r>
        <w:t xml:space="preserve"> </w:t>
      </w:r>
      <w:r>
        <w:rPr>
          <w:b/>
        </w:rPr>
        <w:t xml:space="preserve">5,17 % al 2,55 %</w:t>
      </w:r>
      <w:r>
        <w:t xml:space="preserve">. Buena parte de</w:t>
      </w:r>
      <w:r>
        <w:t xml:space="preserve"> </w:t>
      </w:r>
      <w:r>
        <w:t xml:space="preserve">la asociación aparente era, en efecto, calendario.</w:t>
      </w:r>
    </w:p>
    <w:p>
      <w:pPr>
        <w:pStyle w:val="BodyText"/>
      </w:pPr>
      <w:r>
        <w:rPr>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
        </w:rPr>
        <w:t xml:space="preserve">1,27 %</w:t>
      </w:r>
      <w:r>
        <w:t xml:space="preserve"> </w:t>
      </w:r>
      <w:r>
        <w:t xml:space="preserve">supera ese umbral, frente al</w:t>
      </w:r>
      <w:r>
        <w:t xml:space="preserve"> </w:t>
      </w:r>
      <w:r>
        <w:t xml:space="preserve">1,00 % esperable por azar.</w:t>
      </w:r>
    </w:p>
    <w:p>
      <w:pPr>
        <w:pStyle w:val="BodyText"/>
      </w:pPr>
      <w:r>
        <w:rPr>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p>
      <w:pPr>
        <w:pStyle w:val="Heading3"/>
      </w:pPr>
      <w:bookmarkStart w:id="99" w:name="qué-abre-el-capítulo-siguiente-1"/>
      <w:r>
        <w:t xml:space="preserve">7.2.7. Qué abre el capítulo siguiente</w:t>
      </w:r>
      <w:bookmarkEnd w:id="99"/>
    </w:p>
    <w:p>
      <w:pPr>
        <w:pStyle w:val="FirstParagraph"/>
      </w:pPr>
      <w:r>
        <w:t xml:space="preserve">Con los productos segmentados y la clasificación operativa construida, el trabajo dispone de la</w:t>
      </w:r>
      <w:r>
        <w:t xml:space="preserve"> </w:t>
      </w:r>
      <w:r>
        <w:t xml:space="preserve">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pPr>
        <w:pStyle w:val="BodyText"/>
      </w:pPr>
      <w:r>
        <w:t xml:space="preserve">La pregunta siguiente es la que el encargo formula de forma más directa: cuánto se va a vender.</w:t>
      </w:r>
    </w:p>
    <w:p>
      <w:pPr>
        <w:pStyle w:val="Heading2"/>
      </w:pPr>
      <w:bookmarkStart w:id="100" w:name="cuánto-vamos-a-vender"/>
      <w:r>
        <w:t xml:space="preserve">7.3. Cuánto vamos a vender</w:t>
      </w:r>
      <w:bookmarkEnd w:id="100"/>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p>
      <w:pPr>
        <w:pStyle w:val="Heading3"/>
      </w:pPr>
      <w:bookmarkStart w:id="101" w:name="diseño-de-la-comparación"/>
      <w:r>
        <w:t xml:space="preserve">7.3.1. Diseño de la comparación</w:t>
      </w:r>
      <w:bookmarkEnd w:id="101"/>
    </w:p>
    <w:p>
      <w:pPr>
        <w:pStyle w:val="FirstParagraph"/>
      </w:pPr>
      <w:r>
        <w:t xml:space="preserve">Se compararon varias familias de modelos bajo el protocolo único descrito en §6.5: validación</w:t>
      </w:r>
      <w:r>
        <w:t xml:space="preserve"> </w:t>
      </w:r>
      <w:r>
        <w:rPr>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7"/>
        </w:numPr>
        <w:pStyle w:val="Compact"/>
      </w:pPr>
      <w:r>
        <w:rPr>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7"/>
        </w:numPr>
        <w:pStyle w:val="Compact"/>
      </w:pPr>
      <w:r>
        <w:rPr>
          <w:b/>
        </w:rPr>
        <w:t xml:space="preserve">Modelos globales de árboles</w:t>
      </w:r>
      <w:r>
        <w:t xml:space="preserve">: LightGBM y XGBoost con objetivo Tweedie, entrenados sobre todas</w:t>
      </w:r>
      <w:r>
        <w:t xml:space="preserve"> </w:t>
      </w:r>
      <w:r>
        <w:t xml:space="preserve">las series a la vez, con 26 variables (historia reciente, dispersión, calendario, precio e</w:t>
      </w:r>
      <w:r>
        <w:t xml:space="preserve"> </w:t>
      </w:r>
      <w:r>
        <w:t xml:space="preserve">identidad, entre ella el grupo de producto de §7.2).</w:t>
      </w:r>
    </w:p>
    <w:p>
      <w:pPr>
        <w:numPr>
          <w:ilvl w:val="0"/>
          <w:numId w:val="1007"/>
        </w:numPr>
        <w:pStyle w:val="Compact"/>
      </w:pPr>
      <w:r>
        <w:rPr>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
        </w:rPr>
        <w:t xml:space="preserve">globales</w:t>
      </w:r>
      <w:r>
        <w:t xml:space="preserve"> </w:t>
      </w:r>
      <w:r>
        <w:t xml:space="preserve">y</w:t>
      </w:r>
      <w:r>
        <w:t xml:space="preserve"> </w:t>
      </w:r>
      <w:r>
        <w:rPr>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p>
      <w:pPr>
        <w:pStyle w:val="Heading3"/>
      </w:pPr>
      <w:bookmarkStart w:id="102" w:name="el-resultado-incómodo"/>
      <w:r>
        <w:t xml:space="preserve">7.3.2. El resultado incómodo</w:t>
      </w:r>
      <w:bookmarkEnd w:id="102"/>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
        </w:rPr>
        <w:t xml:space="preserve">LightGBM no supera a la media móvil de 28 días</w:t>
      </w:r>
      <w:r>
        <w:t xml:space="preserve">: WRMSSE de</w:t>
      </w:r>
      <w:r>
        <w:t xml:space="preserve"> </w:t>
      </w:r>
      <w:r>
        <w:t xml:space="preserve">1,0639 frente a 1,0657, un empate técnico. XGBoost queda en 1,0570, un 0,8 % por debajo de la media móvil.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p>
      <w:pPr>
        <w:pStyle w:val="Heading3"/>
      </w:pPr>
      <w:bookmarkStart w:id="103" w:name="Xcbe6d525a62b1e18c11a4688a0e3f64f6595429"/>
      <w:r>
        <w:t xml:space="preserve">7.3.3. La estrategia de horizonte, que es lo que cambia el resultado</w:t>
      </w:r>
      <w:bookmarkEnd w:id="103"/>
    </w:p>
    <w:p>
      <w:pPr>
        <w:pStyle w:val="FirstParagraph"/>
      </w:pPr>
      <w:r>
        <w:t xml:space="preserve">Con la</w:t>
      </w:r>
      <w:r>
        <w:t xml:space="preserve"> </w:t>
      </w:r>
      <w:r>
        <w:rPr>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 (media de los tres pliegues)</w:t>
            </w:r>
          </w:p>
        </w:tc>
        <w:tc>
          <w:tcPr>
            <w:tcBorders>
              <w:bottom w:val="single"/>
            </w:tcBorders>
            <w:vAlign w:val="bottom"/>
          </w:tcPr>
          <w:p>
            <w:pPr>
              <w:pStyle w:val="Compact"/>
              <w:jc w:val="left"/>
            </w:pPr>
            <w:r>
              <w:t xml:space="preserve">WRMSSE</w:t>
            </w:r>
          </w:p>
        </w:tc>
      </w:tr>
      <w:tr>
        <w:tc>
          <w:p>
            <w:pPr>
              <w:pStyle w:val="Compact"/>
              <w:jc w:val="left"/>
            </w:pPr>
            <w:r>
              <w:rPr>
                <w:b/>
              </w:rPr>
              <w:t xml:space="preserve">XGBoost, bloques semanales</w:t>
            </w:r>
          </w:p>
        </w:tc>
        <w:tc>
          <w:p>
            <w:pPr>
              <w:pStyle w:val="Compact"/>
              <w:jc w:val="left"/>
            </w:pPr>
            <w:r>
              <w:rPr>
                <w:b/>
              </w:rPr>
              <w:t xml:space="preserve">1,0352</w:t>
            </w:r>
          </w:p>
        </w:tc>
      </w:tr>
      <w:tr>
        <w:tc>
          <w:p>
            <w:pPr>
              <w:pStyle w:val="Compact"/>
              <w:jc w:val="left"/>
            </w:pPr>
            <w:r>
              <w:t xml:space="preserve">LightGBM, bloques semanales</w:t>
            </w:r>
          </w:p>
        </w:tc>
        <w:tc>
          <w:p>
            <w:pPr>
              <w:pStyle w:val="Compact"/>
              <w:jc w:val="left"/>
            </w:pPr>
            <w:r>
              <w:t xml:space="preserve">1,0422</w:t>
            </w:r>
          </w:p>
        </w:tc>
      </w:tr>
      <w:tr>
        <w:tc>
          <w:p>
            <w:pPr>
              <w:pStyle w:val="Compact"/>
              <w:jc w:val="left"/>
            </w:pPr>
            <w:r>
              <w:t xml:space="preserve">XGBoost, modelo único</w:t>
            </w:r>
          </w:p>
        </w:tc>
        <w:tc>
          <w:p>
            <w:pPr>
              <w:pStyle w:val="Compact"/>
              <w:jc w:val="left"/>
            </w:pPr>
            <w:r>
              <w:t xml:space="preserve">1,0570</w:t>
            </w:r>
          </w:p>
        </w:tc>
      </w:tr>
      <w:tr>
        <w:tc>
          <w:p>
            <w:pPr>
              <w:pStyle w:val="Compact"/>
              <w:jc w:val="left"/>
            </w:pPr>
            <w:r>
              <w:t xml:space="preserve">LightGBM, modelo único</w:t>
            </w:r>
          </w:p>
        </w:tc>
        <w:tc>
          <w:p>
            <w:pPr>
              <w:pStyle w:val="Compact"/>
              <w:jc w:val="left"/>
            </w:pPr>
            <w:r>
              <w:t xml:space="preserve">1,0639</w:t>
            </w:r>
          </w:p>
        </w:tc>
      </w:tr>
      <w:tr>
        <w:tc>
          <w:p>
            <w:pPr>
              <w:pStyle w:val="Compact"/>
              <w:jc w:val="left"/>
            </w:pPr>
            <w:r>
              <w:t xml:space="preserve">Media móvil de 28 días</w:t>
            </w:r>
          </w:p>
        </w:tc>
        <w:tc>
          <w:p>
            <w:pPr>
              <w:pStyle w:val="Compact"/>
              <w:jc w:val="left"/>
            </w:pPr>
            <w:r>
              <w:t xml:space="preserve">1,0657</w:t>
            </w:r>
          </w:p>
        </w:tc>
      </w:tr>
      <w:tr>
        <w:tc>
          <w:p>
            <w:pPr>
              <w:pStyle w:val="Compact"/>
              <w:jc w:val="left"/>
            </w:pPr>
            <w:r>
              <w:t xml:space="preserve">Media por día de la semana</w:t>
            </w:r>
          </w:p>
        </w:tc>
        <w:tc>
          <w:p>
            <w:pPr>
              <w:pStyle w:val="Compact"/>
              <w:jc w:val="left"/>
            </w:pPr>
            <w:r>
              <w:t xml:space="preserve">1,0855</w:t>
            </w:r>
          </w:p>
        </w:tc>
      </w:tr>
      <w:tr>
        <w:tc>
          <w:p>
            <w:pPr>
              <w:pStyle w:val="Compact"/>
              <w:jc w:val="left"/>
            </w:pPr>
            <w:r>
              <w:t xml:space="preserve">Naive estacional</w:t>
            </w:r>
          </w:p>
        </w:tc>
        <w:tc>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 name="Picture"/>
            <a:graphic>
              <a:graphicData uri="http://schemas.openxmlformats.org/drawingml/2006/picture">
                <pic:pic>
                  <pic:nvPicPr>
                    <pic:cNvPr descr="figuras/fig_7_10.png" id="0" name="Picture"/>
                    <pic:cNvPicPr>
                      <a:picLocks noChangeArrowheads="1" noChangeAspect="1"/>
                    </pic:cNvPicPr>
                  </pic:nvPicPr>
                  <pic:blipFill>
                    <a:blip r:embed="rId104"/>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
        </w:rPr>
        <w:t xml:space="preserve">Figura 7.10.</w:t>
      </w:r>
      <w:r>
        <w:t xml:space="preserve"> </w:t>
      </w:r>
      <w:r>
        <w:t xml:space="preserve">Estrategia de predicción por bloques semanales.</w:t>
      </w:r>
      <w:r>
        <w:t xml:space="preserve"> </w:t>
      </w:r>
      <w:r>
        <w:rPr>
          <w:i/>
        </w:rPr>
        <w:t xml:space="preserve">Fuente: elaboración propia.</w:t>
      </w:r>
    </w:p>
    <w:p>
      <w:pPr>
        <w:pStyle w:val="BodyText"/>
      </w:pPr>
      <w:r>
        <w:t xml:space="preserve">El hallazgo metodológico es la magnitud relativa de los dos efectos:</w:t>
      </w:r>
      <w:r>
        <w:t xml:space="preserve"> </w:t>
      </w:r>
      <w:r>
        <w:rPr>
          <w:b/>
        </w:rPr>
        <w:t xml:space="preserve">la organización del horizonte</w:t>
      </w:r>
      <w:r>
        <w:rPr>
          <w:b/>
        </w:rPr>
        <w:t xml:space="preserve"> </w:t>
      </w:r>
      <w:r>
        <w:rPr>
          <w:b/>
        </w:rPr>
        <w:t xml:space="preserve">mejora un 2 % el mismo algoritmo (de 1,0639 a 1,0422 en LightGBM y de 1,0570 a 1,0352 en XGBoost), mientras que la</w:t>
      </w:r>
      <w:r>
        <w:rPr>
          <w:b/>
        </w:rPr>
        <w:t xml:space="preserve"> </w:t>
      </w:r>
      <w:r>
        <w:rPr>
          <w:b/>
        </w:rPr>
        <w:t xml:space="preserve">diferencia entre ambas bibliotecas con la misma estrategia es de 0,007 (0,7 %)</w:t>
      </w:r>
      <w:r>
        <w:t xml:space="preserve">. Definir qué información puede ver el</w:t>
      </w:r>
      <w:r>
        <w:t xml:space="preserve"> </w:t>
      </w:r>
      <w:r>
        <w:t xml:space="preserve">modelo rinde unas tres veces más que elegir la biblioteca. XGBoost queda ligeramente por delante en las cuatro</w:t>
      </w:r>
      <w:r>
        <w:t xml:space="preserve"> </w:t>
      </w:r>
      <w:r>
        <w:t xml:space="preserve">métricas; se adopta LightGBM con bloques semanales porque todo el desarrollo posterior (400 días, eventos semanales,</w:t>
      </w:r>
      <w:r>
        <w:t xml:space="preserve"> </w:t>
      </w:r>
      <w:r>
        <w:t xml:space="preserve">modelo cuantílico y entrega) se construyó sobre él, y evaluar XGBoost en el modelo final queda como línea de mejora.</w:t>
      </w:r>
    </w:p>
    <w:p>
      <w:pPr>
        <w:pStyle w:val="BodyText"/>
      </w:pPr>
      <w:r>
        <w:t xml:space="preserve">El resultado se matiza según la métrica. En error absoluto medio la media móvil queda al nivel de</w:t>
      </w:r>
      <w:r>
        <w:t xml:space="preserve"> </w:t>
      </w:r>
      <w:r>
        <w:t xml:space="preserve">los modelos (1,0401 frente a 1,0462 de LightGBM y 1,0349 de XGBoost),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 name="Picture"/>
            <a:graphic>
              <a:graphicData uri="http://schemas.openxmlformats.org/drawingml/2006/picture">
                <pic:pic>
                  <pic:nvPicPr>
                    <pic:cNvPr descr="figuras/fig_7_11.png" id="0" name="Picture"/>
                    <pic:cNvPicPr>
                      <a:picLocks noChangeArrowheads="1" noChangeAspect="1"/>
                    </pic:cNvPicPr>
                  </pic:nvPicPr>
                  <pic:blipFill>
                    <a:blip r:embed="rId105"/>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
        </w:rPr>
        <w:t xml:space="preserve">Figura 7.11.</w:t>
      </w:r>
      <w:r>
        <w:t xml:space="preserve"> </w:t>
      </w:r>
      <w:r>
        <w:t xml:space="preserve">Error (WRMSSE) de los modelos comparados: media de los tres pliegues y evolución por ventana de validación.</w:t>
      </w:r>
      <w:r>
        <w:t xml:space="preserve"> </w:t>
      </w:r>
      <w:r>
        <w:rPr>
          <w:i/>
        </w:rPr>
        <w:t xml:space="preserve">Fuente: elaboración propia.</w:t>
      </w:r>
    </w:p>
    <w:p>
      <w:pPr>
        <w:pStyle w:val="Heading3"/>
      </w:pPr>
      <w:bookmarkStart w:id="106" w:name="Xb1c058a5ca97dfb048e977efcf634615a98e718"/>
      <w:r>
        <w:t xml:space="preserve">7.3.4. Qué mira el modelo y cuánta complejidad hace falta</w:t>
      </w:r>
      <w:bookmarkEnd w:id="106"/>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
        </w:rPr>
        <w:t xml:space="preserve">54,1 %</w:t>
      </w:r>
      <w:r>
        <w:t xml:space="preserve"> </w:t>
      </w:r>
      <w:r>
        <w:t xml:space="preserve">de la importancia total, y las cuatro medias</w:t>
      </w:r>
      <w:r>
        <w:t xml:space="preserve"> </w:t>
      </w:r>
      <w:r>
        <w:t xml:space="preserve">móviles juntas (7, 28, 91 y 364 días) el</w:t>
      </w:r>
      <w:r>
        <w:t xml:space="preserve"> </w:t>
      </w:r>
      <w:r>
        <w:rPr>
          <w:b/>
        </w:rPr>
        <w:t xml:space="preserve">88,1 %</w:t>
      </w:r>
      <w:r>
        <w:t xml:space="preserve">. El identificador del producto pesa un 6,0 %, y</w:t>
      </w:r>
      <w:r>
        <w:t xml:space="preserve"> </w:t>
      </w:r>
      <w:r>
        <w:t xml:space="preserve">las variables de evento y de fin de semana no llegan al 1 % cada una. El grupo de producto de §7.2</w:t>
      </w:r>
      <w:r>
        <w:t xml:space="preserve"> </w:t>
      </w:r>
      <w:r>
        <w:t xml:space="preserve">no se incluye como variable: en el experimento con y sin él pesaba un 0,18 % de la importancia y no</w:t>
      </w:r>
      <w:r>
        <w:t xml:space="preserve"> </w:t>
      </w:r>
      <w:r>
        <w:t xml:space="preserve">mejoraba la predicción (cuaderno 03b);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85122"/>
            <wp:effectExtent b="0" l="0" r="0" t="0"/>
            <wp:docPr descr="Figura 7.12. Importancia de las variables del modelo de bloques semanales (media de los tres pliegues). Fuente: elaboración propia." title="" id="1" name="Picture"/>
            <a:graphic>
              <a:graphicData uri="http://schemas.openxmlformats.org/drawingml/2006/picture">
                <pic:pic>
                  <pic:nvPicPr>
                    <pic:cNvPr descr="figuras/fig_7_12.png" id="0" name="Picture"/>
                    <pic:cNvPicPr>
                      <a:picLocks noChangeArrowheads="1" noChangeAspect="1"/>
                    </pic:cNvPicPr>
                  </pic:nvPicPr>
                  <pic:blipFill>
                    <a:blip r:embed="rId107"/>
                    <a:stretch>
                      <a:fillRect/>
                    </a:stretch>
                  </pic:blipFill>
                  <pic:spPr bwMode="auto">
                    <a:xfrm>
                      <a:off x="0" y="0"/>
                      <a:ext cx="5334000" cy="2985122"/>
                    </a:xfrm>
                    <a:prstGeom prst="rect">
                      <a:avLst/>
                    </a:prstGeom>
                    <a:noFill/>
                    <a:ln w="9525">
                      <a:noFill/>
                      <a:headEnd/>
                      <a:tailEnd/>
                    </a:ln>
                  </pic:spPr>
                </pic:pic>
              </a:graphicData>
            </a:graphic>
          </wp:inline>
        </w:drawing>
      </w:r>
    </w:p>
    <w:p>
      <w:pPr>
        <w:pStyle w:val="ImageCaption"/>
      </w:pPr>
      <w:r>
        <w:rPr>
          <w:b/>
        </w:rPr>
        <w:t xml:space="preserve">Figura 7.12.</w:t>
      </w:r>
      <w:r>
        <w:t xml:space="preserve"> </w:t>
      </w:r>
      <w:r>
        <w:t xml:space="preserve">Importancia de las variables del modelo de bloques semanales (media de los tres pliegues).</w:t>
      </w:r>
      <w:r>
        <w:t xml:space="preserve"> </w:t>
      </w:r>
      <w:r>
        <w:rPr>
          <w:i/>
        </w:rPr>
        <w:t xml:space="preserve">Fuente: elaboración propia.</w:t>
      </w:r>
    </w:p>
    <w:p>
      <w:pPr>
        <w:pStyle w:val="BodyText"/>
      </w:pPr>
      <w:r>
        <w:t xml:space="preserve">Esa lectura se contrastó con una</w:t>
      </w:r>
      <w:r>
        <w:t xml:space="preserve"> </w:t>
      </w:r>
      <w:r>
        <w:rPr>
          <w:b/>
        </w:rPr>
        <w:t xml:space="preserve">escalera de complejidad</w:t>
      </w:r>
      <w:r>
        <w:t xml:space="preserve">, de menor a mayor, evaluada en las tres</w:t>
      </w:r>
      <w:r>
        <w:t xml:space="preserve"> </w:t>
      </w:r>
      <w:r>
        <w:t xml:space="preserve">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Feb 2016</w:t>
            </w:r>
          </w:p>
        </w:tc>
        <w:tc>
          <w:tcPr>
            <w:tcBorders>
              <w:bottom w:val="single"/>
            </w:tcBorders>
            <w:vAlign w:val="bottom"/>
          </w:tcPr>
          <w:p>
            <w:pPr>
              <w:pStyle w:val="Compact"/>
              <w:jc w:val="left"/>
            </w:pPr>
            <w:r>
              <w:t xml:space="preserve">Mar 2016</w:t>
            </w:r>
          </w:p>
        </w:tc>
        <w:tc>
          <w:tcPr>
            <w:tcBorders>
              <w:bottom w:val="single"/>
            </w:tcBorders>
            <w:vAlign w:val="bottom"/>
          </w:tcPr>
          <w:p>
            <w:pPr>
              <w:pStyle w:val="Compact"/>
              <w:jc w:val="left"/>
            </w:pPr>
            <w:r>
              <w:t xml:space="preserve">Abr 2016</w:t>
            </w:r>
          </w:p>
        </w:tc>
        <w:tc>
          <w:tcPr>
            <w:tcBorders>
              <w:bottom w:val="single"/>
            </w:tcBorders>
            <w:vAlign w:val="bottom"/>
          </w:tcPr>
          <w:p>
            <w:pPr>
              <w:pStyle w:val="Compact"/>
              <w:jc w:val="left"/>
            </w:pPr>
            <w:r>
              <w:t xml:space="preserve">Media</w:t>
            </w:r>
          </w:p>
        </w:tc>
      </w:tr>
      <w:tr>
        <w:tc>
          <w:p>
            <w:pPr>
              <w:pStyle w:val="Compact"/>
              <w:jc w:val="left"/>
            </w:pPr>
            <w:r>
              <w:t xml:space="preserve">Media móvil de 28 días</w:t>
            </w:r>
          </w:p>
        </w:tc>
        <w:tc>
          <w:p>
            <w:pPr>
              <w:pStyle w:val="Compact"/>
              <w:jc w:val="left"/>
            </w:pPr>
            <w:r>
              <w:t xml:space="preserve">1,0909</w:t>
            </w:r>
          </w:p>
        </w:tc>
        <w:tc>
          <w:p>
            <w:pPr>
              <w:pStyle w:val="Compact"/>
              <w:jc w:val="left"/>
            </w:pPr>
            <w:r>
              <w:t xml:space="preserve">1,0660</w:t>
            </w:r>
          </w:p>
        </w:tc>
        <w:tc>
          <w:p>
            <w:pPr>
              <w:pStyle w:val="Compact"/>
              <w:jc w:val="left"/>
            </w:pPr>
            <w:r>
              <w:t xml:space="preserve">1,0402</w:t>
            </w:r>
          </w:p>
        </w:tc>
        <w:tc>
          <w:p>
            <w:pPr>
              <w:pStyle w:val="Compact"/>
              <w:jc w:val="left"/>
            </w:pPr>
            <w:r>
              <w:t xml:space="preserve">1,0657</w:t>
            </w:r>
          </w:p>
        </w:tc>
      </w:tr>
      <w:tr>
        <w:tc>
          <w:p>
            <w:pPr>
              <w:pStyle w:val="Compact"/>
              <w:jc w:val="left"/>
            </w:pPr>
            <w:r>
              <w:t xml:space="preserve">Media móvil × día de la semana</w:t>
            </w:r>
          </w:p>
        </w:tc>
        <w:tc>
          <w:p>
            <w:pPr>
              <w:pStyle w:val="Compact"/>
              <w:jc w:val="left"/>
            </w:pPr>
            <w:r>
              <w:t xml:space="preserve">1,0759</w:t>
            </w:r>
          </w:p>
        </w:tc>
        <w:tc>
          <w:p>
            <w:pPr>
              <w:pStyle w:val="Compact"/>
              <w:jc w:val="left"/>
            </w:pPr>
            <w:r>
              <w:t xml:space="preserve">1,0517</w:t>
            </w:r>
          </w:p>
        </w:tc>
        <w:tc>
          <w:p>
            <w:pPr>
              <w:pStyle w:val="Compact"/>
              <w:jc w:val="left"/>
            </w:pPr>
            <w:r>
              <w:t xml:space="preserve">1,0185</w:t>
            </w:r>
          </w:p>
        </w:tc>
        <w:tc>
          <w:p>
            <w:pPr>
              <w:pStyle w:val="Compact"/>
              <w:jc w:val="left"/>
            </w:pPr>
            <w:r>
              <w:t xml:space="preserve">1,0487</w:t>
            </w:r>
          </w:p>
        </w:tc>
      </w:tr>
      <w:tr>
        <w:tc>
          <w:p>
            <w:pPr>
              <w:pStyle w:val="Compact"/>
              <w:jc w:val="left"/>
            </w:pPr>
            <w:r>
              <w:t xml:space="preserve">LightGBM pequeño (7 variables, 15 hojas)</w:t>
            </w:r>
          </w:p>
        </w:tc>
        <w:tc>
          <w:p>
            <w:pPr>
              <w:pStyle w:val="Compact"/>
              <w:jc w:val="left"/>
            </w:pPr>
            <w:r>
              <w:t xml:space="preserve">1,0857</w:t>
            </w:r>
          </w:p>
        </w:tc>
        <w:tc>
          <w:p>
            <w:pPr>
              <w:pStyle w:val="Compact"/>
              <w:jc w:val="left"/>
            </w:pPr>
            <w:r>
              <w:t xml:space="preserve">1,0407</w:t>
            </w:r>
          </w:p>
        </w:tc>
        <w:tc>
          <w:p>
            <w:pPr>
              <w:pStyle w:val="Compact"/>
              <w:jc w:val="left"/>
            </w:pPr>
            <w:r>
              <w:t xml:space="preserve">1,0098</w:t>
            </w:r>
          </w:p>
        </w:tc>
        <w:tc>
          <w:p>
            <w:pPr>
              <w:pStyle w:val="Compact"/>
              <w:jc w:val="left"/>
            </w:pPr>
            <w:r>
              <w:t xml:space="preserve">1,0454</w:t>
            </w:r>
          </w:p>
        </w:tc>
      </w:tr>
      <w:tr>
        <w:tc>
          <w:p>
            <w:pPr>
              <w:pStyle w:val="Compact"/>
              <w:jc w:val="left"/>
            </w:pPr>
            <w:r>
              <w:t xml:space="preserve">LightGBM completo (180 días)</w:t>
            </w:r>
          </w:p>
        </w:tc>
        <w:tc>
          <w:p>
            <w:pPr>
              <w:pStyle w:val="Compact"/>
              <w:jc w:val="left"/>
            </w:pPr>
            <w:r>
              <w:t xml:space="preserve">1,0799</w:t>
            </w:r>
          </w:p>
        </w:tc>
        <w:tc>
          <w:p>
            <w:pPr>
              <w:pStyle w:val="Compact"/>
              <w:jc w:val="left"/>
            </w:pPr>
            <w:r>
              <w:t xml:space="preserve">1,0410</w:t>
            </w:r>
          </w:p>
        </w:tc>
        <w:tc>
          <w:p>
            <w:pPr>
              <w:pStyle w:val="Compact"/>
              <w:jc w:val="left"/>
            </w:pPr>
            <w:r>
              <w:t xml:space="preserve">1,0055</w:t>
            </w:r>
          </w:p>
        </w:tc>
        <w:tc>
          <w:p>
            <w:pPr>
              <w:pStyle w:val="Compact"/>
              <w:jc w:val="left"/>
            </w:pPr>
            <w:r>
              <w:t xml:space="preserve">1,0422</w:t>
            </w:r>
          </w:p>
        </w:tc>
      </w:tr>
      <w:tr>
        <w:tc>
          <w:p>
            <w:pPr>
              <w:pStyle w:val="Compact"/>
              <w:jc w:val="left"/>
            </w:pPr>
            <w:r>
              <w:t xml:space="preserve">Modelo final (400 días + eventos)</w:t>
            </w:r>
          </w:p>
        </w:tc>
        <w:tc>
          <w:p>
            <w:pPr>
              <w:pStyle w:val="Compact"/>
              <w:jc w:val="left"/>
            </w:pPr>
            <w:r>
              <w:t xml:space="preserve">—</w:t>
            </w:r>
          </w:p>
        </w:tc>
        <w:tc>
          <w:p>
            <w:pPr>
              <w:pStyle w:val="Compact"/>
              <w:jc w:val="left"/>
            </w:pPr>
            <w:r>
              <w:t xml:space="preserve">—</w:t>
            </w:r>
          </w:p>
        </w:tc>
        <w:tc>
          <w:p>
            <w:pPr>
              <w:pStyle w:val="Compact"/>
              <w:jc w:val="left"/>
            </w:pPr>
            <w:r>
              <w:t xml:space="preserve">1,0002</w:t>
            </w:r>
          </w:p>
        </w:tc>
        <w:tc>
          <w:p>
            <w:pPr>
              <w:pStyle w:val="Compact"/>
              <w:jc w:val="left"/>
            </w:pPr>
            <w:r>
              <w:t xml:space="preserve">—</w:t>
            </w:r>
          </w:p>
        </w:tc>
      </w:tr>
    </w:tbl>
    <w:p>
      <w:pPr>
        <w:pStyle w:val="BodyText"/>
      </w:pPr>
      <w:r>
        <w:t xml:space="preserve">El escalón más rentable es multiplicar la media móvil por un factor de día de la semana y departamento</w:t>
      </w:r>
      <w:r>
        <w:t xml:space="preserve"> </w:t>
      </w:r>
      <w:r>
        <w:t xml:space="preserve">(reduce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−0,4 % y 1,3 %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p>
      <w:pPr>
        <w:pStyle w:val="Heading3"/>
      </w:pPr>
      <w:bookmarkStart w:id="108" w:name="dónde-falla-la-temporada-alta"/>
      <w:r>
        <w:t xml:space="preserve">7.3.5. Dónde falla: la temporada alta</w:t>
      </w:r>
      <w:bookmarkEnd w:id="108"/>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1,0542 en noviembre y de</w:t>
      </w:r>
      <w:r>
        <w:t xml:space="preserve"> </w:t>
      </w:r>
      <w:r>
        <w:rPr>
          <w:b/>
        </w:rPr>
        <w:t xml:space="preserve">1,1090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
        </w:rPr>
        <w:t xml:space="preserve">35.966 unidades frente a 14 reales</w:t>
      </w:r>
      <w:r>
        <w:t xml:space="preserve"> </w:t>
      </w:r>
      <w:r>
        <w:t xml:space="preserve">(la tienda cierra), subestimó la subida de</w:t>
      </w:r>
      <w:r>
        <w:t xml:space="preserve"> </w:t>
      </w:r>
      <w:r>
        <w:t xml:space="preserve">los días 22 a 24 (−17 %, −23 % y −21 %) y subestimó el 31 de diciembre en un 28 %.</w:t>
      </w:r>
    </w:p>
    <w:p>
      <w:pPr>
        <w:pStyle w:val="BodyText"/>
      </w:pPr>
      <w:r>
        <w:t xml:space="preserve">La causa es estructural: la ventana de entrenamiento de 180 días que precede a diciembre</w:t>
      </w:r>
      <w:r>
        <w:t xml:space="preserve"> </w:t>
      </w:r>
      <w:r>
        <w:rPr>
          <w:b/>
        </w:rPr>
        <w:t xml:space="preserve">no</w:t>
      </w:r>
      <w:r>
        <w:rPr>
          <w:b/>
        </w:rPr>
        <w:t xml:space="preserve"> </w:t>
      </w:r>
      <w:r>
        <w:rPr>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8"/>
        </w:numPr>
        <w:pStyle w:val="Compact"/>
      </w:pPr>
      <w:r>
        <w:rPr>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0,15 % de la importancia</w:t>
      </w:r>
      <w:r>
        <w:t xml:space="preserve"> </w:t>
      </w:r>
      <w:r>
        <w:t xml:space="preserve">y las diferencias son de unas pocas milésimas (0,004 como máximo).</w:t>
      </w:r>
    </w:p>
    <w:p>
      <w:pPr>
        <w:numPr>
          <w:ilvl w:val="0"/>
          <w:numId w:val="1008"/>
        </w:numPr>
        <w:pStyle w:val="Compact"/>
      </w:pPr>
      <w:r>
        <w:rPr>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180 días</w:t>
            </w:r>
          </w:p>
        </w:tc>
        <w:tc>
          <w:tcPr>
            <w:tcBorders>
              <w:bottom w:val="single"/>
            </w:tcBorders>
            <w:vAlign w:val="bottom"/>
          </w:tcPr>
          <w:p>
            <w:pPr>
              <w:pStyle w:val="Compact"/>
              <w:jc w:val="left"/>
            </w:pPr>
            <w:r>
              <w:t xml:space="preserve">400 días</w:t>
            </w:r>
          </w:p>
        </w:tc>
        <w:tc>
          <w:tcPr>
            <w:tcBorders>
              <w:bottom w:val="single"/>
            </w:tcBorders>
            <w:vAlign w:val="bottom"/>
          </w:tcPr>
          <w:p>
            <w:pPr>
              <w:pStyle w:val="Compact"/>
              <w:jc w:val="left"/>
            </w:pPr>
            <w:r>
              <w:t xml:space="preserve">400 días + eventos semanales</w:t>
            </w:r>
          </w:p>
        </w:tc>
      </w:tr>
      <w:tr>
        <w:tc>
          <w:p>
            <w:pPr>
              <w:pStyle w:val="Compact"/>
              <w:jc w:val="left"/>
            </w:pPr>
            <w:r>
              <w:t xml:space="preserve">Noviembre 2015</w:t>
            </w:r>
          </w:p>
        </w:tc>
        <w:tc>
          <w:p>
            <w:pPr>
              <w:pStyle w:val="Compact"/>
              <w:jc w:val="left"/>
            </w:pPr>
            <w:r>
              <w:t xml:space="preserve">1,0542</w:t>
            </w:r>
          </w:p>
        </w:tc>
        <w:tc>
          <w:p>
            <w:pPr>
              <w:pStyle w:val="Compact"/>
              <w:jc w:val="left"/>
            </w:pPr>
            <w:r>
              <w:t xml:space="preserve">1,0205</w:t>
            </w:r>
          </w:p>
        </w:tc>
        <w:tc>
          <w:p>
            <w:pPr>
              <w:pStyle w:val="Compact"/>
              <w:jc w:val="left"/>
            </w:pPr>
            <w:r>
              <w:rPr>
                <w:b/>
              </w:rPr>
              <w:t xml:space="preserve">1,0156</w:t>
            </w:r>
          </w:p>
        </w:tc>
      </w:tr>
      <w:tr>
        <w:tc>
          <w:p>
            <w:pPr>
              <w:pStyle w:val="Compact"/>
              <w:jc w:val="left"/>
            </w:pPr>
            <w:r>
              <w:t xml:space="preserve">Diciembre 2015</w:t>
            </w:r>
          </w:p>
        </w:tc>
        <w:tc>
          <w:p>
            <w:pPr>
              <w:pStyle w:val="Compact"/>
              <w:jc w:val="left"/>
            </w:pPr>
            <w:r>
              <w:t xml:space="preserve">1,1090</w:t>
            </w:r>
          </w:p>
        </w:tc>
        <w:tc>
          <w:p>
            <w:pPr>
              <w:pStyle w:val="Compact"/>
              <w:jc w:val="left"/>
            </w:pPr>
            <w:r>
              <w:t xml:space="preserve">1,0504</w:t>
            </w:r>
          </w:p>
        </w:tc>
        <w:tc>
          <w:p>
            <w:pPr>
              <w:pStyle w:val="Compact"/>
              <w:jc w:val="left"/>
            </w:pPr>
            <w:r>
              <w:rPr>
                <w:b/>
              </w:rPr>
              <w:t xml:space="preserve">1,0469</w:t>
            </w:r>
          </w:p>
        </w:tc>
      </w:tr>
      <w:tr>
        <w:tc>
          <w:p>
            <w:pPr>
              <w:pStyle w:val="Compact"/>
              <w:jc w:val="left"/>
            </w:pPr>
            <w:r>
              <w:t xml:space="preserve">Media febrero-abril 2016</w:t>
            </w:r>
          </w:p>
        </w:tc>
        <w:tc>
          <w:p>
            <w:pPr>
              <w:pStyle w:val="Compact"/>
              <w:jc w:val="left"/>
            </w:pPr>
            <w:r>
              <w:t xml:space="preserve">1,0422</w:t>
            </w:r>
          </w:p>
        </w:tc>
        <w:tc>
          <w:p>
            <w:pPr>
              <w:pStyle w:val="Compact"/>
              <w:jc w:val="left"/>
            </w:pPr>
            <w:r>
              <w:rPr>
                <w:b/>
              </w:rPr>
              <w:t xml:space="preserve">1,0373</w:t>
            </w:r>
          </w:p>
        </w:tc>
        <w:tc>
          <w:p>
            <w:pPr>
              <w:pStyle w:val="Compact"/>
              <w:jc w:val="left"/>
            </w:pPr>
            <w:r>
              <w:t xml:space="preserve">1,0381</w:t>
            </w:r>
          </w:p>
        </w:tc>
      </w:tr>
    </w:tbl>
    <w:p>
      <w:pPr>
        <w:pStyle w:val="BodyText"/>
      </w:pPr>
      <w:r>
        <w:t xml:space="preserve">Diciembre mejora un</w:t>
      </w:r>
      <w:r>
        <w:t xml:space="preserve"> </w:t>
      </w:r>
      <w:r>
        <w:rPr>
          <w:b/>
        </w:rPr>
        <w:t xml:space="preserve">5,3 %</w:t>
      </w:r>
      <w:r>
        <w:t xml:space="preserve"> </w:t>
      </w:r>
      <w:r>
        <w:t xml:space="preserve">y noviembre un</w:t>
      </w:r>
      <w:r>
        <w:t xml:space="preserve"> </w:t>
      </w:r>
      <w:r>
        <w:rPr>
          <w:b/>
        </w:rPr>
        <w:t xml:space="preserve">3,2 %</w:t>
      </w:r>
      <w:r>
        <w:t xml:space="preserve"> </w:t>
      </w:r>
      <w:r>
        <w:t xml:space="preserve">solo por la historia (5,6 % y 3,7 % con los eventos</w:t>
      </w:r>
      <w:r>
        <w:t xml:space="preserve"> </w:t>
      </w:r>
      <w:r>
        <w:t xml:space="preserve">semanales), y el resto del año no empeora. Casi toda la mejora procede de la historia adicional; las variables</w:t>
      </w:r>
      <w:r>
        <w:t xml:space="preserve"> </w:t>
      </w:r>
      <w:r>
        <w:t xml:space="preserve">semanales añaden entre un 0,3 % y un 0,5 % en temporada alta y restan un 0,1 % en febrero-abril. Con</w:t>
      </w:r>
      <w:r>
        <w:t xml:space="preserve"> </w:t>
      </w:r>
      <w:r>
        <w:t xml:space="preserve">400 días el modelo</w:t>
      </w:r>
      <w:r>
        <w:t xml:space="preserve"> </w:t>
      </w:r>
      <w:r>
        <w:rPr>
          <w:b/>
        </w:rPr>
        <w:t xml:space="preserve">aprende por sí solo el cierre</w:t>
      </w:r>
      <w:r>
        <w:t xml:space="preserve">: predice 161 unidades para el 25 de diciembre</w:t>
      </w:r>
      <w:r>
        <w:t xml:space="preserve"> </w:t>
      </w:r>
      <w:r>
        <w:t xml:space="preserve">de 2015 frente a 14 reales (antes, unas 36.000), la semana del 18 al 24 pasa de un error del −9,7 %</w:t>
      </w:r>
      <w:r>
        <w:t xml:space="preserve"> </w:t>
      </w:r>
      <w:r>
        <w:t xml:space="preserve">al −5,2 %, y la semana de Black Friday de +9,5 % a +0,3 %.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 name="Picture"/>
            <a:graphic>
              <a:graphicData uri="http://schemas.openxmlformats.org/drawingml/2006/picture">
                <pic:pic>
                  <pic:nvPicPr>
                    <pic:cNvPr descr="figuras/fig_7_13.png" id="0" name="Picture"/>
                    <pic:cNvPicPr>
                      <a:picLocks noChangeArrowheads="1" noChangeAspect="1"/>
                    </pic:cNvPicPr>
                  </pic:nvPicPr>
                  <pic:blipFill>
                    <a:blip r:embed="rId109"/>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
        </w:rPr>
        <w:t xml:space="preserve">Figura 7.13.</w:t>
      </w:r>
      <w:r>
        <w:t xml:space="preserve"> </w:t>
      </w:r>
      <w:r>
        <w:t xml:space="preserve">Demanda total diaria real y predicha en diciembre de 2015, con 180 y con 400 días de historia.</w:t>
      </w:r>
      <w:r>
        <w:t xml:space="preserve"> </w:t>
      </w:r>
      <w:r>
        <w:rPr>
          <w:i/>
        </w:rPr>
        <w:t xml:space="preserve">Fuente: elaboración propia.</w:t>
      </w:r>
    </w:p>
    <w:p>
      <w:pPr>
        <w:pStyle w:val="Heading3"/>
      </w:pPr>
      <w:bookmarkStart w:id="110" w:name="intervalos-de-predicción"/>
      <w:r>
        <w:t xml:space="preserve">7.3.6. Intervalos de predicción</w:t>
      </w:r>
      <w:bookmarkEnd w:id="110"/>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
        </w:rPr>
        <w:t xml:space="preserve">regresión</w:t>
      </w:r>
      <w:r>
        <w:rPr>
          <w:b/>
        </w:rPr>
        <w:t xml:space="preserve"> </w:t>
      </w:r>
      <w:r>
        <w:rPr>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
        </w:rPr>
        <w:t xml:space="preserve">cobertura empírica del percentil 90 fue del 89,4 %</w:t>
      </w:r>
      <w:r>
        <w:t xml:space="preserve"> </w:t>
      </w:r>
      <w:r>
        <w:t xml:space="preserve">frente</w:t>
      </w:r>
      <w:r>
        <w:t xml:space="preserve"> </w:t>
      </w:r>
      <w:r>
        <w:t xml:space="preserve">a un objetivo del 90 %, con una pérdida pinball de 0,3059 frente a 0,5266 si se usara la predicción</w:t>
      </w:r>
      <w:r>
        <w:t xml:space="preserve"> </w:t>
      </w:r>
      <w:r>
        <w:t xml:space="preserve">media y 0,3667 con el atajo «media móvil × 2,5». La predicción media cubre únicamente el</w:t>
      </w:r>
      <w:r>
        <w:t xml:space="preserve"> </w:t>
      </w:r>
      <w:r>
        <w:rPr>
          <w:b/>
        </w:rPr>
        <w:t xml:space="preserve">67,7 %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
        </w:rPr>
        <w:t xml:space="preserve">predicción</w:t>
      </w:r>
      <w:r>
        <w:rPr>
          <w:b/>
        </w:rPr>
        <w:t xml:space="preserve"> </w:t>
      </w:r>
      <w:r>
        <w:rPr>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
        </w:rPr>
        <w:t xml:space="preserve">128 % más de inventario</w:t>
      </w:r>
      <w:r>
        <w:t xml:space="preserve"> </w:t>
      </w:r>
      <w:r>
        <w:t xml:space="preserve">(2.630.372 unidades frente a 1.151.452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 name="Picture"/>
            <a:graphic>
              <a:graphicData uri="http://schemas.openxmlformats.org/drawingml/2006/picture">
                <pic:pic>
                  <pic:nvPicPr>
                    <pic:cNvPr descr="figuras/fig_7_14.png" id="0" name="Picture"/>
                    <pic:cNvPicPr>
                      <a:picLocks noChangeArrowheads="1" noChangeAspect="1"/>
                    </pic:cNvPicPr>
                  </pic:nvPicPr>
                  <pic:blipFill>
                    <a:blip r:embed="rId111"/>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
        </w:rPr>
        <w:t xml:space="preserve">Figura 7.14.</w:t>
      </w:r>
      <w:r>
        <w:t xml:space="preserve"> </w:t>
      </w:r>
      <w:r>
        <w:t xml:space="preserve">Cobertura empírica del intervalo frente al nivel nominal.</w:t>
      </w:r>
      <w:r>
        <w:t xml:space="preserve"> </w:t>
      </w:r>
      <w:r>
        <w:rPr>
          <w:i/>
        </w:rPr>
        <w:t xml:space="preserve">Fuente: elaboración propia.</w:t>
      </w:r>
    </w:p>
    <w:p>
      <w:pPr>
        <w:pStyle w:val="Heading3"/>
      </w:pPr>
      <w:bookmarkStart w:id="112" w:name="calibración-del-sesgo"/>
      <w:r>
        <w:t xml:space="preserve">7.3.7. Calibración del sesgo</w:t>
      </w:r>
      <w:bookmarkEnd w:id="112"/>
    </w:p>
    <w:p>
      <w:pPr>
        <w:pStyle w:val="FirstParagraph"/>
      </w:pPr>
      <w:r>
        <w:t xml:space="preserve">El modelo subestima de forma sistemática (un 1,8 % en la última ventana). Se examinó si un factor</w:t>
      </w:r>
      <w:r>
        <w:t xml:space="preserve"> </w:t>
      </w:r>
      <w:r>
        <w:t xml:space="preserve">multiplicativo lo corrige. Los factores necesarios en cada pliegue son</w:t>
      </w:r>
      <w:r>
        <w:t xml:space="preserve"> </w:t>
      </w:r>
      <w:r>
        <w:rPr>
          <w:b/>
        </w:rPr>
        <w:t xml:space="preserve">1,0733, 1,0251 y 1,0186</w:t>
      </w:r>
      <w:r>
        <w:t xml:space="preserve">:</w:t>
      </w:r>
      <w:r>
        <w:t xml:space="preserve"> </w:t>
      </w:r>
      <w:r>
        <w:t xml:space="preserve">el sesgo no es una constante, cambia con el período. Calibrar con el promedio de los dos primeros</w:t>
      </w:r>
      <w:r>
        <w:t xml:space="preserve"> </w:t>
      </w:r>
      <w:r>
        <w:t xml:space="preserve">pliegues (1,0492) sobrecorrige: el sesgo del último pliegue pasa de −1,83 % a +3,00 % y el WRMSSE y</w:t>
      </w:r>
      <w:r>
        <w:t xml:space="preserve"> </w:t>
      </w:r>
      <w:r>
        <w:t xml:space="preserve">el MAE empeoran. Calibrar con el pliegue más reciente (1,0251) lo deja en +0,63 % con el WRMSSE</w:t>
      </w:r>
      <w:r>
        <w:t xml:space="preserve"> </w:t>
      </w:r>
      <w:r>
        <w:t xml:space="preserve">prácticamente intacto (1,0055 a 1,0059).</w:t>
      </w:r>
    </w:p>
    <w:p>
      <w:pPr>
        <w:pStyle w:val="BodyText"/>
      </w:pPr>
      <w:r>
        <w:t xml:space="preserve">La conclusión no es la magnitud del sesgo sino su</w:t>
      </w:r>
      <w:r>
        <w:t xml:space="preserve"> </w:t>
      </w:r>
      <w:r>
        <w:rPr>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p>
      <w:pPr>
        <w:pStyle w:val="Heading3"/>
      </w:pPr>
      <w:bookmarkStart w:id="113" w:name="X177e41c5f1617fe4d87f121c23ece4232e0d7a9"/>
      <w:r>
        <w:t xml:space="preserve">7.3.8. La respuesta a la pregunta del director financiero</w:t>
      </w:r>
      <w:bookmarkEnd w:id="113"/>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
        </w:rPr>
        <w:t xml:space="preserve">ascendente</w:t>
      </w:r>
      <w:r>
        <w:t xml:space="preserve"> </w:t>
      </w:r>
      <w:r>
        <w:t xml:space="preserve">(</w:t>
      </w:r>
      <w:r>
        <w:rPr>
          <w:i/>
        </w:rPr>
        <w:t xml:space="preserve">bottom-up</w:t>
      </w:r>
      <w:r>
        <w:t xml:space="preserve">: suma de las</w:t>
      </w:r>
      <w:r>
        <w:t xml:space="preserve"> </w:t>
      </w:r>
      <w:r>
        <w:t xml:space="preserve">predicciones de LightGBM por bloques) con el modelado</w:t>
      </w:r>
      <w:r>
        <w:t xml:space="preserve"> </w:t>
      </w:r>
      <w:r>
        <w:rPr>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Nivel</w:t>
            </w:r>
          </w:p>
        </w:tc>
        <w:tc>
          <w:tcPr>
            <w:tcBorders>
              <w:bottom w:val="single"/>
            </w:tcBorders>
            <w:vAlign w:val="bottom"/>
          </w:tcPr>
          <w:p>
            <w:pPr>
              <w:pStyle w:val="Compact"/>
              <w:jc w:val="left"/>
            </w:pPr>
            <w:r>
              <w:t xml:space="preserve">Ascendente</w:t>
            </w:r>
          </w:p>
        </w:tc>
        <w:tc>
          <w:tcPr>
            <w:tcBorders>
              <w:bottom w:val="single"/>
            </w:tcBorders>
            <w:vAlign w:val="bottom"/>
          </w:tcPr>
          <w:p>
            <w:pPr>
              <w:pStyle w:val="Compact"/>
              <w:jc w:val="left"/>
            </w:pPr>
            <w:r>
              <w:t xml:space="preserve">Prophet</w:t>
            </w:r>
          </w:p>
        </w:tc>
        <w:tc>
          <w:tcPr>
            <w:tcBorders>
              <w:bottom w:val="single"/>
            </w:tcBorders>
            <w:vAlign w:val="bottom"/>
          </w:tcPr>
          <w:p>
            <w:pPr>
              <w:pStyle w:val="Compact"/>
              <w:jc w:val="left"/>
            </w:pPr>
            <w:r>
              <w:t xml:space="preserve">SARIMA</w:t>
            </w:r>
          </w:p>
        </w:tc>
        <w:tc>
          <w:tcPr>
            <w:tcBorders>
              <w:bottom w:val="single"/>
            </w:tcBorders>
            <w:vAlign w:val="bottom"/>
          </w:tcPr>
          <w:p>
            <w:pPr>
              <w:pStyle w:val="Compact"/>
              <w:jc w:val="left"/>
            </w:pPr>
            <w:r>
              <w:t xml:space="preserve">Media móvil</w:t>
            </w:r>
          </w:p>
        </w:tc>
      </w:tr>
      <w:tr>
        <w:tc>
          <w:p>
            <w:pPr>
              <w:pStyle w:val="Compact"/>
              <w:jc w:val="left"/>
            </w:pPr>
            <w:r>
              <w:t xml:space="preserve">Total compañía</w:t>
            </w:r>
          </w:p>
        </w:tc>
        <w:tc>
          <w:p>
            <w:pPr>
              <w:pStyle w:val="Compact"/>
              <w:jc w:val="left"/>
            </w:pPr>
            <w:r>
              <w:rPr>
                <w:b/>
              </w:rPr>
              <w:t xml:space="preserve">5,52 %</w:t>
            </w:r>
          </w:p>
        </w:tc>
        <w:tc>
          <w:p>
            <w:pPr>
              <w:pStyle w:val="Compact"/>
              <w:jc w:val="left"/>
            </w:pPr>
            <w:r>
              <w:t xml:space="preserve">5,79 %</w:t>
            </w:r>
          </w:p>
        </w:tc>
        <w:tc>
          <w:p>
            <w:pPr>
              <w:pStyle w:val="Compact"/>
              <w:jc w:val="left"/>
            </w:pPr>
            <w:r>
              <w:t xml:space="preserve">6,50 %</w:t>
            </w:r>
          </w:p>
        </w:tc>
        <w:tc>
          <w:p>
            <w:pPr>
              <w:pStyle w:val="Compact"/>
              <w:jc w:val="left"/>
            </w:pPr>
            <w:r>
              <w:t xml:space="preserve">12,79 %</w:t>
            </w:r>
          </w:p>
        </w:tc>
      </w:tr>
      <w:tr>
        <w:tc>
          <w:p>
            <w:pPr>
              <w:pStyle w:val="Compact"/>
              <w:jc w:val="left"/>
            </w:pPr>
            <w:r>
              <w:t xml:space="preserve">Ciudad</w:t>
            </w:r>
          </w:p>
        </w:tc>
        <w:tc>
          <w:p>
            <w:pPr>
              <w:pStyle w:val="Compact"/>
              <w:jc w:val="left"/>
            </w:pPr>
            <w:r>
              <w:rPr>
                <w:b/>
              </w:rPr>
              <w:t xml:space="preserve">6,83 %</w:t>
            </w:r>
          </w:p>
        </w:tc>
        <w:tc>
          <w:p>
            <w:pPr>
              <w:pStyle w:val="Compact"/>
              <w:jc w:val="left"/>
            </w:pPr>
            <w:r>
              <w:t xml:space="preserve">7,28 %</w:t>
            </w:r>
          </w:p>
        </w:tc>
        <w:tc>
          <w:p>
            <w:pPr>
              <w:pStyle w:val="Compact"/>
              <w:jc w:val="left"/>
            </w:pPr>
            <w:r>
              <w:t xml:space="preserve">7,72 %</w:t>
            </w:r>
          </w:p>
        </w:tc>
        <w:tc>
          <w:p>
            <w:pPr>
              <w:pStyle w:val="Compact"/>
              <w:jc w:val="left"/>
            </w:pPr>
            <w:r>
              <w:t xml:space="preserve">13,50 %</w:t>
            </w:r>
          </w:p>
        </w:tc>
      </w:tr>
      <w:tr>
        <w:tc>
          <w:p>
            <w:pPr>
              <w:pStyle w:val="Compact"/>
              <w:jc w:val="left"/>
            </w:pPr>
            <w:r>
              <w:t xml:space="preserve">Tienda</w:t>
            </w:r>
          </w:p>
        </w:tc>
        <w:tc>
          <w:p>
            <w:pPr>
              <w:pStyle w:val="Compact"/>
              <w:jc w:val="left"/>
            </w:pPr>
            <w:r>
              <w:rPr>
                <w:b/>
              </w:rPr>
              <w:t xml:space="preserve">8,14 %</w:t>
            </w:r>
          </w:p>
        </w:tc>
        <w:tc>
          <w:p>
            <w:pPr>
              <w:pStyle w:val="Compact"/>
              <w:jc w:val="left"/>
            </w:pPr>
            <w:r>
              <w:t xml:space="preserve">8,59 %</w:t>
            </w:r>
          </w:p>
        </w:tc>
        <w:tc>
          <w:p>
            <w:pPr>
              <w:pStyle w:val="Compact"/>
              <w:jc w:val="left"/>
            </w:pPr>
            <w:r>
              <w:t xml:space="preserve">8,54 %</w:t>
            </w:r>
          </w:p>
        </w:tc>
        <w:tc>
          <w:p>
            <w:pPr>
              <w:pStyle w:val="Compact"/>
              <w:jc w:val="left"/>
            </w:pPr>
            <w:r>
              <w:t xml:space="preserve">14,55 %</w:t>
            </w:r>
          </w:p>
        </w:tc>
      </w:tr>
      <w:tr>
        <w:tc>
          <w:p>
            <w:pPr>
              <w:pStyle w:val="Compact"/>
              <w:jc w:val="left"/>
            </w:pPr>
            <w:r>
              <w:t xml:space="preserve">Departamento</w:t>
            </w:r>
          </w:p>
        </w:tc>
        <w:tc>
          <w:p>
            <w:pPr>
              <w:pStyle w:val="Compact"/>
              <w:jc w:val="left"/>
            </w:pPr>
            <w:r>
              <w:rPr>
                <w:b/>
              </w:rPr>
              <w:t xml:space="preserve">10,14 %</w:t>
            </w:r>
          </w:p>
        </w:tc>
        <w:tc>
          <w:p>
            <w:pPr>
              <w:pStyle w:val="Compact"/>
              <w:jc w:val="left"/>
            </w:pPr>
            <w:r>
              <w:t xml:space="preserve">10,69 %</w:t>
            </w:r>
          </w:p>
        </w:tc>
        <w:tc>
          <w:p>
            <w:pPr>
              <w:pStyle w:val="Compact"/>
              <w:jc w:val="left"/>
            </w:pPr>
            <w:r>
              <w:t xml:space="preserve">10,33 %</w:t>
            </w:r>
          </w:p>
        </w:tc>
        <w:tc>
          <w:p>
            <w:pPr>
              <w:pStyle w:val="Compact"/>
              <w:jc w:val="left"/>
            </w:pPr>
            <w:r>
              <w:t xml:space="preserve">13,95 %</w:t>
            </w:r>
          </w:p>
        </w:tc>
      </w:tr>
    </w:tbl>
    <w:p>
      <w:pPr>
        <w:pStyle w:val="BodyText"/>
      </w:pPr>
      <w:r>
        <w:t xml:space="preserve">El ascendente gana en los cuatro niveles, por 0,2 a 0,5 puntos. La respuesta a Paul Rogers es que</w:t>
      </w:r>
      <w:r>
        <w:t xml:space="preserve"> </w:t>
      </w:r>
      <w:r>
        <w:rPr>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10,1 %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Prophet un 1,3 %, la media móvil un 2,4 % y SARIMA un 3,8 %), el sesgo tratado en §7.3.7.</w:t>
      </w:r>
    </w:p>
    <w:p>
      <w:pPr>
        <w:pStyle w:val="BodyText"/>
      </w:pPr>
      <w:r>
        <w:t xml:space="preserve">Un ejercicio complementario de reconciliación óptima (MinT) sobre los seis niveles de la jerarquía,</w:t>
      </w:r>
      <w:r>
        <w:t xml:space="preserve"> </w:t>
      </w:r>
      <w:r>
        <w:t xml:space="preserve">con una medida de error distinta, mejoró al enfoque ascendente del 15,12 % al 13,71 % y añade la</w:t>
      </w:r>
      <w:r>
        <w:t xml:space="preserve"> </w:t>
      </w:r>
      <w:r>
        <w:t xml:space="preserve">propiedad de coherencia garantizada entre niveles. No cambia la respuesta: sumar es válido, y</w:t>
      </w:r>
      <w:r>
        <w:t xml:space="preserve"> </w:t>
      </w:r>
      <w:r>
        <w:t xml:space="preserve">reconciliar es una mejora opcional.</w:t>
      </w:r>
    </w:p>
    <w:p>
      <w:pPr>
        <w:pStyle w:val="CaptionedFigure"/>
      </w:pPr>
      <w:r>
        <w:drawing>
          <wp:inline>
            <wp:extent cx="5334000" cy="2761021"/>
            <wp:effectExtent b="0" l="0" r="0" t="0"/>
            <wp:docPr descr="Figura 7.15. Error porcentual medio por nivel: enfoque ascendente frente a modelado directo del agregado. Fuente: elaboración propia." title="" id="1" name="Picture"/>
            <a:graphic>
              <a:graphicData uri="http://schemas.openxmlformats.org/drawingml/2006/picture">
                <pic:pic>
                  <pic:nvPicPr>
                    <pic:cNvPr descr="figuras/fig_7_15.png" id="0" name="Picture"/>
                    <pic:cNvPicPr>
                      <a:picLocks noChangeArrowheads="1" noChangeAspect="1"/>
                    </pic:cNvPicPr>
                  </pic:nvPicPr>
                  <pic:blipFill>
                    <a:blip r:embed="rId114"/>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
        </w:rPr>
        <w:t xml:space="preserve">Figura 7.15.</w:t>
      </w:r>
      <w:r>
        <w:t xml:space="preserve"> </w:t>
      </w:r>
      <w:r>
        <w:t xml:space="preserve">Error porcentual medio por nivel: enfoque ascendente frente a modelado directo del agregado.</w:t>
      </w:r>
      <w:r>
        <w:t xml:space="preserve"> </w:t>
      </w:r>
      <w:r>
        <w:rPr>
          <w:i/>
        </w:rPr>
        <w:t xml:space="preserve">Fuente: elaboración propia.</w:t>
      </w:r>
    </w:p>
    <w:p>
      <w:pPr>
        <w:pStyle w:val="Heading3"/>
      </w:pPr>
      <w:bookmarkStart w:id="115" w:name="Xdb3991560f8fad4b7c364cd151d118040e4c1c7"/>
      <w:r>
        <w:t xml:space="preserve">7.3.9. El objetivo correcto no es el día, es el ciclo</w:t>
      </w:r>
      <w:bookmarkEnd w:id="115"/>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pct" w:w="0.0"/>
        <w:tblLook w:firstRow="1"/>
      </w:tblPr>
      <w:tblGrid/>
      <w:tr>
        <w:trPr>
          <w:cnfStyle w:firstRow="1"/>
        </w:trPr>
        <w:tc>
          <w:tcPr>
            <w:tcBorders>
              <w:bottom w:val="single"/>
            </w:tcBorders>
            <w:vAlign w:val="bottom"/>
          </w:tcPr>
          <w:p>
            <w:pPr>
              <w:pStyle w:val="Compact"/>
              <w:jc w:val="left"/>
            </w:pPr>
            <w:r>
              <w:t xml:space="preserve">Enfoque</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RMSE</w:t>
            </w:r>
          </w:p>
        </w:tc>
        <w:tc>
          <w:tcPr>
            <w:tcBorders>
              <w:bottom w:val="single"/>
            </w:tcBorders>
            <w:vAlign w:val="bottom"/>
          </w:tcPr>
          <w:p>
            <w:pPr>
              <w:pStyle w:val="Compact"/>
              <w:jc w:val="left"/>
            </w:pPr>
            <w:r>
              <w:t xml:space="preserve">Sesgo</w:t>
            </w:r>
          </w:p>
        </w:tc>
      </w:tr>
      <w:tr>
        <w:tc>
          <w:p>
            <w:pPr>
              <w:pStyle w:val="Compact"/>
              <w:jc w:val="left"/>
            </w:pPr>
            <w:r>
              <w:t xml:space="preserve">Suma de nueve predicciones diarias</w:t>
            </w:r>
          </w:p>
        </w:tc>
        <w:tc>
          <w:p>
            <w:pPr>
              <w:pStyle w:val="Compact"/>
              <w:jc w:val="left"/>
            </w:pPr>
            <w:r>
              <w:t xml:space="preserve">4,731</w:t>
            </w:r>
          </w:p>
        </w:tc>
        <w:tc>
          <w:p>
            <w:pPr>
              <w:pStyle w:val="Compact"/>
              <w:jc w:val="left"/>
            </w:pPr>
            <w:r>
              <w:t xml:space="preserve">12,255</w:t>
            </w:r>
          </w:p>
        </w:tc>
        <w:tc>
          <w:p>
            <w:pPr>
              <w:pStyle w:val="Compact"/>
              <w:jc w:val="left"/>
            </w:pPr>
            <w:r>
              <w:rPr>
                <w:b/>
              </w:rPr>
              <w:t xml:space="preserve">−7,41%</w:t>
            </w:r>
          </w:p>
        </w:tc>
      </w:tr>
      <w:tr>
        <w:tc>
          <w:p>
            <w:pPr>
              <w:pStyle w:val="Compact"/>
              <w:jc w:val="left"/>
            </w:pPr>
            <w:r>
              <w:t xml:space="preserve">Modelo del total (LightGBM)</w:t>
            </w:r>
          </w:p>
        </w:tc>
        <w:tc>
          <w:p>
            <w:pPr>
              <w:pStyle w:val="Compact"/>
              <w:jc w:val="left"/>
            </w:pPr>
            <w:r>
              <w:t xml:space="preserve">4,061</w:t>
            </w:r>
          </w:p>
        </w:tc>
        <w:tc>
          <w:p>
            <w:pPr>
              <w:pStyle w:val="Compact"/>
              <w:jc w:val="left"/>
            </w:pPr>
            <w:r>
              <w:t xml:space="preserve">9,666</w:t>
            </w:r>
          </w:p>
        </w:tc>
        <w:tc>
          <w:p>
            <w:pPr>
              <w:pStyle w:val="Compact"/>
              <w:jc w:val="left"/>
            </w:pPr>
            <w:r>
              <w:t xml:space="preserve">+0,32%</w:t>
            </w:r>
          </w:p>
        </w:tc>
      </w:tr>
      <w:tr>
        <w:tc>
          <w:p>
            <w:pPr>
              <w:pStyle w:val="Compact"/>
              <w:jc w:val="left"/>
            </w:pPr>
            <w:r>
              <w:t xml:space="preserve">Modelo del total (XGBoost)</w:t>
            </w:r>
          </w:p>
        </w:tc>
        <w:tc>
          <w:p>
            <w:pPr>
              <w:pStyle w:val="Compact"/>
              <w:jc w:val="left"/>
            </w:pPr>
            <w:r>
              <w:t xml:space="preserve">3,989</w:t>
            </w:r>
          </w:p>
        </w:tc>
        <w:tc>
          <w:p>
            <w:pPr>
              <w:pStyle w:val="Compact"/>
              <w:jc w:val="left"/>
            </w:pPr>
            <w:r>
              <w:t xml:space="preserve">9,688</w:t>
            </w:r>
          </w:p>
        </w:tc>
        <w:tc>
          <w:p>
            <w:pPr>
              <w:pStyle w:val="Compact"/>
              <w:jc w:val="left"/>
            </w:pPr>
            <w:r>
              <w:t xml:space="preserve">+0,08%</w:t>
            </w:r>
          </w:p>
        </w:tc>
      </w:tr>
      <w:tr>
        <w:tc>
          <w:p>
            <w:pPr>
              <w:pStyle w:val="Compact"/>
              <w:jc w:val="left"/>
            </w:pPr>
            <w:r>
              <w:rPr>
                <w:b/>
              </w:rPr>
              <w:t xml:space="preserve">Ensamble de ambos</w:t>
            </w:r>
          </w:p>
        </w:tc>
        <w:tc>
          <w:p>
            <w:pPr>
              <w:pStyle w:val="Compact"/>
              <w:jc w:val="left"/>
            </w:pPr>
            <w:r>
              <w:rPr>
                <w:b/>
              </w:rPr>
              <w:t xml:space="preserve">3,986</w:t>
            </w:r>
          </w:p>
        </w:tc>
        <w:tc>
          <w:p>
            <w:pPr>
              <w:pStyle w:val="Compact"/>
              <w:jc w:val="left"/>
            </w:pPr>
            <w:r>
              <w:rPr>
                <w:b/>
              </w:rPr>
              <w:t xml:space="preserve">9,457</w:t>
            </w:r>
          </w:p>
        </w:tc>
        <w:tc>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 name="Picture"/>
            <a:graphic>
              <a:graphicData uri="http://schemas.openxmlformats.org/drawingml/2006/picture">
                <pic:pic>
                  <pic:nvPicPr>
                    <pic:cNvPr descr="figuras/fig_7_16.png" id="0" name="Picture"/>
                    <pic:cNvPicPr>
                      <a:picLocks noChangeArrowheads="1" noChangeAspect="1"/>
                    </pic:cNvPicPr>
                  </pic:nvPicPr>
                  <pic:blipFill>
                    <a:blip r:embed="rId116"/>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
        </w:rPr>
        <w:t xml:space="preserve">Figura 7.16.</w:t>
      </w:r>
      <w:r>
        <w:t xml:space="preserve"> </w:t>
      </w:r>
      <w:r>
        <w:t xml:space="preserve">Error y sesgo de la suma de predicciones diarias frente a los modelos del total del ciclo.</w:t>
      </w:r>
      <w:r>
        <w:t xml:space="preserve"> </w:t>
      </w:r>
      <w:r>
        <w:rPr>
          <w:i/>
        </w:rPr>
        <w:t xml:space="preserve">Fuente: elaboración propia.</w:t>
      </w:r>
    </w:p>
    <w:p>
      <w:pPr>
        <w:pStyle w:val="BodyText"/>
      </w:pPr>
      <w:r>
        <w:t xml:space="preserve">La mejora del error absoluto medio es del</w:t>
      </w:r>
      <w:r>
        <w:t xml:space="preserve"> </w:t>
      </w:r>
      <w:r>
        <w:rPr>
          <w:b/>
        </w:rPr>
        <w:t xml:space="preserve">15,7%</w:t>
      </w:r>
      <w:r>
        <w:t xml:space="preserve">, pero el resultado relevante es la última</w:t>
      </w:r>
      <w:r>
        <w:t xml:space="preserve"> </w:t>
      </w:r>
      <w:r>
        <w:t xml:space="preserve">columna: el sesgo pasa de</w:t>
      </w:r>
      <w:r>
        <w:t xml:space="preserve"> </w:t>
      </w:r>
      <w:r>
        <w:rPr>
          <w:b/>
        </w:rPr>
        <w:t xml:space="preserve">−7,41% a +0,20%</w:t>
      </w:r>
      <w:r>
        <w:t xml:space="preserve">. Sumar predicciones diarias no solo acumulaba</w:t>
      </w:r>
      <w:r>
        <w:t xml:space="preserve"> </w:t>
      </w:r>
      <w:r>
        <w:t xml:space="preserve">error, acumulaba error</w:t>
      </w:r>
      <w:r>
        <w:t xml:space="preserve"> </w:t>
      </w:r>
      <w:r>
        <w:rPr>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
        </w:rPr>
        <w:t xml:space="preserve">el error no venía del modelo</w:t>
      </w:r>
      <w:r>
        <w:rPr>
          <w:b/>
        </w:rPr>
        <w:t xml:space="preserve"> </w:t>
      </w:r>
      <w:r>
        <w:rPr>
          <w:b/>
        </w:rPr>
        <w:t xml:space="preserve">sino de cómo estaba planteado el objetivo</w:t>
      </w:r>
      <w:r>
        <w:t xml:space="preserve">. Agregar promedia el ruido y, sobre todo, entrena</w:t>
      </w:r>
      <w:r>
        <w:t xml:space="preserve"> </w:t>
      </w:r>
      <w:r>
        <w:t xml:space="preserve">exactamente sobre la cantidad que se usa para decidir.</w:t>
      </w:r>
    </w:p>
    <w:p>
      <w:pPr>
        <w:pStyle w:val="Heading3"/>
      </w:pPr>
      <w:bookmarkStart w:id="117" w:name="productos-sin-histórico"/>
      <w:r>
        <w:t xml:space="preserve">7.3.10. Productos sin histórico</w:t>
      </w:r>
      <w:bookmarkEnd w:id="117"/>
    </w:p>
    <w:p>
      <w:pPr>
        <w:pStyle w:val="FirstParagraph"/>
      </w:pPr>
      <w:r>
        <w:t xml:space="preserve">Una referencia recién incorporada al catálogo no tiene retardos ni medias móviles, es decir,</w:t>
      </w:r>
      <w:r>
        <w:t xml:space="preserve"> </w:t>
      </w:r>
      <w:r>
        <w:t xml:space="preserve">carece del 86%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Procedimiento</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Mejora sobre la referencia</w:t>
            </w:r>
          </w:p>
        </w:tc>
      </w:tr>
      <w:tr>
        <w:tc>
          <w:p>
            <w:pPr>
              <w:pStyle w:val="Compact"/>
              <w:jc w:val="left"/>
            </w:pPr>
            <w:r>
              <w:rPr>
                <w:b/>
              </w:rPr>
              <w:t xml:space="preserve">Misma referencia en la tienda más parecida</w:t>
            </w:r>
          </w:p>
        </w:tc>
        <w:tc>
          <w:p>
            <w:pPr>
              <w:pStyle w:val="Compact"/>
              <w:jc w:val="left"/>
            </w:pPr>
            <w:r>
              <w:rPr>
                <w:b/>
              </w:rPr>
              <w:t xml:space="preserve">0,918</w:t>
            </w:r>
          </w:p>
        </w:tc>
        <w:tc>
          <w:p>
            <w:pPr>
              <w:pStyle w:val="Compact"/>
              <w:jc w:val="left"/>
            </w:pPr>
            <w:r>
              <w:rPr>
                <w:b/>
              </w:rPr>
              <w:t xml:space="preserve">34,6%</w:t>
            </w:r>
          </w:p>
        </w:tc>
      </w:tr>
      <w:tr>
        <w:tc>
          <w:p>
            <w:pPr>
              <w:pStyle w:val="Compact"/>
              <w:jc w:val="left"/>
            </w:pPr>
            <w:r>
              <w:t xml:space="preserve">Modelo por atributos (categoría, departamento, tienda, precio)</w:t>
            </w:r>
          </w:p>
        </w:tc>
        <w:tc>
          <w:p>
            <w:pPr>
              <w:pStyle w:val="Compact"/>
              <w:jc w:val="left"/>
            </w:pPr>
            <w:r>
              <w:t xml:space="preserve">1,028</w:t>
            </w:r>
          </w:p>
        </w:tc>
        <w:tc>
          <w:p>
            <w:pPr>
              <w:pStyle w:val="Compact"/>
              <w:jc w:val="left"/>
            </w:pPr>
            <w:r>
              <w:t xml:space="preserve">26,8%</w:t>
            </w:r>
          </w:p>
        </w:tc>
      </w:tr>
      <w:tr>
        <w:tc>
          <w:p>
            <w:pPr>
              <w:pStyle w:val="Compact"/>
              <w:jc w:val="left"/>
            </w:pPr>
            <w:r>
              <w:t xml:space="preserve">Media del departamento en la tienda</w:t>
            </w:r>
          </w:p>
        </w:tc>
        <w:tc>
          <w:p>
            <w:pPr>
              <w:pStyle w:val="Compact"/>
              <w:jc w:val="left"/>
            </w:pPr>
            <w:r>
              <w:t xml:space="preserve">1,343</w:t>
            </w:r>
          </w:p>
        </w:tc>
        <w:tc>
          <w:p>
            <w:pPr>
              <w:pStyle w:val="Compact"/>
              <w:jc w:val="left"/>
            </w:pPr>
            <w:r>
              <w:t xml:space="preserve">4,3%</w:t>
            </w:r>
          </w:p>
        </w:tc>
      </w:tr>
      <w:tr>
        <w:tc>
          <w:p>
            <w:pPr>
              <w:pStyle w:val="Compact"/>
              <w:jc w:val="left"/>
            </w:pPr>
            <w:r>
              <w:t xml:space="preserve">Media de la categoría en la tienda (referencia)</w:t>
            </w:r>
          </w:p>
        </w:tc>
        <w:tc>
          <w:p>
            <w:pPr>
              <w:pStyle w:val="Compact"/>
              <w:jc w:val="left"/>
            </w:pPr>
            <w:r>
              <w:t xml:space="preserve">1,404</w:t>
            </w:r>
          </w:p>
        </w:tc>
        <w:tc>
          <w:p>
            <w:pPr>
              <w:pStyle w:val="Compact"/>
              <w:jc w:val="left"/>
            </w:pPr>
            <w:r>
              <w:t xml:space="preserve">—</w:t>
            </w:r>
          </w:p>
        </w:tc>
      </w:tr>
    </w:tbl>
    <w:p>
      <w:pPr>
        <w:pStyle w:val="BodyText"/>
      </w:pPr>
      <w:r>
        <w:t xml:space="preserve">El resultado interesante es que</w:t>
      </w:r>
      <w:r>
        <w:t xml:space="preserve"> </w:t>
      </w:r>
      <w:r>
        <w:rPr>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
        </w:rPr>
        <w:t xml:space="preserve">+4,6%</w:t>
      </w:r>
      <w:r>
        <w:t xml:space="preserve">), mientras que el modelo por atributos infravalora de forma apreciable</w:t>
      </w:r>
      <w:r>
        <w:t xml:space="preserve"> </w:t>
      </w:r>
      <w:r>
        <w:t xml:space="preserve">(</w:t>
      </w:r>
      <w:r>
        <w:rPr>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p>
      <w:pPr>
        <w:pStyle w:val="Heading3"/>
      </w:pPr>
      <w:bookmarkStart w:id="118" w:name="medir-por-semanas-y-modelo-final"/>
      <w:r>
        <w:t xml:space="preserve">7.3.11. Medir por semanas y modelo final</w:t>
      </w:r>
      <w:bookmarkEnd w:id="118"/>
    </w:p>
    <w:p>
      <w:pPr>
        <w:pStyle w:val="FirstParagraph"/>
      </w:pPr>
      <w:r>
        <w:rPr>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
        </w:rPr>
        <w:t xml:space="preserve">Un ejemplo concreto.</w:t>
      </w:r>
      <w:r>
        <w:t xml:space="preserve"> </w:t>
      </w:r>
      <w:r>
        <w:t xml:space="preserve">Un producto de supermercado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
        </w:rPr>
        <w:t xml:space="preserve">El modelo final</w:t>
      </w:r>
      <w:r>
        <w:t xml:space="preserve"> </w:t>
      </w:r>
      <w:r>
        <w:t xml:space="preserve">combina 400 días de historia y las variables de evento semanal, sin el grupo de</w:t>
      </w:r>
      <w:r>
        <w:t xml:space="preserve"> </w:t>
      </w:r>
      <w:r>
        <w:t xml:space="preserve">producto. En la última ventana de validación (28 de marzo a 24 de abril de 2016) obtiene un</w:t>
      </w:r>
      <w:r>
        <w:t xml:space="preserve"> </w:t>
      </w:r>
      <w:r>
        <w:t xml:space="preserve">WRMSSE de</w:t>
      </w:r>
      <w:r>
        <w:t xml:space="preserve"> </w:t>
      </w:r>
      <w:r>
        <w:rPr>
          <w:b/>
        </w:rPr>
        <w:t xml:space="preserve">1,0002</w:t>
      </w:r>
      <w:r>
        <w:t xml:space="preserve"> </w:t>
      </w:r>
      <w:r>
        <w:t xml:space="preserve">y un WAPE semanal del</w:t>
      </w:r>
      <w:r>
        <w:t xml:space="preserve"> </w:t>
      </w:r>
      <w:r>
        <w:rPr>
          <w:b/>
        </w:rPr>
        <w:t xml:space="preserve">37,8 %</w:t>
      </w:r>
      <w:r>
        <w:t xml:space="preserve"> </w:t>
      </w:r>
      <w:r>
        <w:t xml:space="preserve">frente al 38,5 % de</w:t>
      </w:r>
      <w:r>
        <w:t xml:space="preserve"> </w:t>
      </w:r>
      <w:r>
        <w:t xml:space="preserve">la media móvil. Su percentil 90 cubre el</w:t>
      </w:r>
      <w:r>
        <w:t xml:space="preserve"> </w:t>
      </w:r>
      <w:r>
        <w:rPr>
          <w:b/>
        </w:rPr>
        <w:t xml:space="preserve">89,4 %</w:t>
      </w:r>
      <w:r>
        <w:t xml:space="preserve"> </w:t>
      </w:r>
      <w:r>
        <w:t xml:space="preserve">de los días-producto, frente al 67,7 % de la</w:t>
      </w:r>
      <w:r>
        <w:t xml:space="preserve"> </w:t>
      </w:r>
      <w:r>
        <w:t xml:space="preserve">predicción media, y la media queda un 2,7 % por debajo de la demanda real. Es el modelo que genera</w:t>
      </w:r>
      <w:r>
        <w:t xml:space="preserve"> </w:t>
      </w:r>
      <w:r>
        <w:t xml:space="preserve">los ficheros de entrega (1.165.140 unidades de media y 2.640.527 de percentil 90 para el 25 de abril</w:t>
      </w:r>
      <w:r>
        <w:t xml:space="preserve"> </w:t>
      </w:r>
      <w:r>
        <w:t xml:space="preserve">al 22 de mayo de 2016) y el que usa la simulación de §7.4.</w:t>
      </w:r>
    </w:p>
    <w:p>
      <w:pPr>
        <w:pStyle w:val="Heading3"/>
      </w:pPr>
      <w:bookmarkStart w:id="119" w:name="límites-reconocidos"/>
      <w:r>
        <w:t xml:space="preserve">7.3.12. Límites reconocidos</w:t>
      </w:r>
      <w:bookmarkEnd w:id="119"/>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9"/>
        </w:numPr>
        <w:pStyle w:val="Compact"/>
      </w:pPr>
      <w:r>
        <w:rPr>
          <w:b/>
        </w:rPr>
        <w:t xml:space="preserve">Temporada alta.</w:t>
      </w:r>
      <w:r>
        <w:t xml:space="preserve"> </w:t>
      </w:r>
      <w:r>
        <w:t xml:space="preserve">Con 400 días de historia diciembre mejora un 5,3 %,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9"/>
        </w:numPr>
        <w:pStyle w:val="Compact"/>
      </w:pPr>
      <w:r>
        <w:rPr>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9"/>
        </w:numPr>
        <w:pStyle w:val="Compact"/>
      </w:pPr>
      <w:r>
        <w:rPr>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p>
      <w:pPr>
        <w:pStyle w:val="Heading3"/>
      </w:pPr>
      <w:bookmarkStart w:id="120" w:name="qué-abre-el-capítulo-siguiente-2"/>
      <w:r>
        <w:t xml:space="preserve">7.3.13. Qué abre el capítulo siguiente</w:t>
      </w:r>
      <w:bookmarkEnd w:id="120"/>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p>
    <w:p>
      <w:pPr>
        <w:pStyle w:val="Heading2"/>
      </w:pPr>
      <w:bookmarkStart w:id="121" w:name="cuánto-hay-que-pedir"/>
      <w:r>
        <w:t xml:space="preserve">7.4. Cuánto hay que pedir</w:t>
      </w:r>
      <w:bookmarkEnd w:id="121"/>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p>
      <w:pPr>
        <w:pStyle w:val="Heading3"/>
      </w:pPr>
      <w:bookmarkStart w:id="122" w:name="X673bcba50efdeb28591d09a7d4dcbc5cd08ca99"/>
      <w:r>
        <w:t xml:space="preserve">7.4.1. El marco: el problema del vendedor de periódicos</w:t>
      </w:r>
      <w:bookmarkEnd w:id="122"/>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r>
            <m:t>(</m:t>
          </m:r>
          <m:r>
            <m:t>S</m:t>
          </m:r>
          <m:r>
            <m:t>)</m:t>
          </m:r>
          <m:r>
            <m:t>=</m:t>
          </m:r>
          <m:sSub>
            <m:e>
              <m:r>
                <m:t>C</m:t>
              </m:r>
            </m:e>
            <m:sub>
              <m:r>
                <m:t>u</m:t>
              </m:r>
            </m:sub>
          </m:sSub>
          <m:r>
            <m:t>⋅</m:t>
          </m:r>
          <m:r>
            <m:rPr>
              <m:sty m:val="p"/>
              <m:scr m:val="double-struck"/>
            </m:rPr>
            <m:t>E</m:t>
          </m:r>
          <m:r>
            <m:t>[</m:t>
          </m:r>
          <m:r>
            <m:t>(</m:t>
          </m:r>
          <m:r>
            <m:t>D</m:t>
          </m:r>
          <m:r>
            <m:t>−</m:t>
          </m:r>
          <m:r>
            <m:t>S</m:t>
          </m:r>
          <m:sSup>
            <m:e>
              <m:r>
                <m:t>)</m:t>
              </m:r>
            </m:e>
            <m:sup>
              <m:r>
                <m:t>+</m:t>
              </m:r>
            </m:sup>
          </m:sSup>
          <m:r>
            <m:t>]</m:t>
          </m:r>
          <m:r>
            <m:t>+</m:t>
          </m:r>
          <m:sSub>
            <m:e>
              <m:r>
                <m:t>C</m:t>
              </m:r>
            </m:e>
            <m:sub>
              <m:r>
                <m:t>o</m:t>
              </m:r>
            </m:sub>
          </m:sSub>
          <m:r>
            <m:t>⋅</m:t>
          </m:r>
          <m:r>
            <m:rPr>
              <m:sty m:val="p"/>
              <m:scr m:val="double-struck"/>
            </m:rPr>
            <m:t>E</m:t>
          </m:r>
          <m:r>
            <m:t>[</m:t>
          </m:r>
          <m:r>
            <m:t>(</m:t>
          </m:r>
          <m:r>
            <m:t>S</m:t>
          </m:r>
          <m:r>
            <m:t>−</m:t>
          </m:r>
          <m:r>
            <m:t>D</m:t>
          </m:r>
          <m:sSup>
            <m:e>
              <m:r>
                <m:t>)</m:t>
              </m:r>
            </m:e>
            <m:sup>
              <m:r>
                <m:t>+</m:t>
              </m:r>
            </m:sup>
          </m:sSup>
          <m:r>
            <m:t>]</m:t>
          </m:r>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
        </w:rPr>
        <w:t xml:space="preserve">cuantil</w:t>
      </w:r>
      <w:r>
        <w:t xml:space="preserve"> </w:t>
      </w:r>
      <w:r>
        <w:t xml:space="preserve">de la distribución de la</w:t>
      </w:r>
      <w:r>
        <w:t xml:space="preserve"> </w:t>
      </w:r>
      <w:r>
        <w:t xml:space="preserve">demanda, determinado por el</w:t>
      </w:r>
      <w:r>
        <w:t xml:space="preserve"> </w:t>
      </w:r>
      <w:r>
        <w:rPr>
          <w:b/>
        </w:rPr>
        <w:t xml:space="preserve">ratio crítico</w:t>
      </w:r>
      <w:r>
        <w:t xml:space="preserve">:</w:t>
      </w:r>
    </w:p>
    <w:p>
      <w:pPr>
        <w:pStyle w:val="BodyText"/>
      </w:pPr>
      <m:oMathPara>
        <m:oMathParaPr>
          <m:jc m:val="center"/>
        </m:oMathParaPr>
        <m:oMath>
          <m:sSup>
            <m:e>
              <m:r>
                <m:t>τ</m:t>
              </m:r>
            </m:e>
            <m:sup>
              <m:r>
                <m:t>*</m:t>
              </m:r>
            </m:sup>
          </m:sSup>
          <m:r>
            <m:t>=</m:t>
          </m:r>
          <m:f>
            <m:fPr>
              <m:type m:val="bar"/>
            </m:fPr>
            <m:num>
              <m:sSub>
                <m:e>
                  <m:r>
                    <m:t>C</m:t>
                  </m:r>
                </m:e>
                <m:sub>
                  <m:r>
                    <m:t>u</m:t>
                  </m:r>
                </m:sub>
              </m:sSub>
            </m:num>
            <m:den>
              <m:sSub>
                <m:e>
                  <m:r>
                    <m:t>C</m:t>
                  </m:r>
                </m:e>
                <m:sub>
                  <m:r>
                    <m:t>u</m:t>
                  </m:r>
                </m:sub>
              </m:sSub>
              <m: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t>=</m:t>
        </m:r>
        <m:r>
          <m:t>7</m:t>
        </m:r>
      </m:oMath>
      <w:r>
        <w:t xml:space="preserve"> </w:t>
      </w:r>
      <w:r>
        <w:t xml:space="preserve">y</w:t>
      </w:r>
      <w:r>
        <w:t xml:space="preserve"> </w:t>
      </w:r>
      <m:oMath>
        <m:r>
          <m:t>L</m:t>
        </m:r>
        <m:r>
          <m:t>=</m:t>
        </m:r>
        <m:r>
          <m:t>2</m:t>
        </m:r>
      </m:oMath>
      <w:r>
        <w:t xml:space="preserve">, cada pedido cubre nueve</w:t>
      </w:r>
      <w:r>
        <w:t xml:space="preserve"> </w:t>
      </w:r>
      <w:r>
        <w:t xml:space="preserve">días.</w:t>
      </w:r>
    </w:p>
    <w:p>
      <w:pPr>
        <w:pStyle w:val="BodyText"/>
      </w:pPr>
      <m:oMathPara>
        <m:oMathParaPr>
          <m:jc m:val="center"/>
        </m:oMathParaPr>
        <m:oMath>
          <m:r>
            <m:t>S</m:t>
          </m:r>
          <m:r>
            <m:t>=</m:t>
          </m:r>
          <m:sSub>
            <m:e>
              <m:acc>
                <m:accPr>
                  <m:chr m:val="̂"/>
                </m:accPr>
                <m:e>
                  <m:r>
                    <m:t>D</m:t>
                  </m:r>
                </m:e>
              </m:acc>
            </m:e>
            <m:sub>
              <m:r>
                <m:t>R</m:t>
              </m:r>
              <m:r>
                <m:t>+</m:t>
              </m:r>
              <m:r>
                <m:t>L</m:t>
              </m:r>
            </m:sub>
          </m:sSub>
          <m:r>
            <m:t>+</m:t>
          </m:r>
          <m:sSub>
            <m:e>
              <m:r>
                <m:t>z</m:t>
              </m:r>
            </m:e>
            <m:sub>
              <m:sSup>
                <m:e>
                  <m:r>
                    <m:t>τ</m:t>
                  </m:r>
                </m:e>
                <m:sup>
                  <m:r>
                    <m:t>*</m:t>
                  </m:r>
                </m:sup>
              </m:sSup>
            </m:sub>
          </m:sSub>
          <m:r>
            <m:t>⋅</m:t>
          </m:r>
          <m:sSub>
            <m:e>
              <m:r>
                <m:t>σ</m:t>
              </m:r>
            </m:e>
            <m:sub>
              <m:r>
                <m:t>R</m:t>
              </m:r>
              <m:r>
                <m:t>+</m:t>
              </m:r>
              <m:r>
                <m:t>L</m:t>
              </m:r>
            </m:sub>
          </m:sSub>
          <m:r>
            <m:t>  </m:t>
          </m:r>
          <m:r>
            <m:rPr>
              <m:nor/>
              <m:sty m:val="p"/>
            </m:rPr>
            <m:t>pedido</m:t>
          </m:r>
          <m:r>
            <m:t>=</m:t>
          </m:r>
          <m:r>
            <m:rPr>
              <m:nor/>
              <m:sty m:val="p"/>
            </m:rPr>
            <m:t>max</m:t>
          </m:r>
          <m:r>
            <m:t>(</m:t>
          </m:r>
          <m:r>
            <m:t>S</m:t>
          </m:r>
          <m:r>
            <m:t>−</m:t>
          </m:r>
          <m:r>
            <m:rPr>
              <m:nor/>
              <m:sty m:val="p"/>
            </m:rPr>
            <m:t>posición de inventario</m:t>
          </m:r>
          <m:r>
            <m:t>,</m:t>
          </m:r>
          <m:r>
            <m:t> </m:t>
          </m:r>
          <m:r>
            <m:t>0</m:t>
          </m:r>
          <m:r>
            <m:t>)</m:t>
          </m:r>
        </m:oMath>
      </m:oMathPara>
    </w:p>
    <w:p>
      <w:pPr>
        <w:pStyle w:val="Heading3"/>
      </w:pPr>
      <w:bookmarkStart w:id="123" w:name="una-política-híbrida-por-segmento"/>
      <w:r>
        <w:t xml:space="preserve">7.4.2. Una política híbrida por segmento</w:t>
      </w:r>
      <w:bookmarkEnd w:id="123"/>
    </w:p>
    <w:p>
      <w:pPr>
        <w:pStyle w:val="FirstParagraph"/>
      </w:pPr>
      <w:r>
        <w:t xml:space="preserve">La implementación no aplica el mismo método a todas las series. Para las de</w:t>
      </w:r>
      <w:r>
        <w:t xml:space="preserve"> </w:t>
      </w:r>
      <w:r>
        <w:rPr>
          <w:b/>
        </w:rPr>
        <w:t xml:space="preserve">clase X</w:t>
      </w:r>
      <w:r>
        <w:t xml:space="preserve"> </w:t>
      </w:r>
      <w:r>
        <w:t xml:space="preserve">—demanda</w:t>
      </w:r>
      <w:r>
        <w:t xml:space="preserve"> </w:t>
      </w:r>
      <w:r>
        <w:t xml:space="preserve">estable— el nivel objetivo se toma del percentil de las ventas históricas en ventanas de nueve días, que en esas series es fiable. Para las de</w:t>
      </w:r>
      <w:r>
        <w:t xml:space="preserve"> </w:t>
      </w:r>
      <w:r>
        <w:rPr>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p>
      <w:pPr>
        <w:pStyle w:val="Heading3"/>
      </w:pPr>
      <w:bookmarkStart w:id="124" w:name="cuánto-cuesta-la-política-actual"/>
      <w:r>
        <w:t xml:space="preserve">7.4.3. Cuánto cuesta la política actual</w:t>
      </w:r>
      <w:bookmarkEnd w:id="124"/>
    </w:p>
    <w:p>
      <w:pPr>
        <w:pStyle w:val="FirstParagraph"/>
      </w:pPr>
      <w:r>
        <w:t xml:space="preserve">La simulación se ejecutó sobre las</w:t>
      </w:r>
      <w:r>
        <w:t xml:space="preserve"> </w:t>
      </w:r>
      <w:r>
        <w:rPr>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Componente del coste</w:t>
            </w:r>
          </w:p>
        </w:tc>
        <w:tc>
          <w:tcPr>
            <w:tcBorders>
              <w:bottom w:val="single"/>
            </w:tcBorders>
            <w:vAlign w:val="bottom"/>
          </w:tcPr>
          <w:p>
            <w:pPr>
              <w:pStyle w:val="Compact"/>
              <w:jc w:val="left"/>
            </w:pPr>
            <w:r>
              <w:t xml:space="preserve">Importe (28 días)</w:t>
            </w:r>
          </w:p>
        </w:tc>
      </w:tr>
      <w:tr>
        <w:tc>
          <w:p>
            <w:pPr>
              <w:pStyle w:val="Compact"/>
              <w:jc w:val="left"/>
            </w:pPr>
            <w:r>
              <w:t xml:space="preserve">Margen perdido por rotura</w:t>
            </w:r>
          </w:p>
        </w:tc>
        <w:tc>
          <w:p>
            <w:pPr>
              <w:pStyle w:val="Compact"/>
              <w:jc w:val="left"/>
            </w:pPr>
            <w:r>
              <w:rPr>
                <w:b/>
              </w:rPr>
              <w:t xml:space="preserve">164.543 USD</w:t>
            </w:r>
          </w:p>
        </w:tc>
      </w:tr>
      <w:tr>
        <w:tc>
          <w:p>
            <w:pPr>
              <w:pStyle w:val="Compact"/>
              <w:jc w:val="left"/>
            </w:pPr>
            <w:r>
              <w:t xml:space="preserve">Coste de mantenimiento de inventario</w:t>
            </w:r>
          </w:p>
        </w:tc>
        <w:tc>
          <w:p>
            <w:pPr>
              <w:pStyle w:val="Compact"/>
              <w:jc w:val="left"/>
            </w:pPr>
            <w:r>
              <w:rPr>
                <w:b/>
              </w:rPr>
              <w:t xml:space="preserve">11.156 USD</w:t>
            </w:r>
          </w:p>
        </w:tc>
      </w:tr>
    </w:tbl>
    <w:p>
      <w:pPr>
        <w:pStyle w:val="BodyText"/>
      </w:pPr>
      <w:r>
        <w:t xml:space="preserve">La proporción es lo relevante:</w:t>
      </w:r>
      <w:r>
        <w:t xml:space="preserve"> </w:t>
      </w:r>
      <w:r>
        <w:rPr>
          <w:b/>
        </w:rPr>
        <w:t xml:space="preserve">casi quince dólares de venta perdida por cada dólar de inventario</w:t>
      </w:r>
      <w:r>
        <w:rPr>
          <w:b/>
        </w:rPr>
        <w:t xml:space="preserve"> </w:t>
      </w:r>
      <w:r>
        <w:rPr>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 name="Picture"/>
            <a:graphic>
              <a:graphicData uri="http://schemas.openxmlformats.org/drawingml/2006/picture">
                <pic:pic>
                  <pic:nvPicPr>
                    <pic:cNvPr descr="figuras/fig_7_17.png" id="0" name="Picture"/>
                    <pic:cNvPicPr>
                      <a:picLocks noChangeArrowheads="1" noChangeAspect="1"/>
                    </pic:cNvPicPr>
                  </pic:nvPicPr>
                  <pic:blipFill>
                    <a:blip r:embed="rId125"/>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
        </w:rPr>
        <w:t xml:space="preserve">Figura 7.17.</w:t>
      </w:r>
      <w:r>
        <w:t xml:space="preserve"> </w:t>
      </w:r>
      <w:r>
        <w:t xml:space="preserve">Descomposición del coste de la política de partida.</w:t>
      </w:r>
      <w:r>
        <w:t xml:space="preserve"> </w:t>
      </w:r>
      <w:r>
        <w:rPr>
          <w:i/>
        </w:rPr>
        <w:t xml:space="preserve">Fuente: elaboración propia.</w:t>
      </w:r>
    </w:p>
    <w:p>
      <w:pPr>
        <w:pStyle w:val="BodyText"/>
      </w:pPr>
      <w:r>
        <w:t xml:space="preserve">Aplicando la política híbrida con un objetivo del 90%, el nivel de servicio pasa del</w:t>
      </w:r>
      <w:r>
        <w:t xml:space="preserve"> </w:t>
      </w:r>
      <w:r>
        <w:rPr>
          <w:b/>
        </w:rPr>
        <w:t xml:space="preserve">86,6% al</w:t>
      </w:r>
      <w:r>
        <w:rPr>
          <w:b/>
        </w:rPr>
        <w:t xml:space="preserve"> </w:t>
      </w:r>
      <w:r>
        <w:rPr>
          <w:b/>
        </w:rPr>
        <w:t xml:space="preserve">96,2%</w:t>
      </w:r>
      <w:r>
        <w:t xml:space="preserve"> </w:t>
      </w:r>
      <w:r>
        <w:t xml:space="preserve">y el coste total desciende un</w:t>
      </w:r>
      <w:r>
        <w:t xml:space="preserve"> </w:t>
      </w:r>
      <w:r>
        <w:rPr>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p>
      <w:pPr>
        <w:pStyle w:val="Heading3"/>
      </w:pPr>
      <w:bookmarkStart w:id="126" w:name="Xa1237f68e44745741121975f12246553301a5bb"/>
      <w:r>
        <w:t xml:space="preserve">7.4.4. La simulación refuta la conclusión del capítulo anterior</w:t>
      </w:r>
      <w:bookmarkEnd w:id="126"/>
    </w:p>
    <w:p>
      <w:pPr>
        <w:pStyle w:val="FirstParagraph"/>
      </w:pPr>
      <w:r>
        <w:t xml:space="preserve">En §7.3 el grupo de producto con menor error de predicción era Alta rotación diaria</w:t>
      </w:r>
      <w:r>
        <w:t xml:space="preserve"> </w:t>
      </w:r>
      <w:r>
        <w:t xml:space="preserve">(WAPE semanal del 35 %) y uno de los de mayor error, Venta esporádica con pico en eventos (68 %).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Efecto de usar el modelo frente a la regla histórica</w:t>
            </w:r>
          </w:p>
        </w:tc>
      </w:tr>
      <w:tr>
        <w:tc>
          <w:p>
            <w:pPr>
              <w:pStyle w:val="Compact"/>
              <w:jc w:val="left"/>
            </w:pPr>
            <w:r>
              <w:t xml:space="preserve">Clase Z (demanda errática)</w:t>
            </w:r>
          </w:p>
        </w:tc>
        <w:tc>
          <w:p>
            <w:pPr>
              <w:pStyle w:val="Compact"/>
              <w:jc w:val="left"/>
            </w:pPr>
            <w:r>
              <w:rPr>
                <w:b/>
              </w:rPr>
              <w:t xml:space="preserve">+18,1%</w:t>
            </w:r>
            <w:r>
              <w:t xml:space="preserve"> </w:t>
            </w:r>
            <w:r>
              <w:t xml:space="preserve">de mejora en coste</w:t>
            </w:r>
          </w:p>
        </w:tc>
      </w:tr>
      <w:tr>
        <w:tc>
          <w:p>
            <w:pPr>
              <w:pStyle w:val="Compact"/>
              <w:jc w:val="left"/>
            </w:pPr>
            <w:r>
              <w:t xml:space="preserve">Venta esporádica con pico en eventos</w:t>
            </w:r>
          </w:p>
        </w:tc>
        <w:tc>
          <w:p>
            <w:pPr>
              <w:pStyle w:val="Compact"/>
              <w:jc w:val="left"/>
            </w:pPr>
            <w:r>
              <w:rPr>
                <w:b/>
              </w:rPr>
              <w:t xml:space="preserve">+26,2%</w:t>
            </w:r>
          </w:p>
        </w:tc>
      </w:tr>
      <w:tr>
        <w:tc>
          <w:p>
            <w:pPr>
              <w:pStyle w:val="Compact"/>
              <w:jc w:val="left"/>
            </w:pPr>
            <w:r>
              <w:t xml:space="preserve">Clase Y</w:t>
            </w:r>
          </w:p>
        </w:tc>
        <w:tc>
          <w:p>
            <w:pPr>
              <w:pStyle w:val="Compact"/>
              <w:jc w:val="left"/>
            </w:pPr>
            <w:r>
              <w:t xml:space="preserve">−0,2% (empate)</w:t>
            </w:r>
          </w:p>
        </w:tc>
      </w:tr>
      <w:tr>
        <w:tc>
          <w:p>
            <w:pPr>
              <w:pStyle w:val="Compact"/>
              <w:jc w:val="left"/>
            </w:pPr>
            <w:r>
              <w:t xml:space="preserve">Clase X (demanda estable)</w:t>
            </w:r>
          </w:p>
        </w:tc>
        <w:tc>
          <w:p>
            <w:pPr>
              <w:pStyle w:val="Compact"/>
              <w:jc w:val="left"/>
            </w:pPr>
            <w:r>
              <w:rPr>
                <w:b/>
              </w:rPr>
              <w:t xml:space="preserve">−7,8%</w:t>
            </w:r>
            <w:r>
              <w:t xml:space="preserve">: el modelo empeora el resultado</w:t>
            </w:r>
          </w:p>
        </w:tc>
      </w:tr>
      <w:tr>
        <w:tc>
          <w:p>
            <w:pPr>
              <w:pStyle w:val="Compact"/>
              <w:jc w:val="left"/>
            </w:pPr>
            <w:r>
              <w:t xml:space="preserve">Alta rotación diaria</w:t>
            </w:r>
          </w:p>
        </w:tc>
        <w:tc>
          <w:p>
            <w:pPr>
              <w:pStyle w:val="Compact"/>
              <w:jc w:val="left"/>
            </w:pPr>
            <w:r>
              <w:rPr>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67.600 dólares); necesita una regla de</w:t>
      </w:r>
      <w:r>
        <w:t xml:space="preserve"> </w:t>
      </w:r>
      <w:r>
        <w:t xml:space="preserve">temporada propia.</w:t>
      </w:r>
    </w:p>
    <w:p>
      <w:pPr>
        <w:pStyle w:val="BodyText"/>
      </w:pPr>
      <w:r>
        <w:t xml:space="preserve">La explicación es que en las series estables el percentil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 name="Picture"/>
            <a:graphic>
              <a:graphicData uri="http://schemas.openxmlformats.org/drawingml/2006/picture">
                <pic:pic>
                  <pic:nvPicPr>
                    <pic:cNvPr descr="figuras/fig_7_18.png" id="0" name="Picture"/>
                    <pic:cNvPicPr>
                      <a:picLocks noChangeArrowheads="1" noChangeAspect="1"/>
                    </pic:cNvPicPr>
                  </pic:nvPicPr>
                  <pic:blipFill>
                    <a:blip r:embed="rId127"/>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
        </w:rPr>
        <w:t xml:space="preserve">Figura 7.18.</w:t>
      </w:r>
      <w:r>
        <w:t xml:space="preserve"> </w:t>
      </w:r>
      <w:r>
        <w:t xml:space="preserve">Efecto de usar el modelo frente a la regla histórica, por segmento.</w:t>
      </w:r>
      <w:r>
        <w:t xml:space="preserve"> </w:t>
      </w:r>
      <w:r>
        <w:rPr>
          <w:i/>
        </w:rPr>
        <w:t xml:space="preserve">Fuente: elaboración propia.</w:t>
      </w:r>
    </w:p>
    <w:p>
      <w:pPr>
        <w:pStyle w:val="BodyText"/>
      </w:pPr>
      <w:r>
        <w:t xml:space="preserve">Este es el segundo de los cuatro momentos en que una prueba refutó una conclusión del trabajo.</w:t>
      </w:r>
      <w:r>
        <w:t xml:space="preserve"> </w:t>
      </w:r>
      <w:r>
        <w:t xml:space="preserve">Elegir la política por el RMSSE habría llevado a la decisión opuesta en ambos extremos.</w:t>
      </w:r>
    </w:p>
    <w:p>
      <w:pPr>
        <w:pStyle w:val="Heading3"/>
      </w:pPr>
      <w:bookmarkStart w:id="128" w:name="la-función-de-pérdida-correcta"/>
      <w:r>
        <w:t xml:space="preserve">7.4.5. La función de pérdida correcta</w:t>
      </w:r>
      <w:bookmarkEnd w:id="128"/>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
        </w:rPr>
        <w:t xml:space="preserve">pérdida pinball evaluada en el ratio crítico</w:t>
      </w:r>
      <w:r>
        <w:t xml:space="preserve">:</w:t>
      </w:r>
    </w:p>
    <w:p>
      <w:pPr>
        <w:pStyle w:val="BodyText"/>
      </w:pPr>
      <m:oMathPara>
        <m:oMathParaPr>
          <m:jc m:val="center"/>
        </m:oMathParaPr>
        <m:oMath>
          <m:r>
            <m:t>C</m:t>
          </m:r>
          <m:r>
            <m:t>(</m:t>
          </m:r>
          <m:r>
            <m:t>S</m:t>
          </m:r>
          <m:r>
            <m:t>)</m:t>
          </m:r>
          <m:r>
            <m:t>=</m:t>
          </m:r>
          <m:r>
            <m:t>(</m:t>
          </m:r>
          <m:sSub>
            <m:e>
              <m:r>
                <m:t>C</m:t>
              </m:r>
            </m:e>
            <m:sub>
              <m:r>
                <m:t>u</m:t>
              </m:r>
            </m:sub>
          </m:sSub>
          <m:r>
            <m:t>+</m:t>
          </m:r>
          <m:sSub>
            <m:e>
              <m:r>
                <m:t>C</m:t>
              </m:r>
            </m:e>
            <m:sub>
              <m:r>
                <m:t>o</m:t>
              </m:r>
            </m:sub>
          </m:sSub>
          <m:r>
            <m:t>)</m:t>
          </m:r>
          <m:r>
            <m:t>⋅</m:t>
          </m:r>
          <m:sSub>
            <m:e>
              <m:r>
                <m:t>L</m:t>
              </m:r>
            </m:e>
            <m:sub>
              <m:sSup>
                <m:e>
                  <m:r>
                    <m:t>τ</m:t>
                  </m:r>
                </m:e>
                <m:sup>
                  <m:r>
                    <m:t>*</m:t>
                  </m:r>
                </m:sup>
              </m:sSup>
            </m:sub>
          </m:sSub>
          <m:r>
            <m:t>(</m:t>
          </m:r>
          <m:r>
            <m:t>D</m:t>
          </m:r>
          <m:r>
            <m:t>−</m:t>
          </m:r>
          <m:r>
            <m:t>S</m:t>
          </m:r>
          <m:r>
            <m:t>)</m:t>
          </m:r>
        </m:oMath>
      </m:oMathPara>
    </w:p>
    <w:p>
      <w:pPr>
        <w:pStyle w:val="FirstParagraph"/>
      </w:pPr>
      <w:r>
        <w:t xml:space="preserve">De esta identidad se siguen tres consecuencias.</w:t>
      </w:r>
    </w:p>
    <w:p>
      <w:pPr>
        <w:pStyle w:val="BodyText"/>
      </w:pPr>
      <w:r>
        <w:rPr>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t>*</m:t>
            </m:r>
          </m:sup>
        </m:sSup>
        <m:r>
          <m:t>≈</m:t>
        </m:r>
        <m:r>
          <m:t>0</m:t>
        </m:r>
        <m:r>
          <m:t>,</m:t>
        </m:r>
        <m:r>
          <m:t>83</m:t>
        </m:r>
      </m:oMath>
      <w:r>
        <w:t xml:space="preserve">; con un producto perecedero de merma del 20%,</w:t>
      </w:r>
      <w:r>
        <w:t xml:space="preserve"> </w:t>
      </w:r>
      <m:oMath>
        <m:sSup>
          <m:e>
            <m:r>
              <m:t>τ</m:t>
            </m:r>
          </m:e>
          <m:sup>
            <m:r>
              <m:t>*</m:t>
            </m:r>
          </m:sup>
        </m:sSup>
        <m:r>
          <m:t>≈</m:t>
        </m:r>
        <m:r>
          <m:t>0</m:t>
        </m:r>
        <m:r>
          <m:t>,</m:t>
        </m:r>
        <m:r>
          <m:t>50</m:t>
        </m:r>
      </m:oMath>
      <w:r>
        <w:t xml:space="preserve">. La distancia respecto del 0,90 uniforme es considerable, y la</w:t>
      </w:r>
      <w:r>
        <w:t xml:space="preserve"> </w:t>
      </w:r>
      <w:r>
        <w:t xml:space="preserve">consecuencia es que hoy el sistema pide de más en unos productos y de menos en otros.</w:t>
      </w:r>
    </w:p>
    <w:p>
      <w:pPr>
        <w:pStyle w:val="BodyText"/>
      </w:pPr>
      <w:r>
        <w:rPr>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Candidato</w:t>
            </w:r>
          </w:p>
        </w:tc>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Coste (USD)</w:t>
            </w:r>
          </w:p>
        </w:tc>
        <w:tc>
          <w:tcPr>
            <w:tcBorders>
              <w:bottom w:val="single"/>
            </w:tcBorders>
            <w:vAlign w:val="bottom"/>
          </w:tcPr>
          <w:p>
            <w:pPr>
              <w:pStyle w:val="Compact"/>
              <w:jc w:val="left"/>
            </w:pPr>
            <w:r>
              <w:t xml:space="preserve">Nivel de servicio</w:t>
            </w:r>
          </w:p>
        </w:tc>
      </w:tr>
      <w:tr>
        <w:tc>
          <w:p>
            <w:pPr>
              <w:pStyle w:val="Compact"/>
              <w:jc w:val="left"/>
            </w:pPr>
            <w:r>
              <w:rPr>
                <w:b/>
              </w:rPr>
              <w:t xml:space="preserve">B · LightGBM + desviación histórica</w:t>
            </w:r>
          </w:p>
        </w:tc>
        <w:tc>
          <w:p>
            <w:pPr>
              <w:pStyle w:val="Compact"/>
              <w:jc w:val="left"/>
            </w:pPr>
            <w:r>
              <w:rPr>
                <w:b/>
              </w:rPr>
              <w:t xml:space="preserve">0,837</w:t>
            </w:r>
          </w:p>
        </w:tc>
        <w:tc>
          <w:p>
            <w:pPr>
              <w:pStyle w:val="Compact"/>
              <w:jc w:val="left"/>
            </w:pPr>
            <w:r>
              <w:rPr>
                <w:b/>
              </w:rPr>
              <w:t xml:space="preserve">256.451</w:t>
            </w:r>
          </w:p>
        </w:tc>
        <w:tc>
          <w:p>
            <w:pPr>
              <w:pStyle w:val="Compact"/>
              <w:jc w:val="left"/>
            </w:pPr>
            <w:r>
              <w:t xml:space="preserve">88,9%</w:t>
            </w:r>
          </w:p>
        </w:tc>
      </w:tr>
      <w:tr>
        <w:tc>
          <w:p>
            <w:pPr>
              <w:pStyle w:val="Compact"/>
              <w:jc w:val="left"/>
            </w:pPr>
            <w:r>
              <w:t xml:space="preserve">A · media móvil + normal</w:t>
            </w:r>
          </w:p>
        </w:tc>
        <w:tc>
          <w:p>
            <w:pPr>
              <w:pStyle w:val="Compact"/>
              <w:jc w:val="left"/>
            </w:pPr>
            <w:r>
              <w:t xml:space="preserve">0,867</w:t>
            </w:r>
          </w:p>
        </w:tc>
        <w:tc>
          <w:p>
            <w:pPr>
              <w:pStyle w:val="Compact"/>
              <w:jc w:val="left"/>
            </w:pPr>
            <w:r>
              <w:t xml:space="preserve">263.907</w:t>
            </w:r>
          </w:p>
        </w:tc>
        <w:tc>
          <w:p>
            <w:pPr>
              <w:pStyle w:val="Compact"/>
              <w:jc w:val="left"/>
            </w:pPr>
            <w:r>
              <w:t xml:space="preserve">89,0%</w:t>
            </w:r>
          </w:p>
        </w:tc>
      </w:tr>
      <w:tr>
        <w:tc>
          <w:p>
            <w:pPr>
              <w:pStyle w:val="Compact"/>
              <w:jc w:val="left"/>
            </w:pPr>
            <w:r>
              <w:t xml:space="preserve">C · LightGBM + desviación de residuos</w:t>
            </w:r>
          </w:p>
        </w:tc>
        <w:tc>
          <w:p>
            <w:pPr>
              <w:pStyle w:val="Compact"/>
              <w:jc w:val="left"/>
            </w:pPr>
            <w:r>
              <w:t xml:space="preserve">0,837</w:t>
            </w:r>
          </w:p>
        </w:tc>
        <w:tc>
          <w:p>
            <w:pPr>
              <w:pStyle w:val="Compact"/>
              <w:jc w:val="left"/>
            </w:pPr>
            <w:r>
              <w:t xml:space="preserve">265.847</w:t>
            </w:r>
          </w:p>
        </w:tc>
        <w:tc>
          <w:p>
            <w:pPr>
              <w:pStyle w:val="Compact"/>
              <w:jc w:val="left"/>
            </w:pPr>
            <w:r>
              <w:t xml:space="preserve">87,2%</w:t>
            </w:r>
          </w:p>
        </w:tc>
      </w:tr>
      <w:tr>
        <w:tc>
          <w:p>
            <w:pPr>
              <w:pStyle w:val="Compact"/>
              <w:jc w:val="left"/>
            </w:pPr>
            <w:r>
              <w:t xml:space="preserve">D · cuantílico entrenado en</w:t>
            </w:r>
            <w:r>
              <w:t xml:space="preserve"> </w:t>
            </w:r>
            <m:oMath>
              <m:sSup>
                <m:e>
                  <m:r>
                    <m:t>τ</m:t>
                  </m:r>
                </m:e>
                <m:sup>
                  <m:r>
                    <m:t>*</m:t>
                  </m:r>
                </m:sup>
              </m:sSup>
            </m:oMath>
          </w:p>
        </w:tc>
        <w:tc>
          <w:p>
            <w:pPr>
              <w:pStyle w:val="Compact"/>
              <w:jc w:val="left"/>
            </w:pPr>
            <w:r>
              <w:t xml:space="preserve">0,916</w:t>
            </w:r>
          </w:p>
        </w:tc>
        <w:tc>
          <w:p>
            <w:pPr>
              <w:pStyle w:val="Compact"/>
              <w:jc w:val="left"/>
            </w:pPr>
            <w:r>
              <w:t xml:space="preserve">315.090</w:t>
            </w:r>
          </w:p>
        </w:tc>
        <w:tc>
          <w:p>
            <w:pPr>
              <w:pStyle w:val="Compact"/>
              <w:jc w:val="left"/>
            </w:pPr>
            <w:r>
              <w:t xml:space="preserve">88,7%</w:t>
            </w:r>
          </w:p>
        </w:tc>
      </w:tr>
      <w:tr>
        <w:tc>
          <w:p>
            <w:pPr>
              <w:pStyle w:val="Compact"/>
              <w:jc w:val="left"/>
            </w:pPr>
            <w:r>
              <w:t xml:space="preserve">E · cuantílico en 0,90 fijo</w:t>
            </w:r>
          </w:p>
        </w:tc>
        <w:tc>
          <w:p>
            <w:pPr>
              <w:pStyle w:val="Compact"/>
              <w:jc w:val="left"/>
            </w:pPr>
            <w:r>
              <w:t xml:space="preserve">1,395</w:t>
            </w:r>
          </w:p>
        </w:tc>
        <w:tc>
          <w:p>
            <w:pPr>
              <w:pStyle w:val="Compact"/>
              <w:jc w:val="left"/>
            </w:pPr>
            <w:r>
              <w:rPr>
                <w:b/>
              </w:rPr>
              <w:t xml:space="preserve">628.935</w:t>
            </w:r>
          </w:p>
        </w:tc>
        <w:tc>
          <w:p>
            <w:pPr>
              <w:pStyle w:val="Compact"/>
              <w:jc w:val="left"/>
            </w:pPr>
            <w:r>
              <w:t xml:space="preserve">98,6%</w:t>
            </w:r>
          </w:p>
        </w:tc>
      </w:tr>
    </w:tbl>
    <w:p>
      <w:pPr>
        <w:pStyle w:val="BodyText"/>
      </w:pPr>
      <w:r>
        <w:rPr>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
        </w:rPr>
        <w:t xml:space="preserve">La fila E es la política que</w:t>
      </w:r>
      <w:r>
        <w:rPr>
          <w:b/>
        </w:rPr>
        <w:t xml:space="preserve"> </w:t>
      </w:r>
      <w:r>
        <w:rPr>
          <w:b/>
        </w:rPr>
        <w:t xml:space="preserve">el trabajo venía aplicando</w:t>
      </w:r>
      <w:r>
        <w:t xml:space="preserve">, con nivel de servicio fijado en 0,90 para todos los segmentos, y</w:t>
      </w:r>
      <w:r>
        <w:t xml:space="preserve"> </w:t>
      </w:r>
      <w:r>
        <w:t xml:space="preserve">resulta ser</w:t>
      </w:r>
      <w:r>
        <w:t xml:space="preserve"> </w:t>
      </w:r>
      <w:r>
        <w:rPr>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coste de posesión del 5% y merma del 5%, el ratio crítico es</w:t>
      </w:r>
      <w:r>
        <w:t xml:space="preserve"> </w:t>
      </w:r>
      <w:r>
        <w:rPr>
          <w:b/>
        </w:rPr>
        <w:t xml:space="preserve">0,714</w:t>
      </w:r>
      <w:r>
        <w:t xml:space="preserve">, no 0,90.</w:t>
      </w:r>
    </w:p>
    <w:p>
      <w:pPr>
        <w:pStyle w:val="BodyText"/>
      </w:pPr>
      <w:r>
        <w:t xml:space="preserve">Es decir: la pregunta por la función de pérdida no cambió el modelo, cambió</w:t>
      </w:r>
      <w:r>
        <w:t xml:space="preserve"> </w:t>
      </w:r>
      <w:r>
        <w:rPr>
          <w:b/>
        </w:rPr>
        <w:t xml:space="preserve">el nivel de</w:t>
      </w:r>
      <w:r>
        <w:rPr>
          <w:b/>
        </w:rPr>
        <w:t xml:space="preserve"> </w:t>
      </w:r>
      <w:r>
        <w:rPr>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 name="Picture"/>
            <a:graphic>
              <a:graphicData uri="http://schemas.openxmlformats.org/drawingml/2006/picture">
                <pic:pic>
                  <pic:nvPicPr>
                    <pic:cNvPr descr="figuras/fig_7_19.png" id="0" name="Picture"/>
                    <pic:cNvPicPr>
                      <a:picLocks noChangeArrowheads="1" noChangeAspect="1"/>
                    </pic:cNvPicPr>
                  </pic:nvPicPr>
                  <pic:blipFill>
                    <a:blip r:embed="rId129"/>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
        </w:rPr>
        <w:t xml:space="preserve">Figura 7.19.</w:t>
      </w:r>
      <w:r>
        <w:t xml:space="preserve"> </w:t>
      </w:r>
      <w:r>
        <w:t xml:space="preserve">Coste total del período por candidato de modelo y nivel de servicio alcanzado.</w:t>
      </w:r>
      <w:r>
        <w:t xml:space="preserve"> </w:t>
      </w:r>
      <w:r>
        <w:rPr>
          <w:i/>
        </w:rPr>
        <w:t xml:space="preserve">Fuente: elaboración propia.</w:t>
      </w:r>
    </w:p>
    <w:p>
      <w:pPr>
        <w:pStyle w:val="BodyText"/>
      </w:pPr>
      <w:r>
        <w:rPr>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p>
      <w:pPr>
        <w:pStyle w:val="Heading3"/>
      </w:pPr>
      <w:bookmarkStart w:id="130" w:name="Xbf4a07bd22212f91c28182313c7a855310137a2"/>
      <w:r>
        <w:t xml:space="preserve">7.4.6. La curva de servicio y quién decide el óptimo</w:t>
      </w:r>
      <w:bookmarkEnd w:id="130"/>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Supuesto de merma sobre el remanente</w:t>
            </w:r>
          </w:p>
        </w:tc>
        <w:tc>
          <w:tcPr>
            <w:tcBorders>
              <w:bottom w:val="single"/>
            </w:tcBorders>
            <w:vAlign w:val="bottom"/>
          </w:tcPr>
          <w:p>
            <w:pPr>
              <w:pStyle w:val="Compact"/>
              <w:jc w:val="left"/>
            </w:pPr>
            <w:r>
              <w:t xml:space="preserve">Nivel de servicio óptimo</w:t>
            </w:r>
          </w:p>
        </w:tc>
      </w:tr>
      <w:tr>
        <w:tc>
          <w:p>
            <w:pPr>
              <w:pStyle w:val="Compact"/>
              <w:jc w:val="left"/>
            </w:pPr>
            <w:r>
              <w:t xml:space="preserve">0%</w:t>
            </w:r>
          </w:p>
        </w:tc>
        <w:tc>
          <w:p>
            <w:pPr>
              <w:pStyle w:val="Compact"/>
              <w:jc w:val="left"/>
            </w:pPr>
            <w:r>
              <w:t xml:space="preserve">99%</w:t>
            </w:r>
          </w:p>
        </w:tc>
      </w:tr>
      <w:tr>
        <w:tc>
          <w:p>
            <w:pPr>
              <w:pStyle w:val="Compact"/>
              <w:jc w:val="left"/>
            </w:pPr>
            <w:r>
              <w:t xml:space="preserve">10%</w:t>
            </w:r>
          </w:p>
        </w:tc>
        <w:tc>
          <w:p>
            <w:pPr>
              <w:pStyle w:val="Compact"/>
              <w:jc w:val="left"/>
            </w:pPr>
            <w:r>
              <w:t xml:space="preserve">90%</w:t>
            </w:r>
          </w:p>
        </w:tc>
      </w:tr>
      <w:tr>
        <w:tc>
          <w:p>
            <w:pPr>
              <w:pStyle w:val="Compact"/>
              <w:jc w:val="left"/>
            </w:pPr>
            <w:r>
              <w:t xml:space="preserve">20%</w:t>
            </w:r>
          </w:p>
        </w:tc>
        <w:tc>
          <w:p>
            <w:pPr>
              <w:pStyle w:val="Compact"/>
              <w:jc w:val="left"/>
            </w:pPr>
            <w:r>
              <w:t xml:space="preserve">80%</w:t>
            </w:r>
          </w:p>
        </w:tc>
      </w:tr>
    </w:tbl>
    <w:p>
      <w:pPr>
        <w:pStyle w:val="BodyText"/>
      </w:pPr>
      <w:r>
        <w:t xml:space="preserve">Y el contraste que da sentido a la tabla:</w:t>
      </w:r>
      <w:r>
        <w:t xml:space="preserve"> </w:t>
      </w:r>
      <w:r>
        <w:rPr>
          <w:b/>
        </w:rPr>
        <w:t xml:space="preserve">mover el margen bruto entre el 10% y el 35% deja el</w:t>
      </w:r>
      <w:r>
        <w:rPr>
          <w:b/>
        </w:rPr>
        <w:t xml:space="preserve"> </w:t>
      </w:r>
      <w:r>
        <w:rPr>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 name="Picture"/>
            <a:graphic>
              <a:graphicData uri="http://schemas.openxmlformats.org/drawingml/2006/picture">
                <pic:pic>
                  <pic:nvPicPr>
                    <pic:cNvPr descr="figuras/fig_7_20.png" id="0" name="Picture"/>
                    <pic:cNvPicPr>
                      <a:picLocks noChangeArrowheads="1" noChangeAspect="1"/>
                    </pic:cNvPicPr>
                  </pic:nvPicPr>
                  <pic:blipFill>
                    <a:blip r:embed="rId131"/>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
        </w:rPr>
        <w:t xml:space="preserve">Figura 7.20.</w:t>
      </w:r>
      <w:r>
        <w:t xml:space="preserve"> </w:t>
      </w:r>
      <w:r>
        <w:t xml:space="preserve">Coste total por nivel de servicio objetivo y supuesto de merma.</w:t>
      </w:r>
      <w:r>
        <w:t xml:space="preserve"> </w:t>
      </w:r>
      <w:r>
        <w:rPr>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
        </w:rPr>
        <w:t xml:space="preserve">128%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p>
      <w:pPr>
        <w:pStyle w:val="Heading3"/>
      </w:pPr>
      <w:bookmarkStart w:id="132" w:name="cuánta-demanda-no-estamos-viendo"/>
      <w:r>
        <w:t xml:space="preserve">7.4.7. Cuánta demanda no estamos viendo</w:t>
      </w:r>
      <w:bookmarkEnd w:id="132"/>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Longitud de la racha</w:t>
            </w:r>
          </w:p>
        </w:tc>
        <w:tc>
          <w:tcPr>
            <w:tcBorders>
              <w:bottom w:val="single"/>
            </w:tcBorders>
            <w:vAlign w:val="bottom"/>
          </w:tcPr>
          <w:p>
            <w:pPr>
              <w:pStyle w:val="Compact"/>
              <w:jc w:val="left"/>
            </w:pPr>
            <w:r>
              <w:t xml:space="preserve">Observado</w:t>
            </w:r>
          </w:p>
        </w:tc>
        <w:tc>
          <w:tcPr>
            <w:tcBorders>
              <w:bottom w:val="single"/>
            </w:tcBorders>
            <w:vAlign w:val="bottom"/>
          </w:tcPr>
          <w:p>
            <w:pPr>
              <w:pStyle w:val="Compact"/>
              <w:jc w:val="left"/>
            </w:pPr>
            <w:r>
              <w:t xml:space="preserve">Esperable por azar</w:t>
            </w:r>
          </w:p>
        </w:tc>
        <w:tc>
          <w:tcPr>
            <w:tcBorders>
              <w:bottom w:val="single"/>
            </w:tcBorders>
            <w:vAlign w:val="bottom"/>
          </w:tcPr>
          <w:p>
            <w:pPr>
              <w:pStyle w:val="Compact"/>
              <w:jc w:val="left"/>
            </w:pPr>
            <w:r>
              <w:t xml:space="preserve">Exceso</w:t>
            </w:r>
          </w:p>
        </w:tc>
      </w:tr>
      <w:tr>
        <w:tc>
          <w:p>
            <w:pPr>
              <w:pStyle w:val="Compact"/>
              <w:jc w:val="left"/>
            </w:pPr>
            <w:r>
              <w:t xml:space="preserve">≥ 2 días</w:t>
            </w:r>
          </w:p>
        </w:tc>
        <w:tc>
          <w:p>
            <w:pPr>
              <w:pStyle w:val="Compact"/>
              <w:jc w:val="left"/>
            </w:pPr>
            <w:r>
              <w:t xml:space="preserve">26,37%</w:t>
            </w:r>
          </w:p>
        </w:tc>
        <w:tc>
          <w:p>
            <w:pPr>
              <w:pStyle w:val="Compact"/>
              <w:jc w:val="left"/>
            </w:pPr>
            <w:r>
              <w:t xml:space="preserve">8,11%</w:t>
            </w:r>
          </w:p>
        </w:tc>
        <w:tc>
          <w:p>
            <w:pPr>
              <w:pStyle w:val="Compact"/>
              <w:jc w:val="left"/>
            </w:pPr>
            <w:r>
              <w:t xml:space="preserve">+18,3 pp</w:t>
            </w:r>
          </w:p>
        </w:tc>
      </w:tr>
      <w:tr>
        <w:tc>
          <w:p>
            <w:pPr>
              <w:pStyle w:val="Compact"/>
              <w:jc w:val="left"/>
            </w:pPr>
            <w:r>
              <w:t xml:space="preserve">≥ 3 días</w:t>
            </w:r>
          </w:p>
        </w:tc>
        <w:tc>
          <w:p>
            <w:pPr>
              <w:pStyle w:val="Compact"/>
              <w:jc w:val="left"/>
            </w:pPr>
            <w:r>
              <w:t xml:space="preserve">11,66%</w:t>
            </w:r>
          </w:p>
        </w:tc>
        <w:tc>
          <w:p>
            <w:pPr>
              <w:pStyle w:val="Compact"/>
              <w:jc w:val="left"/>
            </w:pPr>
            <w:r>
              <w:t xml:space="preserve">0,99%</w:t>
            </w:r>
          </w:p>
        </w:tc>
        <w:tc>
          <w:p>
            <w:pPr>
              <w:pStyle w:val="Compact"/>
              <w:jc w:val="left"/>
            </w:pPr>
            <w:r>
              <w:t xml:space="preserve">+10,7 pp</w:t>
            </w:r>
          </w:p>
        </w:tc>
      </w:tr>
      <w:tr>
        <w:tc>
          <w:p>
            <w:pPr>
              <w:pStyle w:val="Compact"/>
              <w:jc w:val="left"/>
            </w:pPr>
            <w:r>
              <w:t xml:space="preserve">≥ 4 días</w:t>
            </w:r>
          </w:p>
        </w:tc>
        <w:tc>
          <w:p>
            <w:pPr>
              <w:pStyle w:val="Compact"/>
              <w:jc w:val="left"/>
            </w:pPr>
            <w:r>
              <w:t xml:space="preserve">6,78%</w:t>
            </w:r>
          </w:p>
        </w:tc>
        <w:tc>
          <w:p>
            <w:pPr>
              <w:pStyle w:val="Compact"/>
              <w:jc w:val="left"/>
            </w:pPr>
            <w:r>
              <w:t xml:space="preserve">0,15%</w:t>
            </w:r>
          </w:p>
        </w:tc>
        <w:tc>
          <w:p>
            <w:pPr>
              <w:pStyle w:val="Compact"/>
              <w:jc w:val="left"/>
            </w:pPr>
            <w:r>
              <w:t xml:space="preserve">+6,6 pp</w:t>
            </w:r>
          </w:p>
        </w:tc>
      </w:tr>
      <w:tr>
        <w:tc>
          <w:p>
            <w:pPr>
              <w:pStyle w:val="Compact"/>
              <w:jc w:val="left"/>
            </w:pPr>
            <w:r>
              <w:t xml:space="preserve">≥ 5 días</w:t>
            </w:r>
          </w:p>
        </w:tc>
        <w:tc>
          <w:p>
            <w:pPr>
              <w:pStyle w:val="Compact"/>
              <w:jc w:val="left"/>
            </w:pPr>
            <w:r>
              <w:t xml:space="preserve">4,88%</w:t>
            </w:r>
          </w:p>
        </w:tc>
        <w:tc>
          <w:p>
            <w:pPr>
              <w:pStyle w:val="Compact"/>
              <w:jc w:val="left"/>
            </w:pPr>
            <w:r>
              <w:t xml:space="preserve">0,02%</w:t>
            </w:r>
          </w:p>
        </w:tc>
        <w:tc>
          <w:p>
            <w:pPr>
              <w:pStyle w:val="Compact"/>
              <w:jc w:val="left"/>
            </w:pPr>
            <w:r>
              <w:t xml:space="preserve">+4,9 pp</w:t>
            </w:r>
          </w:p>
        </w:tc>
      </w:tr>
    </w:tbl>
    <w:p>
      <w:pPr>
        <w:pStyle w:val="BodyText"/>
      </w:pPr>
      <w:r>
        <w:t xml:space="preserve">Las rachas de tres días o más resultan</w:t>
      </w:r>
      <w:r>
        <w:t xml:space="preserve"> </w:t>
      </w:r>
      <w:r>
        <w:rPr>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 name="Picture"/>
            <a:graphic>
              <a:graphicData uri="http://schemas.openxmlformats.org/drawingml/2006/picture">
                <pic:pic>
                  <pic:nvPicPr>
                    <pic:cNvPr descr="figuras/fig_7_21.png" id="0" name="Picture"/>
                    <pic:cNvPicPr>
                      <a:picLocks noChangeArrowheads="1" noChangeAspect="1"/>
                    </pic:cNvPicPr>
                  </pic:nvPicPr>
                  <pic:blipFill>
                    <a:blip r:embed="rId133"/>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
        </w:rPr>
        <w:t xml:space="preserve">Figura 7.21.</w:t>
      </w:r>
      <w:r>
        <w:t xml:space="preserve"> </w:t>
      </w:r>
      <w:r>
        <w:t xml:space="preserve">Rachas de ceros sospechosos: frecuencia observada frente a la esperable por azar.</w:t>
      </w:r>
      <w:r>
        <w:t xml:space="preserve"> </w:t>
      </w:r>
      <w:r>
        <w:rPr>
          <w:i/>
        </w:rPr>
        <w:t xml:space="preserve">Fuente: elaboración propia.</w:t>
      </w:r>
    </w:p>
    <w:p>
      <w:pPr>
        <w:pStyle w:val="BodyText"/>
      </w:pPr>
      <w:r>
        <w:rPr>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
        </w:rPr>
        <w:t xml:space="preserve">3,11 y 9,64 millones de unidades</w:t>
      </w:r>
      <w:r>
        <w:t xml:space="preserve">, es decir entre el</w:t>
      </w:r>
      <w:r>
        <w:t xml:space="preserve"> </w:t>
      </w:r>
      <w:r>
        <w:rPr>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
        </w:rPr>
        <w:t xml:space="preserve">la censura no se concentra en la cola</w:t>
      </w:r>
      <w:r>
        <w:rPr>
          <w:b/>
        </w:rPr>
        <w:t xml:space="preserve"> </w:t>
      </w:r>
      <w:r>
        <w:rPr>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
        </w:rPr>
        <w:t xml:space="preserve">AX, con 1,70 millones de unidades</w:t>
      </w:r>
      <w:r>
        <w:rPr>
          <w:b/>
        </w:rPr>
        <w:t xml:space="preserve"> </w:t>
      </w:r>
      <w:r>
        <w:rPr>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Margen perdido</w:t>
            </w:r>
          </w:p>
        </w:tc>
        <w:tc>
          <w:tcPr>
            <w:tcBorders>
              <w:bottom w:val="single"/>
            </w:tcBorders>
            <w:vAlign w:val="bottom"/>
          </w:tcPr>
          <w:p>
            <w:pPr>
              <w:pStyle w:val="Compact"/>
              <w:jc w:val="left"/>
            </w:pPr>
            <w:r>
              <w:t xml:space="preserve">Mantenimiento</w:t>
            </w:r>
          </w:p>
        </w:tc>
        <w:tc>
          <w:tcPr>
            <w:tcBorders>
              <w:bottom w:val="single"/>
            </w:tcBorders>
            <w:vAlign w:val="bottom"/>
          </w:tcPr>
          <w:p>
            <w:pPr>
              <w:pStyle w:val="Compact"/>
              <w:jc w:val="left"/>
            </w:pPr>
            <w:r>
              <w:t xml:space="preserve">Proporción</w:t>
            </w:r>
          </w:p>
        </w:tc>
      </w:tr>
      <w:tr>
        <w:tc>
          <w:p>
            <w:pPr>
              <w:pStyle w:val="Compact"/>
              <w:jc w:val="left"/>
            </w:pPr>
            <w:r>
              <w:t xml:space="preserve">Medido en la simulación</w:t>
            </w:r>
          </w:p>
        </w:tc>
        <w:tc>
          <w:p>
            <w:pPr>
              <w:pStyle w:val="Compact"/>
              <w:jc w:val="left"/>
            </w:pPr>
            <w:r>
              <w:t xml:space="preserve">164.543 USD</w:t>
            </w:r>
          </w:p>
        </w:tc>
        <w:tc>
          <w:p>
            <w:pPr>
              <w:pStyle w:val="Compact"/>
              <w:jc w:val="left"/>
            </w:pPr>
            <w:r>
              <w:t xml:space="preserve">11.156 USD</w:t>
            </w:r>
          </w:p>
        </w:tc>
        <w:tc>
          <w:p>
            <w:pPr>
              <w:pStyle w:val="Compact"/>
              <w:jc w:val="left"/>
            </w:pPr>
            <w:r>
              <w:t xml:space="preserve">15 : 1</w:t>
            </w:r>
          </w:p>
        </w:tc>
      </w:tr>
      <w:tr>
        <w:tc>
          <w:p>
            <w:pPr>
              <w:pStyle w:val="Compact"/>
              <w:jc w:val="left"/>
            </w:pPr>
            <w:r>
              <w:t xml:space="preserve">Con la cota inferior de censura</w:t>
            </w:r>
          </w:p>
        </w:tc>
        <w:tc>
          <w:p>
            <w:pPr>
              <w:pStyle w:val="Compact"/>
              <w:jc w:val="left"/>
            </w:pPr>
            <w:r>
              <w:t xml:space="preserve">186.868 USD</w:t>
            </w:r>
          </w:p>
        </w:tc>
        <w:tc>
          <w:p>
            <w:pPr>
              <w:pStyle w:val="Compact"/>
              <w:jc w:val="left"/>
            </w:pPr>
            <w:r>
              <w:t xml:space="preserve">11.156 USD</w:t>
            </w:r>
          </w:p>
        </w:tc>
        <w:tc>
          <w:p>
            <w:pPr>
              <w:pStyle w:val="Compact"/>
              <w:jc w:val="left"/>
            </w:pPr>
            <w:r>
              <w:rPr>
                <w:b/>
              </w:rPr>
              <w:t xml:space="preserve">17 : 1</w:t>
            </w:r>
          </w:p>
        </w:tc>
      </w:tr>
      <w:tr>
        <w:tc>
          <w:p>
            <w:pPr>
              <w:pStyle w:val="Compact"/>
              <w:jc w:val="left"/>
            </w:pPr>
            <w:r>
              <w:t xml:space="preserve">Con la cota superior de censura</w:t>
            </w:r>
          </w:p>
        </w:tc>
        <w:tc>
          <w:p>
            <w:pPr>
              <w:pStyle w:val="Compact"/>
              <w:jc w:val="left"/>
            </w:pPr>
            <w:r>
              <w:t xml:space="preserve">338.567 USD</w:t>
            </w:r>
          </w:p>
        </w:tc>
        <w:tc>
          <w:p>
            <w:pPr>
              <w:pStyle w:val="Compact"/>
              <w:jc w:val="left"/>
            </w:pPr>
            <w:r>
              <w:t xml:space="preserve">11.156 USD</w:t>
            </w:r>
          </w:p>
        </w:tc>
        <w:tc>
          <w:p>
            <w:pPr>
              <w:pStyle w:val="Compact"/>
              <w:jc w:val="left"/>
            </w:pPr>
            <w:r>
              <w:rPr>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
        </w:rPr>
        <w:t xml:space="preserve">el inventario diario por tienda y referencia</w:t>
      </w:r>
      <w:r>
        <w:t xml:space="preserve">, porque es el único dato que convertiría</w:t>
      </w:r>
      <w:r>
        <w:t xml:space="preserve"> </w:t>
      </w:r>
      <w:r>
        <w:t xml:space="preserve">estas cotas en una medición.</w:t>
      </w:r>
    </w:p>
    <w:p>
      <w:pPr>
        <w:pStyle w:val="Heading3"/>
      </w:pPr>
      <w:bookmarkStart w:id="134" w:name="qué-abre-el-capítulo-siguiente-3"/>
      <w:r>
        <w:t xml:space="preserve">7.4.8. Qué abre el capítulo siguiente</w:t>
      </w:r>
      <w:bookmarkEnd w:id="134"/>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p>
    <w:p>
      <w:pPr>
        <w:pStyle w:val="Heading2"/>
      </w:pPr>
      <w:bookmarkStart w:id="135" w:name="se-puede-mover-el-precio"/>
      <w:r>
        <w:t xml:space="preserve">7.5. ¿Se puede mover el precio?</w:t>
      </w:r>
      <w:bookmarkEnd w:id="135"/>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
        </w:rPr>
        <w:t xml:space="preserve">con estos datos la pregunta no se puede</w:t>
      </w:r>
      <w:r>
        <w:rPr>
          <w:b/>
        </w:rPr>
        <w:t xml:space="preserve"> </w:t>
      </w:r>
      <w:r>
        <w:rPr>
          <w:b/>
        </w:rPr>
        <w:t xml:space="preserve">responder</w:t>
      </w:r>
      <w:r>
        <w:t xml:space="preserve">, y esa conclusión se sostiene sobre una prueba y no sobre una impresión.</w:t>
      </w:r>
    </w:p>
    <w:p>
      <w:pPr>
        <w:pStyle w:val="Heading3"/>
      </w:pPr>
      <w:bookmarkStart w:id="136" w:name="la-especificación"/>
      <w:r>
        <w:t xml:space="preserve">7.5.1. La especificación</w:t>
      </w:r>
      <w:bookmarkEnd w:id="136"/>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nor/>
              <m:sty m:val="p"/>
            </m:rPr>
            <m:t>log</m:t>
          </m:r>
          <m:r>
            <m:t>(</m:t>
          </m:r>
          <m:sSub>
            <m:e>
              <m:r>
                <m:t>q</m:t>
              </m:r>
            </m:e>
            <m:sub>
              <m:r>
                <m:t>i</m:t>
              </m:r>
              <m:r>
                <m:t>s</m:t>
              </m:r>
              <m:r>
                <m:t>t</m:t>
              </m:r>
            </m:sub>
          </m:sSub>
          <m:r>
            <m:t>)</m:t>
          </m:r>
          <m:r>
            <m:t>=</m:t>
          </m:r>
          <m:r>
            <m:t>β</m:t>
          </m:r>
          <m:r>
            <m:rPr>
              <m:nor/>
              <m:sty m:val="p"/>
            </m:rPr>
            <m:t>log</m:t>
          </m:r>
          <m:r>
            <m:t>(</m:t>
          </m:r>
          <m:sSub>
            <m:e>
              <m:r>
                <m:t>p</m:t>
              </m:r>
            </m:e>
            <m:sub>
              <m:r>
                <m:t>i</m:t>
              </m:r>
              <m:r>
                <m:t>s</m:t>
              </m:r>
              <m:r>
                <m:t>t</m:t>
              </m:r>
            </m:sub>
          </m:sSub>
          <m:r>
            <m:t>)</m:t>
          </m:r>
          <m:r>
            <m:t>+</m:t>
          </m:r>
          <m:sSub>
            <m:e>
              <m:r>
                <m:t>α</m:t>
              </m:r>
            </m:e>
            <m:sub>
              <m:r>
                <m:t>i</m:t>
              </m:r>
              <m:r>
                <m:t>s</m:t>
              </m:r>
            </m:sub>
          </m:sSub>
          <m:r>
            <m:t>+</m:t>
          </m:r>
          <m:sSub>
            <m:e>
              <m:r>
                <m:t>γ</m:t>
              </m:r>
            </m:e>
            <m:sub>
              <m:r>
                <m:t>t</m:t>
              </m:r>
            </m:sub>
          </m:sSub>
          <m: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p>
      <w:pPr>
        <w:pStyle w:val="Heading3"/>
      </w:pPr>
      <w:bookmarkStart w:id="137" w:name="un-resultado-excelente"/>
      <w:r>
        <w:t xml:space="preserve">7.5.2. Un resultado excelente</w:t>
      </w:r>
      <w:bookmarkEnd w:id="137"/>
    </w:p>
    <w:p>
      <w:pPr>
        <w:pStyle w:val="FirstParagraph"/>
      </w:pPr>
      <w:r>
        <w:t xml:space="preserve">La estimación arroja una elasticidad de</w:t>
      </w:r>
      <w:r>
        <w:t xml:space="preserve"> </w:t>
      </w:r>
      <w:r>
        <w:rPr>
          <w:b/>
        </w:rPr>
        <w:t xml:space="preserve">−0,395</w:t>
      </w:r>
      <w:r>
        <w:t xml:space="preserve"> </w:t>
      </w:r>
      <w:r>
        <w:t xml:space="preserve">con un estadístico</w:t>
      </w:r>
      <w:r>
        <w:t xml:space="preserve"> </w:t>
      </w:r>
      <m:oMath>
        <m:r>
          <m:t>t</m:t>
        </m:r>
      </m:oMath>
      <w:r>
        <w:t xml:space="preserve"> </w:t>
      </w:r>
      <w:r>
        <w:t xml:space="preserve">de</w:t>
      </w:r>
      <w:r>
        <w:t xml:space="preserve"> </w:t>
      </w:r>
      <w:r>
        <w:rPr>
          <w:b/>
        </w:rPr>
        <w:t xml:space="preserve">−19,3</w:t>
      </w:r>
      <w:r>
        <w:t xml:space="preserve">. El signo</w:t>
      </w:r>
      <w:r>
        <w:t xml:space="preserve"> </w:t>
      </w:r>
      <w:r>
        <w:t xml:space="preserve">es el correcto, la magnitud es plausible para bienes de gran consumo,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 name="Picture"/>
            <a:graphic>
              <a:graphicData uri="http://schemas.openxmlformats.org/drawingml/2006/picture">
                <pic:pic>
                  <pic:nvPicPr>
                    <pic:cNvPr descr="figuras/fig_7_22.png" id="0" name="Picture"/>
                    <pic:cNvPicPr>
                      <a:picLocks noChangeArrowheads="1" noChangeAspect="1"/>
                    </pic:cNvPicPr>
                  </pic:nvPicPr>
                  <pic:blipFill>
                    <a:blip r:embed="rId138"/>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
        </w:rPr>
        <w:t xml:space="preserve">Figura 7.22.</w:t>
      </w:r>
      <w:r>
        <w:t xml:space="preserve"> </w:t>
      </w:r>
      <w:r>
        <w:t xml:space="preserve">Elasticidad estimada por grupo de producto, con intervalo de confianza del 95 %.</w:t>
      </w:r>
      <w:r>
        <w:t xml:space="preserve"> </w:t>
      </w:r>
      <w:r>
        <w:rPr>
          <w:i/>
        </w:rPr>
        <w:t xml:space="preserve">Fuente: elaboración propia.</w:t>
      </w:r>
    </w:p>
    <w:p>
      <w:pPr>
        <w:pStyle w:val="Heading3"/>
      </w:pPr>
      <w:bookmarkStart w:id="139" w:name="la-prueba-que-lo-derriba"/>
      <w:r>
        <w:t xml:space="preserve">7.5.3. La prueba que lo derriba</w:t>
      </w:r>
      <w:bookmarkEnd w:id="139"/>
    </w:p>
    <w:p>
      <w:pPr>
        <w:pStyle w:val="FirstParagraph"/>
      </w:pPr>
      <w:r>
        <w:t xml:space="preserve">Antes de escribirlo así, se aplicó una</w:t>
      </w:r>
      <w:r>
        <w:t xml:space="preserve"> </w:t>
      </w:r>
      <w:r>
        <w:rPr>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 name="Picture"/>
            <a:graphic>
              <a:graphicData uri="http://schemas.openxmlformats.org/drawingml/2006/picture">
                <pic:pic>
                  <pic:nvPicPr>
                    <pic:cNvPr descr="figuras/fig_7_23.png" id="0" name="Picture"/>
                    <pic:cNvPicPr>
                      <a:picLocks noChangeArrowheads="1" noChangeAspect="1"/>
                    </pic:cNvPicPr>
                  </pic:nvPicPr>
                  <pic:blipFill>
                    <a:blip r:embed="rId140"/>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
        </w:rPr>
        <w:t xml:space="preserve">Figura 7.23.</w:t>
      </w:r>
      <w:r>
        <w:t xml:space="preserve"> </w:t>
      </w:r>
      <w:r>
        <w:t xml:space="preserve">Coeficiente estimado frente al coeficiente placebo con el precio de la semana siguiente.</w:t>
      </w:r>
      <w:r>
        <w:t xml:space="preserve"> </w:t>
      </w:r>
      <w:r>
        <w:rPr>
          <w:i/>
        </w:rPr>
        <w:t xml:space="preserve">Fuente: elaboración propia.</w:t>
      </w:r>
    </w:p>
    <w:p>
      <w:pPr>
        <w:pStyle w:val="BodyText"/>
      </w:pPr>
      <w:r>
        <w:t xml:space="preserve">Como comprobación adicional se estimó el modelo en</w:t>
      </w:r>
      <w:r>
        <w:t xml:space="preserve"> </w:t>
      </w:r>
      <w:r>
        <w:rPr>
          <w:b/>
        </w:rPr>
        <w:t xml:space="preserve">primeras diferencias</w:t>
      </w:r>
      <w:r>
        <w:t xml:space="preserve">, que elimina</w:t>
      </w:r>
      <w:r>
        <w:t xml:space="preserve"> </w:t>
      </w:r>
      <w:r>
        <w:t xml:space="preserve">cualquier componente de nivel persistente. La elasticidad estimada pasa a</w:t>
      </w:r>
      <w:r>
        <w:t xml:space="preserve"> </w:t>
      </w:r>
      <w:r>
        <w:rPr>
          <w:b/>
        </w:rPr>
        <w:t xml:space="preserve">+0,02</w:t>
      </w:r>
      <w:r>
        <w:t xml:space="preserve">: el efecto</w:t>
      </w:r>
      <w:r>
        <w:t xml:space="preserve"> </w:t>
      </w:r>
      <w:r>
        <w:t xml:space="preserve">desaparece por completo.</w:t>
      </w:r>
    </w:p>
    <w:p>
      <w:pPr>
        <w:pStyle w:val="Heading3"/>
      </w:pPr>
      <w:bookmarkStart w:id="141" w:name="Xd39cd14ce4ff5a4038fd67217aae4b4b1f6b636"/>
      <w:r>
        <w:t xml:space="preserve">7.5.4. Por qué ocurre: el precio casi no se mueve</w:t>
      </w:r>
      <w:bookmarkEnd w:id="141"/>
    </w:p>
    <w:p>
      <w:pPr>
        <w:pStyle w:val="FirstParagraph"/>
      </w:pPr>
      <w:r>
        <w:t xml:space="preserve">El diagnóstico se completa con un dato descriptivo que explica la fragilidad de la estimación.</w:t>
      </w:r>
      <w:r>
        <w:t xml:space="preserve"> </w:t>
      </w:r>
      <w:r>
        <w:rPr>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p>
      <w:pPr>
        <w:pStyle w:val="Heading3"/>
      </w:pPr>
      <w:bookmarkStart w:id="142" w:name="lo-que-sí-respondería-la-pregunta"/>
      <w:r>
        <w:t xml:space="preserve">7.5.5. Lo que sí respondería la pregunta</w:t>
      </w:r>
      <w:bookmarkEnd w:id="142"/>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 name="Picture"/>
            <a:graphic>
              <a:graphicData uri="http://schemas.openxmlformats.org/drawingml/2006/picture">
                <pic:pic>
                  <pic:nvPicPr>
                    <pic:cNvPr descr="figuras/fig_7_24.png" id="0" name="Picture"/>
                    <pic:cNvPicPr>
                      <a:picLocks noChangeArrowheads="1" noChangeAspect="1"/>
                    </pic:cNvPicPr>
                  </pic:nvPicPr>
                  <pic:blipFill>
                    <a:blip r:embed="rId143"/>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
        </w:rPr>
        <w:t xml:space="preserve">Figura 7.24.</w:t>
      </w:r>
      <w:r>
        <w:t xml:space="preserve"> </w:t>
      </w:r>
      <w:r>
        <w:t xml:space="preserve">Curva de potencia frente al tamaño de muestra por brazo.</w:t>
      </w:r>
      <w:r>
        <w:t xml:space="preserve"> </w:t>
      </w:r>
      <w:r>
        <w:rPr>
          <w:i/>
        </w:rPr>
        <w:t xml:space="preserve">Fuente: elaboración propia.</w:t>
      </w:r>
    </w:p>
    <w:p>
      <w:pPr>
        <w:pStyle w:val="Heading3"/>
      </w:pPr>
      <w:bookmarkStart w:id="144" w:name="el-valor-de-un-resultado-negativo"/>
      <w:r>
        <w:t xml:space="preserve">7.5.6. El valor de un resultado negativo</w:t>
      </w:r>
      <w:bookmarkEnd w:id="144"/>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cuatro momentos en que una prueba refutó una conclusión propia del trabajo.</w:t>
      </w:r>
    </w:p>
    <w:p>
      <w:pPr>
        <w:pStyle w:val="Heading3"/>
      </w:pPr>
      <w:bookmarkStart w:id="145" w:name="qué-abre-el-capítulo-siguiente-4"/>
      <w:r>
        <w:t xml:space="preserve">7.5.7. Qué abre el capítulo siguiente</w:t>
      </w:r>
      <w:bookmarkEnd w:id="145"/>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p>
    <w:p>
      <w:pPr>
        <w:pStyle w:val="Heading2"/>
      </w:pPr>
      <w:bookmarkStart w:id="146" w:name="cómo-se-sostiene-esto-en-el-tiempo"/>
      <w:r>
        <w:t xml:space="preserve">7.6. Cómo se sostiene esto en el tiempo</w:t>
      </w:r>
      <w:bookmarkEnd w:id="146"/>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p>
      <w:pPr>
        <w:pStyle w:val="Heading3"/>
      </w:pPr>
      <w:bookmarkStart w:id="147" w:name="el-problema-que-resuelve"/>
      <w:r>
        <w:t xml:space="preserve">7.6.1. El problema que resuelve</w:t>
      </w:r>
      <w:bookmarkEnd w:id="147"/>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un conjunto de cuadernos independientes en un sistema con una única fuente de verdad.</w:t>
      </w:r>
    </w:p>
    <w:p>
      <w:pPr>
        <w:pStyle w:val="Heading3"/>
      </w:pPr>
      <w:bookmarkStart w:id="148" w:name="lo-que-se-construyó"/>
      <w:r>
        <w:t xml:space="preserve">7.6.2. Lo que se construyó</w:t>
      </w:r>
      <w:bookmarkEnd w:id="148"/>
    </w:p>
    <w:p>
      <w:pPr>
        <w:pStyle w:val="FirstParagraph"/>
      </w:pPr>
      <w:r>
        <w:rPr>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 cinco operaciones. Dispone de trece comprobaciones automáticas que verifican tanto los casos normales</w:t>
      </w:r>
      <w:r>
        <w:t xml:space="preserve"> </w:t>
      </w:r>
      <w:r>
        <w:t xml:space="preserve">como los límite.</w:t>
      </w:r>
    </w:p>
    <w:p>
      <w:pPr>
        <w:pStyle w:val="BodyText"/>
      </w:pPr>
      <w:r>
        <w:rPr>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1" name="Picture"/>
            <a:graphic>
              <a:graphicData uri="http://schemas.openxmlformats.org/drawingml/2006/picture">
                <pic:pic>
                  <pic:nvPicPr>
                    <pic:cNvPr descr="figuras/fig_7_25.png" id="0" name="Picture"/>
                    <pic:cNvPicPr>
                      <a:picLocks noChangeArrowheads="1" noChangeAspect="1"/>
                    </pic:cNvPicPr>
                  </pic:nvPicPr>
                  <pic:blipFill>
                    <a:blip r:embed="rId149"/>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
        </w:rPr>
        <w:t xml:space="preserve">Figura 7.25.</w:t>
      </w:r>
      <w:r>
        <w:t xml:space="preserve"> </w:t>
      </w:r>
      <w:r>
        <w:t xml:space="preserve">El sistema completo, de los ficheros de origen a los tres consumidores.</w:t>
      </w:r>
      <w:r>
        <w:t xml:space="preserve"> </w:t>
      </w:r>
      <w:r>
        <w:rPr>
          <w:i/>
        </w:rPr>
        <w:t xml:space="preserve">Fuente: elaboración propia.</w:t>
      </w:r>
    </w:p>
    <w:p>
      <w:pPr>
        <w:pStyle w:val="Heading3"/>
      </w:pPr>
      <w:bookmarkStart w:id="150" w:name="X681881246d7709f9cb258ce7868824ae2268875"/>
      <w:r>
        <w:t xml:space="preserve">7.6.3. La capa de lenguaje natural y su regla de diseño</w:t>
      </w:r>
      <w:bookmarkEnd w:id="150"/>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 mercancía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1" name="Picture"/>
            <a:graphic>
              <a:graphicData uri="http://schemas.openxmlformats.org/drawingml/2006/picture">
                <pic:pic>
                  <pic:nvPicPr>
                    <pic:cNvPr descr="figuras/fig_7_26.png" id="0" name="Picture"/>
                    <pic:cNvPicPr>
                      <a:picLocks noChangeArrowheads="1" noChangeAspect="1"/>
                    </pic:cNvPicPr>
                  </pic:nvPicPr>
                  <pic:blipFill>
                    <a:blip r:embed="rId151"/>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
        </w:rPr>
        <w:t xml:space="preserve">Figura 7.26.</w:t>
      </w:r>
      <w:r>
        <w:t xml:space="preserve"> </w:t>
      </w:r>
      <w:r>
        <w:t xml:space="preserve">Pantalla principal del panel de reposición («Hoy en la tienda»).</w:t>
      </w:r>
      <w:r>
        <w:t xml:space="preserve"> </w:t>
      </w:r>
      <w:r>
        <w:rPr>
          <w:i/>
        </w:rPr>
        <w:t xml:space="preserve">Fuente: captura de la aplicación en ejecución.</w:t>
      </w:r>
    </w:p>
    <w:p>
      <w:pPr>
        <w:pStyle w:val="Heading3"/>
      </w:pPr>
      <w:bookmarkStart w:id="152" w:name="las-trampas-encontradas"/>
      <w:r>
        <w:t xml:space="preserve">7.6.4. Las trampas encontradas</w:t>
      </w:r>
      <w:bookmarkEnd w:id="152"/>
    </w:p>
    <w:p>
      <w:pPr>
        <w:pStyle w:val="FirstParagraph"/>
      </w:pPr>
      <w:r>
        <w:t xml:space="preserve">Se documentan aquí varios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
        </w:rPr>
        <w:t xml:space="preserve">sin stock de seguridad</w:t>
      </w:r>
      <w:r>
        <w:t xml:space="preserve">. Y la</w:t>
      </w:r>
      <w:r>
        <w:t xml:space="preserve"> </w:t>
      </w:r>
      <w:r>
        <w:t xml:space="preserve">incidencia por segmento es la siguiente: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Predicciones cruzadas</w:t>
            </w:r>
          </w:p>
        </w:tc>
      </w:tr>
      <w:tr>
        <w:tc>
          <w:p>
            <w:pPr>
              <w:pStyle w:val="Compact"/>
              <w:jc w:val="left"/>
            </w:pPr>
            <w:r>
              <w:t xml:space="preserve">CZ</w:t>
            </w:r>
          </w:p>
        </w:tc>
        <w:tc>
          <w:p>
            <w:pPr>
              <w:pStyle w:val="Compact"/>
              <w:jc w:val="left"/>
            </w:pPr>
            <w:r>
              <w:t xml:space="preserve">10,90%</w:t>
            </w:r>
          </w:p>
        </w:tc>
      </w:tr>
      <w:tr>
        <w:tc>
          <w:p>
            <w:pPr>
              <w:pStyle w:val="Compact"/>
              <w:jc w:val="left"/>
            </w:pPr>
            <w:r>
              <w:t xml:space="preserve">BZ</w:t>
            </w:r>
          </w:p>
        </w:tc>
        <w:tc>
          <w:p>
            <w:pPr>
              <w:pStyle w:val="Compact"/>
              <w:jc w:val="left"/>
            </w:pPr>
            <w:r>
              <w:t xml:space="preserve">0,78%</w:t>
            </w:r>
          </w:p>
        </w:tc>
      </w:tr>
      <w:tr>
        <w:tc>
          <w:p>
            <w:pPr>
              <w:pStyle w:val="Compact"/>
              <w:jc w:val="left"/>
            </w:pPr>
            <w:r>
              <w:t xml:space="preserve">AZ</w:t>
            </w:r>
          </w:p>
        </w:tc>
        <w:tc>
          <w:p>
            <w:pPr>
              <w:pStyle w:val="Compact"/>
              <w:jc w:val="left"/>
            </w:pPr>
            <w:r>
              <w:t xml:space="preserve">0,38%</w:t>
            </w:r>
          </w:p>
        </w:tc>
      </w:tr>
      <w:tr>
        <w:tc>
          <w:p>
            <w:pPr>
              <w:pStyle w:val="Compact"/>
              <w:jc w:val="left"/>
            </w:pPr>
            <w:r>
              <w:t xml:space="preserve">AX</w:t>
            </w:r>
          </w:p>
        </w:tc>
        <w:tc>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
        </w:rPr>
        <w:t xml:space="preserve">1.899 series afectadas, el 22% de la</w:t>
      </w:r>
      <w:r>
        <w:rPr>
          <w:b/>
        </w:rPr>
        <w:t xml:space="preserve"> </w:t>
      </w:r>
      <w:r>
        <w:rPr>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
        </w:rPr>
        <w:t xml:space="preserve">1 = sábado … 7 = viernes</w:t>
      </w:r>
      <w:r>
        <w:t xml:space="preserve">. El resultado es que la bandera marcaba como fin de semana el</w:t>
      </w:r>
      <w:r>
        <w:t xml:space="preserve"> </w:t>
      </w:r>
      <w:r>
        <w:rPr>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
        </w:rPr>
        <w:t xml:space="preserve">una de las</w:t>
      </w:r>
      <w:r>
        <w:rPr>
          <w:b/>
        </w:rPr>
        <w:t xml:space="preserve"> </w:t>
      </w:r>
      <w:r>
        <w:rPr>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
        </w:rPr>
        <w:t xml:space="preserve">una cosa en los días con los</w:t>
      </w:r>
      <w:r>
        <w:rPr>
          <w:b/>
        </w:rPr>
        <w:t xml:space="preserve"> </w:t>
      </w:r>
      <w:r>
        <w:rPr>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«Pico de fin de semana» pasa a encabezar la elevación de fin de semana con</w:t>
      </w:r>
      <w:r>
        <w:t xml:space="preserve"> </w:t>
      </w:r>
      <w:r>
        <w:t xml:space="preserve">un ×1,42, cifra que antes quedaba invisible y que es la que justifica su nombre (§7.2.3).</w:t>
      </w:r>
    </w:p>
    <w:p>
      <w:pPr>
        <w:pStyle w:val="BodyText"/>
      </w:pPr>
      <w:r>
        <w:rPr>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p>
      <w:pPr>
        <w:pStyle w:val="Heading3"/>
      </w:pPr>
      <w:bookmarkStart w:id="153" w:name="la-capa-de-operación"/>
      <w:r>
        <w:t xml:space="preserve">7.6.5. La capa de operación</w:t>
      </w:r>
      <w:bookmarkEnd w:id="153"/>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
        </w:rPr>
        <w:t xml:space="preserve">Contratos de datos.</w:t>
      </w:r>
      <w:r>
        <w:t xml:space="preserve"> </w:t>
      </w:r>
      <w:r>
        <w:t xml:space="preserve">Quince comprobaciones que</w:t>
      </w:r>
      <w:r>
        <w:t xml:space="preserve"> </w:t>
      </w:r>
      <w:r>
        <w:rPr>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
        </w:rPr>
        <w:t xml:space="preserve">Monitorización.</w:t>
      </w:r>
      <w:r>
        <w:t xml:space="preserve"> </w:t>
      </w:r>
      <w:r>
        <w:t xml:space="preserve">Se vigilan tres cosas de naturaleza distinta. El</w:t>
      </w:r>
      <w:r>
        <w:t xml:space="preserve"> </w:t>
      </w:r>
      <w:r>
        <w:rPr>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p>
      <w:pPr>
        <w:pStyle w:val="Heading3"/>
      </w:pPr>
      <w:bookmarkStart w:id="154" w:name="cómo-se-pondría-en-marcha"/>
      <w:r>
        <w:t xml:space="preserve">7.6.6. Cómo se pondría en marcha</w:t>
      </w:r>
      <w:bookmarkEnd w:id="154"/>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mercancía.</w:t>
      </w:r>
    </w:p>
    <w:p>
      <w:pPr>
        <w:pStyle w:val="BodyText"/>
      </w:pPr>
      <w:r>
        <w:rPr>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
        </w:rPr>
        <w:t xml:space="preserve">Fase 2 — Piloto (8 semanas, dos tiendas).</w:t>
      </w:r>
      <w:r>
        <w:t xml:space="preserve"> </w:t>
      </w:r>
      <w:r>
        <w:t xml:space="preserve">Se eligen dos establecimientos con perfiles de venta distintos (§7.2.4)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
        </w:rPr>
        <w:t xml:space="preserve">Criterio de avance:</w:t>
      </w:r>
      <w:r>
        <w:t xml:space="preserve"> </w:t>
      </w:r>
      <w:r>
        <w:t xml:space="preserve">mejora del nivel de</w:t>
      </w:r>
      <w:r>
        <w:t xml:space="preserve"> </w:t>
      </w:r>
      <w:r>
        <w:t xml:space="preserve">servicio sin aumento del inventario medio.</w:t>
      </w:r>
      <w:r>
        <w:t xml:space="preserve"> </w:t>
      </w:r>
      <w:r>
        <w:rPr>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p>
      <w:pPr>
        <w:pStyle w:val="Heading3"/>
      </w:pPr>
      <w:bookmarkStart w:id="155" w:name="sobre-la-migración-a-la-nube"/>
      <w:r>
        <w:t xml:space="preserve">7.6.7. Sobre la migración a la nube</w:t>
      </w:r>
      <w:bookmarkEnd w:id="155"/>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p>
      <w:pPr>
        <w:pStyle w:val="Heading3"/>
      </w:pPr>
      <w:bookmarkStart w:id="156" w:name="qué-queda-por-hacer"/>
      <w:r>
        <w:t xml:space="preserve">7.6.8. Qué queda por hacer</w:t>
      </w:r>
      <w:bookmarkEnd w:id="156"/>
    </w:p>
    <w:p>
      <w:pPr>
        <w:pStyle w:val="FirstParagraph"/>
      </w:pPr>
      <w:r>
        <w:t xml:space="preserve">Se consignan las carencias del sistema, que son conocidas y no accidentales.</w:t>
      </w:r>
    </w:p>
    <w:p>
      <w:pPr>
        <w:pStyle w:val="BodyText"/>
      </w:pPr>
      <w:r>
        <w:t xml:space="preserve">El</w:t>
      </w:r>
      <w:r>
        <w:t xml:space="preserve"> </w:t>
      </w:r>
      <w:r>
        <w:rPr>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
        </w:rPr>
        <w:t xml:space="preserve">No hay autenticación ni control de acceso</w:t>
      </w:r>
      <w:r>
        <w:t xml:space="preserve">, lo que es aceptable en un prototipo y no en</w:t>
      </w:r>
      <w:r>
        <w:t xml:space="preserve"> </w:t>
      </w:r>
      <w:r>
        <w:t xml:space="preserve">explotación.</w:t>
      </w:r>
    </w:p>
    <w:p>
      <w:pPr>
        <w:pStyle w:val="BodyText"/>
      </w:pPr>
      <w:r>
        <w:rPr>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p>
    <w:p>
      <w:pPr>
        <w:pStyle w:val="Heading2"/>
      </w:pPr>
      <w:bookmarkStart w:id="157" w:name="Xb0f09089dd96deed217828960ac10c846d8d210"/>
      <w:r>
        <w:t xml:space="preserve">7.7. De sistema a sistema mantenible: la capa de MLOps</w:t>
      </w:r>
      <w:bookmarkEnd w:id="157"/>
    </w:p>
    <w:p>
      <w:pPr>
        <w:pStyle w:val="FirstParagraph"/>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
        </w:rPr>
        <w:t xml:space="preserve">la orquestación responde a «¿se puede volver a</w:t>
      </w:r>
      <w:r>
        <w:rPr>
          <w:b/>
        </w:rPr>
        <w:t xml:space="preserve"> </w:t>
      </w:r>
      <w:r>
        <w:rPr>
          <w:b/>
        </w:rPr>
        <w:t xml:space="preserve">ejecutar?»; MLOps responde a «¿quién decide qué llega a producción, cómo se sabe que sigue</w:t>
      </w:r>
      <w:r>
        <w:rPr>
          <w:b/>
        </w:rPr>
        <w:t xml:space="preserve"> </w:t>
      </w:r>
      <w:r>
        <w:rPr>
          <w:b/>
        </w:rPr>
        <w:t xml:space="preserve">siendo correcto, y cómo se deshace?»</w:t>
      </w:r>
      <w:r>
        <w:t xml:space="preserve">. Son preguntas distintas y necesitan piezas distintas.</w:t>
      </w:r>
    </w:p>
    <w:p>
      <w:pPr>
        <w:pStyle w:val="Heading3"/>
      </w:pPr>
      <w:bookmarkStart w:id="158" w:name="el-fallo-que-faltaba-impedir"/>
      <w:r>
        <w:t xml:space="preserve">7.7.1. El fallo que faltaba impedir</w:t>
      </w:r>
      <w:bookmarkEnd w:id="158"/>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
        </w:rPr>
        <w:t xml:space="preserve">que un modelo peor sustituya en silencio al que</w:t>
      </w:r>
      <w:r>
        <w:rPr>
          <w:b/>
        </w:rPr>
        <w:t xml:space="preserve"> </w:t>
      </w:r>
      <w:r>
        <w:rPr>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p>
      <w:pPr>
        <w:pStyle w:val="Heading3"/>
      </w:pPr>
      <w:bookmarkStart w:id="159" w:name="Xb0b6b0df3471bdfa851cac95ec49631818da1f4"/>
      <w:r>
        <w:t xml:space="preserve">7.7.2. Trazabilidad: de dónde salió exactamente este modelo</w:t>
      </w:r>
      <w:bookmarkEnd w:id="159"/>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
        </w:rPr>
        <w:t xml:space="preserve">cuál</w:t>
      </w:r>
      <w:r>
        <w:t xml:space="preserve"> </w:t>
      </w:r>
      <w:r>
        <w:t xml:space="preserve">es el modelo pero no</w:t>
      </w:r>
      <w:r>
        <w:t xml:space="preserve"> </w:t>
      </w:r>
      <w:r>
        <w:rPr>
          <w:i/>
        </w:rPr>
        <w:t xml:space="preserve">de qué</w:t>
      </w:r>
      <w:r>
        <w:t xml:space="preserve"> </w:t>
      </w:r>
      <w:r>
        <w:t xml:space="preserve">se hizo. Se añadieron tres huellas, y las tres son necesarias:</w:t>
      </w:r>
    </w:p>
    <w:p>
      <w:pPr>
        <w:pStyle w:val="BodyText"/>
      </w:pPr>
      <w:r>
        <w:rPr>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p>
      <w:pPr>
        <w:pStyle w:val="Heading3"/>
      </w:pPr>
      <w:bookmarkStart w:id="160" w:name="la-puerta-de-promoción"/>
      <w:r>
        <w:t xml:space="preserve">7.7.3. La puerta de promoción</w:t>
      </w:r>
      <w:bookmarkEnd w:id="160"/>
    </w:p>
    <w:p>
      <w:pPr>
        <w:pStyle w:val="FirstParagraph"/>
      </w:pPr>
      <w:r>
        <w:t xml:space="preserve">Entrenar dejó de desplegar. Lo que sale del entrenamiento es un</w:t>
      </w:r>
      <w:r>
        <w:t xml:space="preserve"> </w:t>
      </w:r>
      <w:r>
        <w:rPr>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1" name="Picture"/>
            <a:graphic>
              <a:graphicData uri="http://schemas.openxmlformats.org/drawingml/2006/picture">
                <pic:pic>
                  <pic:nvPicPr>
                    <pic:cNvPr descr="figuras/fig_7_27.png" id="0" name="Picture"/>
                    <pic:cNvPicPr>
                      <a:picLocks noChangeArrowheads="1" noChangeAspect="1"/>
                    </pic:cNvPicPr>
                  </pic:nvPicPr>
                  <pic:blipFill>
                    <a:blip r:embed="rId161"/>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
        </w:rPr>
        <w:t xml:space="preserve">Figura 7.27.</w:t>
      </w:r>
      <w:r>
        <w:t xml:space="preserve"> </w:t>
      </w:r>
      <w:r>
        <w:t xml:space="preserve">Ciclo de vida de un modelo: los cuatro estados y las transiciones.</w:t>
      </w:r>
      <w:r>
        <w:t xml:space="preserve"> </w:t>
      </w:r>
      <w:r>
        <w:rPr>
          <w:i/>
        </w:rPr>
        <w:t xml:space="preserve">Fuente: elaboración propia.</w:t>
      </w:r>
    </w:p>
    <w:p>
      <w:pPr>
        <w:pStyle w:val="BodyText"/>
      </w:pPr>
      <w:r>
        <w:rPr>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
        </w:rPr>
        <w:t xml:space="preserve">deshacer tiene que ser más barato que</w:t>
      </w:r>
      <w:r>
        <w:rPr>
          <w:b/>
        </w:rPr>
        <w:t xml:space="preserve"> </w:t>
      </w:r>
      <w:r>
        <w:rPr>
          <w:b/>
        </w:rPr>
        <w:t xml:space="preserve">diagnosticar</w:t>
      </w:r>
      <w:r>
        <w:t xml:space="preserve">, porque a las tres de la mañana nadie diagnostica bien.</w:t>
      </w:r>
    </w:p>
    <w:p>
      <w:pPr>
        <w:pStyle w:val="Heading3"/>
      </w:pPr>
      <w:bookmarkStart w:id="162" w:name="X17ae984419a93b0d2cfeadec01bb57ea91876d3"/>
      <w:r>
        <w:t xml:space="preserve">7.7.4. Pruebas automáticas e integración continua</w:t>
      </w:r>
      <w:bookmarkEnd w:id="162"/>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mercancía.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
        </w:rPr>
        <w:t xml:space="preserve">86 pruebas y se ejecuta en pocos segundos</w:t>
      </w:r>
      <w:r>
        <w:t xml:space="preserve">, y —esto es lo que la hace</w:t>
      </w:r>
      <w:r>
        <w:t xml:space="preserve"> </w:t>
      </w:r>
      <w:r>
        <w:t xml:space="preserve">viable—</w:t>
      </w:r>
      <w:r>
        <w:t xml:space="preserve"> </w:t>
      </w:r>
      <w:r>
        <w:rPr>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Bloque</w:t>
            </w:r>
          </w:p>
        </w:tc>
        <w:tc>
          <w:tcPr>
            <w:tcBorders>
              <w:bottom w:val="single"/>
            </w:tcBorders>
            <w:vAlign w:val="bottom"/>
          </w:tcPr>
          <w:p>
            <w:pPr>
              <w:pStyle w:val="Compact"/>
              <w:jc w:val="left"/>
            </w:pPr>
            <w:r>
              <w:t xml:space="preserve">Qué comprueba</w:t>
            </w:r>
          </w:p>
        </w:tc>
        <w:tc>
          <w:tcPr>
            <w:tcBorders>
              <w:bottom w:val="single"/>
            </w:tcBorders>
            <w:vAlign w:val="bottom"/>
          </w:tcPr>
          <w:p>
            <w:pPr>
              <w:pStyle w:val="Compact"/>
              <w:jc w:val="left"/>
            </w:pPr>
            <w:r>
              <w:t xml:space="preserve">Ejemplo de propiedad verificada</w:t>
            </w:r>
          </w:p>
        </w:tc>
      </w:tr>
      <w:tr>
        <w:tc>
          <w:p>
            <w:pPr>
              <w:pStyle w:val="Compact"/>
              <w:jc w:val="left"/>
            </w:pPr>
            <w:r>
              <w:t xml:space="preserve">Política de reposición</w:t>
            </w:r>
          </w:p>
        </w:tc>
        <w:tc>
          <w:p>
            <w:pPr>
              <w:pStyle w:val="Compact"/>
              <w:jc w:val="left"/>
            </w:pPr>
            <w:r>
              <w:t xml:space="preserve">28 pruebas</w:t>
            </w:r>
          </w:p>
        </w:tc>
        <w:tc>
          <w:p>
            <w:pPr>
              <w:pStyle w:val="Compact"/>
              <w:jc w:val="left"/>
            </w:pPr>
            <w:r>
              <w:t xml:space="preserve">El coste del vendedor de periódicos es la pérdida pinball reescalada</w:t>
            </w:r>
          </w:p>
        </w:tc>
      </w:tr>
      <w:tr>
        <w:tc>
          <w:p>
            <w:pPr>
              <w:pStyle w:val="Compact"/>
              <w:jc w:val="left"/>
            </w:pPr>
            <w:r>
              <w:t xml:space="preserve">Métricas de deriva</w:t>
            </w:r>
          </w:p>
        </w:tc>
        <w:tc>
          <w:p>
            <w:pPr>
              <w:pStyle w:val="Compact"/>
              <w:jc w:val="left"/>
            </w:pPr>
            <w:r>
              <w:t xml:space="preserve">8 pruebas</w:t>
            </w:r>
          </w:p>
        </w:tc>
        <w:tc>
          <w:p>
            <w:pPr>
              <w:pStyle w:val="Compact"/>
              <w:jc w:val="left"/>
            </w:pPr>
            <w:r>
              <w:t xml:space="preserve">El PSI detecta un cambio de escala que la media no ve</w:t>
            </w:r>
          </w:p>
        </w:tc>
      </w:tr>
      <w:tr>
        <w:tc>
          <w:p>
            <w:pPr>
              <w:pStyle w:val="Compact"/>
              <w:jc w:val="left"/>
            </w:pPr>
            <w:r>
              <w:t xml:space="preserve">Contratos de datos</w:t>
            </w:r>
          </w:p>
        </w:tc>
        <w:tc>
          <w:p>
            <w:pPr>
              <w:pStyle w:val="Compact"/>
              <w:jc w:val="left"/>
            </w:pPr>
            <w:r>
              <w:t xml:space="preserve">28 pruebas</w:t>
            </w:r>
          </w:p>
        </w:tc>
        <w:tc>
          <w:p>
            <w:pPr>
              <w:pStyle w:val="Compact"/>
              <w:jc w:val="left"/>
            </w:pPr>
            <w:r>
              <w:t xml:space="preserve">Cada contrato detecta la violación que dice detectar</w:t>
            </w:r>
          </w:p>
        </w:tc>
      </w:tr>
      <w:tr>
        <w:tc>
          <w:p>
            <w:pPr>
              <w:pStyle w:val="Compact"/>
              <w:jc w:val="left"/>
            </w:pPr>
            <w:r>
              <w:t xml:space="preserve">Puerta de promoción</w:t>
            </w:r>
          </w:p>
        </w:tc>
        <w:tc>
          <w:p>
            <w:pPr>
              <w:pStyle w:val="Compact"/>
              <w:jc w:val="left"/>
            </w:pPr>
            <w:r>
              <w:t xml:space="preserve">13 pruebas</w:t>
            </w:r>
          </w:p>
        </w:tc>
        <w:tc>
          <w:p>
            <w:pPr>
              <w:pStyle w:val="Compact"/>
              <w:jc w:val="left"/>
            </w:pPr>
            <w:r>
              <w:t xml:space="preserve">Un candidato peor no pasa la puerta</w:t>
            </w:r>
          </w:p>
        </w:tc>
      </w:tr>
      <w:tr>
        <w:tc>
          <w:p>
            <w:pPr>
              <w:pStyle w:val="Compact"/>
              <w:jc w:val="left"/>
            </w:pPr>
            <w:r>
              <w:t xml:space="preserve">Registro de modelos</w:t>
            </w:r>
          </w:p>
        </w:tc>
        <w:tc>
          <w:p>
            <w:pPr>
              <w:pStyle w:val="Compact"/>
              <w:jc w:val="left"/>
            </w:pPr>
            <w:r>
              <w:t xml:space="preserve">9 pruebas</w:t>
            </w:r>
          </w:p>
        </w:tc>
        <w:tc>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p>
      <w:pPr>
        <w:pStyle w:val="Heading3"/>
      </w:pPr>
      <w:bookmarkStart w:id="163" w:name="el-lazo-cerrado"/>
      <w:r>
        <w:t xml:space="preserve">7.7.5. El lazo cerrado</w:t>
      </w:r>
      <w:bookmarkEnd w:id="163"/>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
        </w:rPr>
        <w:t xml:space="preserve">El lazo automatiza el trabajo, no la decisión.</w:t>
      </w:r>
    </w:p>
    <w:p>
      <w:pPr>
        <w:pStyle w:val="Heading3"/>
      </w:pPr>
      <w:bookmarkStart w:id="164" w:name="X677d0b6fb5587a51333dcc1a319a9f77aaaec8c"/>
      <w:r>
        <w:t xml:space="preserve">7.7.6. El entorno fijado y la imagen del servicio</w:t>
      </w:r>
      <w:bookmarkEnd w:id="164"/>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p>
      <w:pPr>
        <w:pStyle w:val="Heading3"/>
      </w:pPr>
      <w:bookmarkStart w:id="165" w:name="por-qué-no-mlflow-airflow-ni-kubeflow"/>
      <w:r>
        <w:t xml:space="preserve">7.7.7. Por qué no MLflow, Airflow ni Kubeflow</w:t>
      </w:r>
      <w:bookmarkEnd w:id="165"/>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
        </w:rPr>
        <w:t xml:space="preserve">escala</w:t>
      </w:r>
      <w:r>
        <w:t xml:space="preserve"> </w:t>
      </w:r>
      <w:r>
        <w:t xml:space="preserve">—cientos de</w:t>
      </w:r>
      <w:r>
        <w:t xml:space="preserve"> </w:t>
      </w:r>
      <w:r>
        <w:t xml:space="preserve">experimentos, decenas de personas, cómputo distribuido—,</w:t>
      </w:r>
      <w:r>
        <w:t xml:space="preserve"> </w:t>
      </w:r>
      <w:r>
        <w:rPr>
          <w:b/>
        </w:rPr>
        <w:t xml:space="preserve">colaboración</w:t>
      </w:r>
      <w:r>
        <w:t xml:space="preserve"> </w:t>
      </w:r>
      <w:r>
        <w:t xml:space="preserve">—un registro</w:t>
      </w:r>
      <w:r>
        <w:t xml:space="preserve"> </w:t>
      </w:r>
      <w:r>
        <w:t xml:space="preserve">compartido al que varios equipos escriben— e</w:t>
      </w:r>
      <w:r>
        <w:t xml:space="preserve"> </w:t>
      </w:r>
      <w:r>
        <w:rPr>
          <w:b/>
        </w:rPr>
        <w:t xml:space="preserve">integración</w:t>
      </w:r>
      <w:r>
        <w:t xml:space="preserve"> </w:t>
      </w:r>
      <w:r>
        <w:t xml:space="preserve">con plataformas gestionadas. Este</w:t>
      </w:r>
      <w:r>
        <w:t xml:space="preserve"> </w:t>
      </w:r>
      <w:r>
        <w:t xml:space="preserve">proyecto tiene un equipo de tres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
        </w:rPr>
        <w:t xml:space="preserve">las métricas del sistema se consultan con el mismo SQL que los datos</w:t>
      </w:r>
      <w:r>
        <w:rPr>
          <w:b/>
        </w:rPr>
        <w:t xml:space="preserve"> </w:t>
      </w:r>
      <w:r>
        <w:rPr>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
        </w:rPr>
        <w:t xml:space="preserve">lo que se</w:t>
      </w:r>
      <w:r>
        <w:rPr>
          <w:b/>
        </w:rPr>
        <w:t xml:space="preserve"> </w:t>
      </w:r>
      <w:r>
        <w:rPr>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p>
      <w:pPr>
        <w:pStyle w:val="Heading3"/>
      </w:pPr>
      <w:bookmarkStart w:id="166" w:name="Xb9c75ef21605bbb6d16d59442bf078807b18b03"/>
      <w:r>
        <w:t xml:space="preserve">7.7.8. Dónde queda el sistema, y qué sigue faltando</w:t>
      </w:r>
      <w:bookmarkEnd w:id="166"/>
    </w:p>
    <w:p>
      <w:pPr>
        <w:pStyle w:val="FirstParagraph"/>
      </w:pPr>
      <w:r>
        <w:t xml:space="preserve">Situar el trabajo con honestidad exige decir también lo que no está.</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Capacidad</w:t>
            </w:r>
          </w:p>
        </w:tc>
        <w:tc>
          <w:tcPr>
            <w:tcBorders>
              <w:bottom w:val="single"/>
            </w:tcBorders>
            <w:vAlign w:val="bottom"/>
          </w:tcPr>
          <w:p>
            <w:pPr>
              <w:pStyle w:val="Compact"/>
              <w:jc w:val="left"/>
            </w:pPr>
            <w:r>
              <w:t xml:space="preserve">Estado</w:t>
            </w:r>
          </w:p>
        </w:tc>
        <w:tc>
          <w:tcPr>
            <w:tcBorders>
              <w:bottom w:val="single"/>
            </w:tcBorders>
            <w:vAlign w:val="bottom"/>
          </w:tcPr>
          <w:p>
            <w:pPr>
              <w:pStyle w:val="Compact"/>
              <w:jc w:val="left"/>
            </w:pPr>
            <w:r>
              <w:t xml:space="preserve">Nota</w:t>
            </w:r>
          </w:p>
        </w:tc>
      </w:tr>
      <w:tr>
        <w:tc>
          <w:p>
            <w:pPr>
              <w:pStyle w:val="Compact"/>
              <w:jc w:val="left"/>
            </w:pPr>
            <w:r>
              <w:t xml:space="preserve">Ejecución reproducible de punta a punta</w:t>
            </w:r>
          </w:p>
        </w:tc>
        <w:tc>
          <w:p>
            <w:pPr>
              <w:pStyle w:val="Compact"/>
              <w:jc w:val="left"/>
            </w:pPr>
            <w:r>
              <w:t xml:space="preserve">Implementada</w:t>
            </w:r>
          </w:p>
        </w:tc>
        <w:tc>
          <w:p>
            <w:pPr>
              <w:pStyle w:val="Compact"/>
              <w:jc w:val="left"/>
            </w:pPr>
            <w:r>
              <w:t xml:space="preserve">Un comando, diez etapas, reanudable</w:t>
            </w:r>
          </w:p>
        </w:tc>
      </w:tr>
      <w:tr>
        <w:tc>
          <w:p>
            <w:pPr>
              <w:pStyle w:val="Compact"/>
              <w:jc w:val="left"/>
            </w:pPr>
            <w:r>
              <w:t xml:space="preserve">Contratos de datos bloqueantes</w:t>
            </w:r>
          </w:p>
        </w:tc>
        <w:tc>
          <w:p>
            <w:pPr>
              <w:pStyle w:val="Compact"/>
              <w:jc w:val="left"/>
            </w:pPr>
            <w:r>
              <w:t xml:space="preserve">Implementada</w:t>
            </w:r>
          </w:p>
        </w:tc>
        <w:tc>
          <w:p>
            <w:pPr>
              <w:pStyle w:val="Compact"/>
              <w:jc w:val="left"/>
            </w:pPr>
            <w:r>
              <w:t xml:space="preserve">15 contratos, en dos pasadas</w:t>
            </w:r>
          </w:p>
        </w:tc>
      </w:tr>
      <w:tr>
        <w:tc>
          <w:p>
            <w:pPr>
              <w:pStyle w:val="Compact"/>
              <w:jc w:val="left"/>
            </w:pPr>
            <w:r>
              <w:t xml:space="preserve">Registro de modelos con procedencia</w:t>
            </w:r>
          </w:p>
        </w:tc>
        <w:tc>
          <w:p>
            <w:pPr>
              <w:pStyle w:val="Compact"/>
              <w:jc w:val="left"/>
            </w:pPr>
            <w:r>
              <w:t xml:space="preserve">Implementada</w:t>
            </w:r>
          </w:p>
        </w:tc>
        <w:tc>
          <w:p>
            <w:pPr>
              <w:pStyle w:val="Compact"/>
              <w:jc w:val="left"/>
            </w:pPr>
            <w:r>
              <w:t xml:space="preserve">Código, datos y entorno</w:t>
            </w:r>
          </w:p>
        </w:tc>
      </w:tr>
      <w:tr>
        <w:tc>
          <w:p>
            <w:pPr>
              <w:pStyle w:val="Compact"/>
              <w:jc w:val="left"/>
            </w:pPr>
            <w:r>
              <w:t xml:space="preserve">Promoción con puerta y retroceso</w:t>
            </w:r>
          </w:p>
        </w:tc>
        <w:tc>
          <w:p>
            <w:pPr>
              <w:pStyle w:val="Compact"/>
              <w:jc w:val="left"/>
            </w:pPr>
            <w:r>
              <w:t xml:space="preserve">Implementada</w:t>
            </w:r>
          </w:p>
        </w:tc>
        <w:tc>
          <w:p>
            <w:pPr>
              <w:pStyle w:val="Compact"/>
              <w:jc w:val="left"/>
            </w:pPr>
            <w:r>
              <w:t xml:space="preserve">Entrenar no despliega</w:t>
            </w:r>
          </w:p>
        </w:tc>
      </w:tr>
      <w:tr>
        <w:tc>
          <w:p>
            <w:pPr>
              <w:pStyle w:val="Compact"/>
              <w:jc w:val="left"/>
            </w:pPr>
            <w:r>
              <w:t xml:space="preserve">Monitorización de error y deriva</w:t>
            </w:r>
          </w:p>
        </w:tc>
        <w:tc>
          <w:p>
            <w:pPr>
              <w:pStyle w:val="Compact"/>
              <w:jc w:val="left"/>
            </w:pPr>
            <w:r>
              <w:t xml:space="preserve">Implementada</w:t>
            </w:r>
          </w:p>
        </w:tc>
        <w:tc>
          <w:p>
            <w:pPr>
              <w:pStyle w:val="Compact"/>
              <w:jc w:val="left"/>
            </w:pPr>
            <w:r>
              <w:t xml:space="preserve">Tres señales de naturaleza distinta</w:t>
            </w:r>
          </w:p>
        </w:tc>
      </w:tr>
      <w:tr>
        <w:tc>
          <w:p>
            <w:pPr>
              <w:pStyle w:val="Compact"/>
              <w:jc w:val="left"/>
            </w:pPr>
            <w:r>
              <w:t xml:space="preserve">Pruebas automáticas e integración continua</w:t>
            </w:r>
          </w:p>
        </w:tc>
        <w:tc>
          <w:p>
            <w:pPr>
              <w:pStyle w:val="Compact"/>
              <w:jc w:val="left"/>
            </w:pPr>
            <w:r>
              <w:t xml:space="preserve">Implementada</w:t>
            </w:r>
          </w:p>
        </w:tc>
        <w:tc>
          <w:p>
            <w:pPr>
              <w:pStyle w:val="Compact"/>
              <w:jc w:val="left"/>
            </w:pPr>
            <w:r>
              <w:t xml:space="preserve">86 pruebas, sin datos</w:t>
            </w:r>
          </w:p>
        </w:tc>
      </w:tr>
      <w:tr>
        <w:tc>
          <w:p>
            <w:pPr>
              <w:pStyle w:val="Compact"/>
              <w:jc w:val="left"/>
            </w:pPr>
            <w:r>
              <w:t xml:space="preserve">Entorno fijado y servicio en contenedor</w:t>
            </w:r>
          </w:p>
        </w:tc>
        <w:tc>
          <w:p>
            <w:pPr>
              <w:pStyle w:val="Compact"/>
              <w:jc w:val="left"/>
            </w:pPr>
            <w:r>
              <w:t xml:space="preserve">Implementada</w:t>
            </w:r>
          </w:p>
        </w:tc>
        <w:tc>
          <w:p>
            <w:pPr>
              <w:pStyle w:val="Compact"/>
              <w:jc w:val="left"/>
            </w:pPr>
            <w:r>
              <w:t xml:space="preserve">Dos ficheros, dos propósitos</w:t>
            </w:r>
          </w:p>
        </w:tc>
      </w:tr>
      <w:tr>
        <w:tc>
          <w:p>
            <w:pPr>
              <w:pStyle w:val="Compact"/>
              <w:jc w:val="left"/>
            </w:pPr>
            <w:r>
              <w:t xml:space="preserve">Reentrenamiento por señal, con política</w:t>
            </w:r>
          </w:p>
        </w:tc>
        <w:tc>
          <w:p>
            <w:pPr>
              <w:pStyle w:val="Compact"/>
              <w:jc w:val="left"/>
            </w:pPr>
            <w:r>
              <w:t xml:space="preserve">Implementada</w:t>
            </w:r>
          </w:p>
        </w:tc>
        <w:tc>
          <w:p>
            <w:pPr>
              <w:pStyle w:val="Compact"/>
              <w:jc w:val="left"/>
            </w:pPr>
            <w:r>
              <w:t xml:space="preserve">Asistido: propone, no decide</w:t>
            </w:r>
          </w:p>
        </w:tc>
      </w:tr>
      <w:tr>
        <w:tc>
          <w:p>
            <w:pPr>
              <w:pStyle w:val="Compact"/>
              <w:jc w:val="left"/>
            </w:pPr>
            <w:r>
              <w:t xml:space="preserve">Realimentación con la decisión humana</w:t>
            </w:r>
          </w:p>
        </w:tc>
        <w:tc>
          <w:p>
            <w:pPr>
              <w:pStyle w:val="Compact"/>
              <w:jc w:val="left"/>
            </w:pPr>
            <w:r>
              <w:rPr>
                <w:b/>
              </w:rPr>
              <w:t xml:space="preserve">Ausente</w:t>
            </w:r>
          </w:p>
        </w:tc>
        <w:tc>
          <w:p>
            <w:pPr>
              <w:pStyle w:val="Compact"/>
              <w:jc w:val="left"/>
            </w:pPr>
            <w:r>
              <w:t xml:space="preserve">El dato no existe; §7.6.8</w:t>
            </w:r>
          </w:p>
        </w:tc>
      </w:tr>
      <w:tr>
        <w:tc>
          <w:p>
            <w:pPr>
              <w:pStyle w:val="Compact"/>
              <w:jc w:val="left"/>
            </w:pPr>
            <w:r>
              <w:t xml:space="preserve">Contraste A/B en explotación</w:t>
            </w:r>
          </w:p>
        </w:tc>
        <w:tc>
          <w:p>
            <w:pPr>
              <w:pStyle w:val="Compact"/>
              <w:jc w:val="left"/>
            </w:pPr>
            <w:r>
              <w:rPr>
                <w:b/>
              </w:rPr>
              <w:t xml:space="preserve">Ausente</w:t>
            </w:r>
          </w:p>
        </w:tc>
        <w:tc>
          <w:p>
            <w:pPr>
              <w:pStyle w:val="Compact"/>
              <w:jc w:val="left"/>
            </w:pPr>
            <w:r>
              <w:t xml:space="preserve">Requiere la fase 2 del despliegue</w:t>
            </w:r>
          </w:p>
        </w:tc>
      </w:tr>
      <w:tr>
        <w:tc>
          <w:p>
            <w:pPr>
              <w:pStyle w:val="Compact"/>
              <w:jc w:val="left"/>
            </w:pPr>
            <w:r>
              <w:t xml:space="preserve">Autenticación y control de acceso</w:t>
            </w:r>
          </w:p>
        </w:tc>
        <w:tc>
          <w:p>
            <w:pPr>
              <w:pStyle w:val="Compact"/>
              <w:jc w:val="left"/>
            </w:pPr>
            <w:r>
              <w:rPr>
                <w:b/>
              </w:rPr>
              <w:t xml:space="preserve">Ausente</w:t>
            </w:r>
          </w:p>
        </w:tc>
        <w:tc>
          <w:p>
            <w:pPr>
              <w:pStyle w:val="Compact"/>
              <w:jc w:val="left"/>
            </w:pPr>
            <w:r>
              <w:t xml:space="preserve">Aceptable en prototipo, no en explotación</w:t>
            </w:r>
          </w:p>
        </w:tc>
      </w:tr>
      <w:tr>
        <w:tc>
          <w:p>
            <w:pPr>
              <w:pStyle w:val="Compact"/>
              <w:jc w:val="left"/>
            </w:pPr>
            <w:r>
              <w:t xml:space="preserve">Repositorio de variables compartido</w:t>
            </w:r>
          </w:p>
        </w:tc>
        <w:tc>
          <w:p>
            <w:pPr>
              <w:pStyle w:val="Compact"/>
              <w:jc w:val="left"/>
            </w:pPr>
            <w:r>
              <w:rPr>
                <w:b/>
              </w:rPr>
              <w:t xml:space="preserve">Ausente</w:t>
            </w:r>
          </w:p>
        </w:tc>
        <w:tc>
          <w:p>
            <w:pPr>
              <w:pStyle w:val="Compact"/>
              <w:jc w:val="left"/>
            </w:pPr>
            <w:r>
              <w:t xml:space="preserve">No se justifica con un solo consumidor de modelos</w:t>
            </w:r>
          </w:p>
        </w:tc>
      </w:tr>
      <w:tr>
        <w:tc>
          <w:p>
            <w:pPr>
              <w:pStyle w:val="Compact"/>
              <w:jc w:val="left"/>
            </w:pPr>
            <w:r>
              <w:t xml:space="preserve">Servicio a escala y alta disponibilidad</w:t>
            </w:r>
          </w:p>
        </w:tc>
        <w:tc>
          <w:p>
            <w:pPr>
              <w:pStyle w:val="Compact"/>
              <w:jc w:val="left"/>
            </w:pPr>
            <w:r>
              <w:rPr>
                <w:b/>
              </w:rPr>
              <w:t xml:space="preserve">Ausente</w:t>
            </w:r>
          </w:p>
        </w:tc>
        <w:tc>
          <w:p>
            <w:pPr>
              <w:pStyle w:val="Compact"/>
              <w:jc w:val="left"/>
            </w:pPr>
            <w:r>
              <w:t xml:space="preserve">Diez tiendas caben en memoria</w:t>
            </w:r>
          </w:p>
        </w:tc>
      </w:tr>
    </w:tbl>
    <w:p>
      <w:pPr>
        <w:pStyle w:val="BodyText"/>
      </w:pPr>
      <w:r>
        <w:t xml:space="preserve">Las cinco ausencias no son accidentales y tres de ellas comparten causa: dependen de que el</w:t>
      </w:r>
      <w:r>
        <w:t xml:space="preserve"> </w:t>
      </w:r>
      <w:r>
        <w:t xml:space="preserve">sistema esté en explotación. La primera es la más importante, y ya estaba señalada en §7.6.8:</w:t>
      </w:r>
      <w:r>
        <w:t xml:space="preserve"> </w:t>
      </w:r>
      <w:r>
        <w:rPr>
          <w:b/>
        </w:rPr>
        <w:t xml:space="preserve">mientras no se registre qué pidió realmente el encargado frente a lo que el sistema sugirió,</w:t>
      </w:r>
      <w:r>
        <w:rPr>
          <w:b/>
        </w:rPr>
        <w:t xml:space="preserve"> </w:t>
      </w:r>
      <w:r>
        <w:rPr>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p>
    <w:p>
      <w:pPr>
        <w:pStyle w:val="Heading2"/>
      </w:pPr>
      <w:bookmarkStart w:id="167" w:name="conclusiones"/>
      <w:r>
        <w:t xml:space="preserve">7.8. Conclusiones</w:t>
      </w:r>
      <w:bookmarkEnd w:id="167"/>
    </w:p>
    <w:p>
      <w:pPr>
        <w:pStyle w:val="Heading3"/>
      </w:pPr>
      <w:bookmarkStart w:id="168" w:name="respuesta-a-los-objetivos"/>
      <w:r>
        <w:t xml:space="preserve">7.8.1. Respuesta a los objetivos</w:t>
      </w:r>
      <w:bookmarkEnd w:id="168"/>
    </w:p>
    <w:p>
      <w:pPr>
        <w:pStyle w:val="FirstParagraph"/>
      </w:pPr>
      <w:r>
        <w:rPr>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que describen su comportamiento de compra: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
        </w:rPr>
        <w:t xml:space="preserve">el perfil de demanda de una tienda no respeta las</w:t>
      </w:r>
      <w:r>
        <w:rPr>
          <w:b/>
        </w:rPr>
        <w:t xml:space="preserve"> </w:t>
      </w:r>
      <w:r>
        <w:rPr>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
        </w:rPr>
        <w:t xml:space="preserve">se descartó con</w:t>
      </w:r>
      <w:r>
        <w:rPr>
          <w:b/>
        </w:rPr>
        <w:t xml:space="preserve"> </w:t>
      </w:r>
      <w:r>
        <w:rPr>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
        </w:rPr>
        <w:t xml:space="preserve">OE3 — Predecir la demanda.</w:t>
      </w:r>
      <w:r>
        <w:t xml:space="preserve"> </w:t>
      </w:r>
      <w:r>
        <w:t xml:space="preserve">El modelo adoptado es LightGBM con objetivo Tweedie y</w:t>
      </w:r>
      <w:r>
        <w:t xml:space="preserve"> </w:t>
      </w:r>
      <w:r>
        <w:t xml:space="preserve">estrategia por bloques semanales, con un WRMSSE de 1,0422 (XGBoost queda un 0,7 % por delante, 1,0352). El hallazgo metodológico es que</w:t>
      </w:r>
      <w:r>
        <w:t xml:space="preserve"> </w:t>
      </w:r>
      <w:r>
        <w:rPr>
          <w:b/>
        </w:rPr>
        <w:t xml:space="preserve">la</w:t>
      </w:r>
      <w:r>
        <w:rPr>
          <w:b/>
        </w:rPr>
        <w:t xml:space="preserve"> </w:t>
      </w:r>
      <w:r>
        <w:rPr>
          <w:b/>
        </w:rPr>
        <w:t xml:space="preserve">estrategia de horizonte pesó unas tres veces más que la elección de biblioteca</w:t>
      </w:r>
      <w:r>
        <w:t xml:space="preserve">: con la</w:t>
      </w:r>
      <w:r>
        <w:t xml:space="preserve"> </w:t>
      </w:r>
      <w:r>
        <w:t xml:space="preserve">formulación ingenua ningún modelo supera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
        </w:rPr>
        <w:t xml:space="preserve">reformular el objetivo como el total del ciclo redujo el</w:t>
      </w:r>
      <w:r>
        <w:rPr>
          <w:b/>
        </w:rPr>
        <w:t xml:space="preserve"> </w:t>
      </w:r>
      <w:r>
        <w:rPr>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
        </w:rPr>
        <w:t xml:space="preserve">400 días de historia</w:t>
      </w:r>
      <w:r>
        <w:t xml:space="preserve"> </w:t>
      </w:r>
      <w:r>
        <w:t xml:space="preserve">en lugar de 180, con variables de evento a nivel</w:t>
      </w:r>
      <w:r>
        <w:t xml:space="preserve"> </w:t>
      </w:r>
      <w:r>
        <w:t xml:space="preserve">semanal, mejora el WRMSSE un 5,7% en diciembre y un 3,3% en noviembre sin empeorar el resto del año</w:t>
      </w:r>
      <w:r>
        <w:t xml:space="preserve"> </w:t>
      </w:r>
      <w:r>
        <w:t xml:space="preserve">(1,0378 de media en febrero-abril), y el modelo aprende por sí solo el cierre del 25 de diciembre.</w:t>
      </w:r>
    </w:p>
    <w:p>
      <w:pPr>
        <w:pStyle w:val="BodyText"/>
      </w:pPr>
      <w:r>
        <w:rPr>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
        </w:rPr>
        <w:t xml:space="preserve">el nivel</w:t>
      </w:r>
      <w:r>
        <w:rPr>
          <w:b/>
        </w:rPr>
        <w:t xml:space="preserve"> </w:t>
      </w:r>
      <w:r>
        <w:rPr>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p>
      <w:pPr>
        <w:pStyle w:val="Heading3"/>
      </w:pPr>
      <w:bookmarkStart w:id="169" w:name="X62820460520509d8d7150f3b4a4ff7f7cfe40eb"/>
      <w:r>
        <w:t xml:space="preserve">7.8.2. El hilo conductor: cuatro veces que la evidencia nos contradijo</w:t>
      </w:r>
      <w:bookmarkEnd w:id="169"/>
    </w:p>
    <w:p>
      <w:pPr>
        <w:pStyle w:val="FirstParagraph"/>
      </w:pPr>
      <w:r>
        <w:t xml:space="preserve">Los resultados anteriores son los que el encargo pedía. El resultado del que este trabajo se</w:t>
      </w:r>
      <w:r>
        <w:t xml:space="preserve"> </w:t>
      </w:r>
      <w:r>
        <w:t xml:space="preserve">siente más responsable es otro, y recorre los siete capítulos: en cuatro ocasiones una conclusión</w:t>
      </w:r>
      <w:r>
        <w:t xml:space="preserve"> </w:t>
      </w:r>
      <w:r>
        <w:t xml:space="preserve">o una hipótesis atractiva fue sometida a una prueba que podía refutarla, y la prueba la refutó.</w:t>
      </w:r>
    </w:p>
    <w:p>
      <w:pPr>
        <w:pStyle w:val="BodyText"/>
      </w:pPr>
      <w:r>
        <w:rPr>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p>
      <w:pPr>
        <w:pStyle w:val="Heading3"/>
      </w:pPr>
      <w:bookmarkStart w:id="170" w:name="limitaciones"/>
      <w:r>
        <w:t xml:space="preserve">7.8.3. Limitaciones</w:t>
      </w:r>
      <w:bookmarkEnd w:id="170"/>
    </w:p>
    <w:p>
      <w:pPr>
        <w:pStyle w:val="FirstParagraph"/>
      </w:pPr>
      <w:r>
        <w:t xml:space="preserve">Se enumeran las que afectan a la validez de las conclusiones, ordenadas por importancia.</w:t>
      </w:r>
    </w:p>
    <w:p>
      <w:pPr>
        <w:numPr>
          <w:ilvl w:val="0"/>
          <w:numId w:val="1010"/>
        </w:numPr>
        <w:pStyle w:val="Compact"/>
      </w:pPr>
      <w:r>
        <w:rPr>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186.868 y 338.567 dólares frente a los 164.543</w:t>
      </w:r>
      <w:r>
        <w:t xml:space="preserve"> </w:t>
      </w:r>
      <w:r>
        <w:t xml:space="preserve">medidos, de modo que</w:t>
      </w:r>
      <w:r>
        <w:t xml:space="preserve"> </w:t>
      </w:r>
      <w:r>
        <w:rPr>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10"/>
        </w:numPr>
        <w:pStyle w:val="Compact"/>
      </w:pPr>
      <w:r>
        <w:rPr>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10"/>
        </w:numPr>
        <w:pStyle w:val="Compact"/>
      </w:pPr>
      <w:r>
        <w:rPr>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10"/>
        </w:numPr>
        <w:pStyle w:val="Compact"/>
      </w:pPr>
      <w:r>
        <w:rPr>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10"/>
        </w:numPr>
        <w:pStyle w:val="Compact"/>
      </w:pPr>
      <w:r>
        <w:rPr>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5,3 %, pero el pico del 31 de diciembre sigue infravalorado y la validación en</w:t>
      </w:r>
      <w:r>
        <w:t xml:space="preserve"> </w:t>
      </w:r>
      <w:r>
        <w:t xml:space="preserve">temporada alta se apoya en un solo año.</w:t>
      </w:r>
    </w:p>
    <w:p>
      <w:pPr>
        <w:numPr>
          <w:ilvl w:val="0"/>
          <w:numId w:val="1010"/>
        </w:numPr>
        <w:pStyle w:val="Compact"/>
      </w:pPr>
      <w:r>
        <w:rPr>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10"/>
        </w:numPr>
        <w:pStyle w:val="Compact"/>
      </w:pPr>
      <w:r>
        <w:rPr>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p>
      <w:pPr>
        <w:pStyle w:val="Heading3"/>
      </w:pPr>
      <w:bookmarkStart w:id="171" w:name="trabajo-futuro"/>
      <w:r>
        <w:t xml:space="preserve">7.8.4. Trabajo futuro</w:t>
      </w:r>
      <w:bookmarkEnd w:id="171"/>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
        </w:rPr>
        <w:t xml:space="preserve">Predicción de productos sin histórico.</w:t>
      </w:r>
      <w:r>
        <w:t xml:space="preserve"> </w:t>
      </w:r>
      <w:r>
        <w:t xml:space="preserve">Una referencia nueva llega al lineal sin retardos ni</w:t>
      </w:r>
      <w:r>
        <w:t xml:space="preserve"> </w:t>
      </w:r>
      <w:r>
        <w:t xml:space="preserve">medias móviles, es decir sin el 86%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
        </w:rPr>
        <w:t xml:space="preserve">análisis</w:t>
      </w:r>
      <w:r>
        <w:rPr>
          <w:b/>
        </w:rPr>
        <w:t xml:space="preserve"> </w:t>
      </w:r>
      <w:r>
        <w:rPr>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
        </w:rPr>
        <w:t xml:space="preserve">arquitecturas neuronales genéricas</w:t>
      </w:r>
      <w:r>
        <w:t xml:space="preserve">,</w:t>
      </w:r>
      <w:r>
        <w:t xml:space="preserve"> </w:t>
      </w:r>
      <w:r>
        <w:t xml:space="preserve">superadas por los ensambles de árboles en problemas de esta estructura, y un</w:t>
      </w:r>
      <w:r>
        <w:t xml:space="preserve"> </w:t>
      </w:r>
      <w:r>
        <w:rPr>
          <w:b/>
        </w:rPr>
        <w:t xml:space="preserve">modelo de mayor</w:t>
      </w:r>
      <w:r>
        <w:rPr>
          <w:b/>
        </w:rPr>
        <w:t xml:space="preserve"> </w:t>
      </w:r>
      <w:r>
        <w:rPr>
          <w:b/>
        </w:rPr>
        <w:t xml:space="preserve">capacidad</w:t>
      </w:r>
      <w:r>
        <w:t xml:space="preserve">, dado que la media móvil de 28 días concentra el 54,1% de la importancia y el techo</w:t>
      </w:r>
      <w:r>
        <w:t xml:space="preserve"> </w:t>
      </w:r>
      <w:r>
        <w:t xml:space="preserve">lo pone el ruido de la serie.</w:t>
      </w:r>
    </w:p>
    <w:p>
      <w:pPr>
        <w:pStyle w:val="Heading1"/>
      </w:pPr>
      <w:bookmarkStart w:id="172" w:name="referencias"/>
      <w:r>
        <w:t xml:space="preserve">8. Referencias</w:t>
      </w:r>
      <w:bookmarkEnd w:id="172"/>
    </w:p>
    <w:p>
      <w:pPr>
        <w:pStyle w:val="FirstParagraph"/>
      </w:pPr>
      <w:r>
        <w:t xml:space="preserve">Angrist, J. D., &amp; Pischke, J.-S. (2009).</w:t>
      </w:r>
      <w:r>
        <w:t xml:space="preserve"> </w:t>
      </w:r>
      <w:r>
        <w:rPr>
          <w:i/>
        </w:rPr>
        <w:t xml:space="preserve">Mostly harmless econometrics: An empiricist’s</w:t>
      </w:r>
      <w:r>
        <w:rPr>
          <w:i/>
        </w:rPr>
        <w:t xml:space="preserve"> </w:t>
      </w:r>
      <w:r>
        <w:rPr>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
        </w:rPr>
        <w:t xml:space="preserve">Proceedings of the 11th Conference</w:t>
      </w:r>
      <w:r>
        <w:rPr>
          <w:i/>
        </w:rPr>
        <w:t xml:space="preserve"> </w:t>
      </w:r>
      <w:r>
        <w:rPr>
          <w:i/>
        </w:rPr>
        <w:t xml:space="preserve">on Innovative Data Systems Research (CIDR)</w:t>
      </w:r>
      <w:r>
        <w:t xml:space="preserve">.</w:t>
      </w:r>
    </w:p>
    <w:p>
      <w:pPr>
        <w:pStyle w:val="BodyText"/>
      </w:pPr>
      <w:r>
        <w:t xml:space="preserve">Arrow, K. J., Harris, T., &amp; Marschak, J. (1951). Optimal inventory policy.</w:t>
      </w:r>
      <w:r>
        <w:t xml:space="preserve"> </w:t>
      </w:r>
      <w:r>
        <w:rPr>
          <w:i/>
        </w:rPr>
        <w:t xml:space="preserve">Econometrica, 19</w:t>
      </w:r>
      <w:r>
        <w:t xml:space="preserve">(3),</w:t>
      </w:r>
      <w:r>
        <w:t xml:space="preserve"> </w:t>
      </w:r>
      <w:r>
        <w:t xml:space="preserve">250–272.</w:t>
      </w:r>
    </w:p>
    <w:p>
      <w:pPr>
        <w:pStyle w:val="BodyText"/>
      </w:pPr>
      <w:r>
        <w:t xml:space="preserve">Bellman, R. (1961).</w:t>
      </w:r>
      <w:r>
        <w:t xml:space="preserve"> </w:t>
      </w:r>
      <w:r>
        <w:rPr>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
        </w:rPr>
        <w:t xml:space="preserve">Journal of Marketing Research, 42</w:t>
      </w:r>
      <w:r>
        <w:t xml:space="preserve">(2), 141–156.</w:t>
      </w:r>
    </w:p>
    <w:p>
      <w:pPr>
        <w:pStyle w:val="BodyText"/>
      </w:pPr>
      <w:r>
        <w:t xml:space="preserve">Chen, T., &amp; Guestrin, C. (2016). XGBoost: A scalable tree boosting system.</w:t>
      </w:r>
      <w:r>
        <w:t xml:space="preserve"> </w:t>
      </w:r>
      <w:r>
        <w:rPr>
          <w:i/>
        </w:rPr>
        <w:t xml:space="preserve">Proceedings of the</w:t>
      </w:r>
      <w:r>
        <w:rPr>
          <w:i/>
        </w:rPr>
        <w:t xml:space="preserve"> </w:t>
      </w:r>
      <w:r>
        <w:rPr>
          <w:i/>
        </w:rPr>
        <w:t xml:space="preserve">22nd ACM SIGKDD International Conference on Knowledge Discovery and Data Mining</w:t>
      </w:r>
      <w:r>
        <w:t xml:space="preserve">, 785–794.</w:t>
      </w:r>
    </w:p>
    <w:p>
      <w:pPr>
        <w:pStyle w:val="BodyText"/>
      </w:pPr>
      <w:r>
        <w:t xml:space="preserve">Correia, S. (2017).</w:t>
      </w:r>
      <w:r>
        <w:t xml:space="preserve"> </w:t>
      </w:r>
      <w:r>
        <w:rPr>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
        </w:rPr>
        <w:t xml:space="preserve">Operational</w:t>
      </w:r>
      <w:r>
        <w:rPr>
          <w:i/>
        </w:rPr>
        <w:t xml:space="preserve"> </w:t>
      </w:r>
      <w:r>
        <w:rPr>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
        </w:rPr>
        <w:t xml:space="preserve">Econometrica, 1</w:t>
      </w:r>
      <w:r>
        <w:t xml:space="preserve">(4), 387–401.</w:t>
      </w:r>
    </w:p>
    <w:p>
      <w:pPr>
        <w:pStyle w:val="BodyText"/>
      </w:pPr>
      <w:r>
        <w:t xml:space="preserve">Gneiting, T., &amp; Raftery, A. E. (2007). Strictly proper scoring rules, prediction, and estimation.</w:t>
      </w:r>
      <w:r>
        <w:t xml:space="preserve"> </w:t>
      </w:r>
      <w:r>
        <w:rPr>
          <w:i/>
        </w:rPr>
        <w:t xml:space="preserve">Journal of the American Statistical Association, 102</w:t>
      </w:r>
      <w:r>
        <w:t xml:space="preserve">(477), 359–378.</w:t>
      </w:r>
    </w:p>
    <w:p>
      <w:pPr>
        <w:pStyle w:val="BodyText"/>
      </w:pPr>
      <w:r>
        <w:t xml:space="preserve">Gruen, T. W., Corsten, D. S., &amp; Bharadwaj, S. (2002).</w:t>
      </w:r>
      <w:r>
        <w:t xml:space="preserve"> </w:t>
      </w:r>
      <w:r>
        <w:rPr>
          <w:i/>
        </w:rPr>
        <w:t xml:space="preserve">Retail out-of-stocks: A worldwide</w:t>
      </w:r>
      <w:r>
        <w:rPr>
          <w:i/>
        </w:rPr>
        <w:t xml:space="preserve"> </w:t>
      </w:r>
      <w:r>
        <w:rPr>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
        </w:rPr>
        <w:t xml:space="preserve">The Stata Journal, 10</w:t>
      </w:r>
      <w:r>
        <w:t xml:space="preserve">(4), 628–649.</w:t>
      </w:r>
    </w:p>
    <w:p>
      <w:pPr>
        <w:pStyle w:val="BodyText"/>
      </w:pPr>
      <w:r>
        <w:t xml:space="preserve">Hubert, L., &amp; Arabie, P. (1985). Comparing partitions.</w:t>
      </w:r>
      <w:r>
        <w:t xml:space="preserve"> </w:t>
      </w:r>
      <w:r>
        <w:rPr>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
        </w:rPr>
        <w:t xml:space="preserve">International Journal of</w:t>
      </w:r>
      <w:r>
        <w:rPr>
          <w:i/>
        </w:rPr>
        <w:t xml:space="preserve"> </w:t>
      </w:r>
      <w:r>
        <w:rPr>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
        </w:rPr>
        <w:t xml:space="preserve">Advances in Neural Information Processing</w:t>
      </w:r>
      <w:r>
        <w:rPr>
          <w:i/>
        </w:rPr>
        <w:t xml:space="preserve"> </w:t>
      </w:r>
      <w:r>
        <w:rPr>
          <w:i/>
        </w:rPr>
        <w:t xml:space="preserve">Systems, 30</w:t>
      </w:r>
      <w:r>
        <w:t xml:space="preserve">, 3146–3154.</w:t>
      </w:r>
    </w:p>
    <w:p>
      <w:pPr>
        <w:pStyle w:val="BodyText"/>
      </w:pPr>
      <w:r>
        <w:t xml:space="preserve">Kimball, R., &amp; Ross, M. (2013).</w:t>
      </w:r>
      <w:r>
        <w:t xml:space="preserve"> </w:t>
      </w:r>
      <w:r>
        <w:rPr>
          <w:i/>
        </w:rPr>
        <w:t xml:space="preserve">The data warehouse toolkit: The definitive guide to dimensional</w:t>
      </w:r>
      <w:r>
        <w:rPr>
          <w:i/>
        </w:rPr>
        <w:t xml:space="preserve"> </w:t>
      </w:r>
      <w:r>
        <w:rPr>
          <w:i/>
        </w:rPr>
        <w:t xml:space="preserve">modeling</w:t>
      </w:r>
      <w:r>
        <w:t xml:space="preserve"> </w:t>
      </w:r>
      <w:r>
        <w:t xml:space="preserve">(3rd ed.). Wiley.</w:t>
      </w:r>
    </w:p>
    <w:p>
      <w:pPr>
        <w:pStyle w:val="BodyText"/>
      </w:pPr>
      <w:r>
        <w:t xml:space="preserve">Koenker, R., &amp; Bassett, G. (1978). Regression quantiles.</w:t>
      </w:r>
      <w:r>
        <w:t xml:space="preserve"> </w:t>
      </w:r>
      <w:r>
        <w:rPr>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
        </w:rPr>
        <w:t xml:space="preserve">International</w:t>
      </w:r>
      <w:r>
        <w:rPr>
          <w:i/>
        </w:rPr>
        <w:t xml:space="preserve"> </w:t>
      </w:r>
      <w:r>
        <w:rPr>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
        </w:rPr>
        <w:t xml:space="preserve">International Journal of Forecasting,</w:t>
      </w:r>
      <w:r>
        <w:rPr>
          <w:i/>
        </w:rPr>
        <w:t xml:space="preserve"> </w:t>
      </w:r>
      <w:r>
        <w:rPr>
          <w:i/>
        </w:rPr>
        <w:t xml:space="preserve">38</w:t>
      </w:r>
      <w:r>
        <w:t xml:space="preserve">(3), 705–871.</w:t>
      </w:r>
    </w:p>
    <w:p>
      <w:pPr>
        <w:pStyle w:val="BodyText"/>
      </w:pPr>
      <w:r>
        <w:t xml:space="preserve">Raasveldt, M., &amp; Mühleisen, H. (2019). DuckDB: An embeddable analytical database.</w:t>
      </w:r>
      <w:r>
        <w:t xml:space="preserve"> </w:t>
      </w:r>
      <w:r>
        <w:rPr>
          <w:i/>
        </w:rPr>
        <w:t xml:space="preserve">Proceedings</w:t>
      </w:r>
      <w:r>
        <w:rPr>
          <w:i/>
        </w:rPr>
        <w:t xml:space="preserve"> </w:t>
      </w:r>
      <w:r>
        <w:rPr>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
        </w:rPr>
        <w:t xml:space="preserve">Advances</w:t>
      </w:r>
      <w:r>
        <w:rPr>
          <w:i/>
        </w:rPr>
        <w:t xml:space="preserve"> </w:t>
      </w:r>
      <w:r>
        <w:rPr>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
        </w:rPr>
        <w:t xml:space="preserve">Journal of Computational and Applied Mathematics, 20</w:t>
      </w:r>
      <w:r>
        <w:t xml:space="preserve">, 53–65.</w:t>
      </w:r>
    </w:p>
    <w:p>
      <w:pPr>
        <w:pStyle w:val="BodyText"/>
      </w:pPr>
      <w:r>
        <w:t xml:space="preserve">Silver, E. A., Pyke, D. F., &amp; Thomas, D. J. (2016).</w:t>
      </w:r>
      <w:r>
        <w:t xml:space="preserve"> </w:t>
      </w:r>
      <w:r>
        <w:rPr>
          <w:i/>
        </w:rPr>
        <w:t xml:space="preserve">Inventory and production management in</w:t>
      </w:r>
      <w:r>
        <w:rPr>
          <w:i/>
        </w:rPr>
        <w:t xml:space="preserve"> </w:t>
      </w:r>
      <w:r>
        <w:rPr>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
        </w:rPr>
        <w:t xml:space="preserve">International Journal of Production Economics, 71</w:t>
      </w:r>
      <w:r>
        <w:t xml:space="preserve">(1–3), 457–466.</w:t>
      </w:r>
    </w:p>
    <w:p>
      <w:pPr>
        <w:pStyle w:val="BodyText"/>
      </w:pPr>
      <w:r>
        <w:t xml:space="preserve">Taylor, S. J., &amp; Letham, B. (2018). Forecasting at scale.</w:t>
      </w:r>
      <w:r>
        <w:t xml:space="preserve"> </w:t>
      </w:r>
      <w:r>
        <w:rPr>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
        </w:rPr>
        <w:t xml:space="preserve">Psychometrika, 18</w:t>
      </w:r>
      <w:r>
        <w:t xml:space="preserve">(4), 267–276.</w:t>
      </w:r>
    </w:p>
    <w:p>
      <w:pPr>
        <w:pStyle w:val="BodyText"/>
      </w:pPr>
      <w:r>
        <w:t xml:space="preserve">Villas-Boas, J. M., &amp; Winer, R. S. (1999). Endogeneity in brand choice models.</w:t>
      </w:r>
      <w:r>
        <w:t xml:space="preserve"> </w:t>
      </w:r>
      <w:r>
        <w:rPr>
          <w:i/>
        </w:rPr>
        <w:t xml:space="preserve">Management</w:t>
      </w:r>
      <w:r>
        <w:rPr>
          <w:i/>
        </w:rPr>
        <w:t xml:space="preserve"> </w:t>
      </w:r>
      <w:r>
        <w:rPr>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
        </w:rPr>
        <w:t xml:space="preserve">Journal of</w:t>
      </w:r>
      <w:r>
        <w:rPr>
          <w:i/>
        </w:rPr>
        <w:t xml:space="preserve"> </w:t>
      </w:r>
      <w:r>
        <w:rPr>
          <w:i/>
        </w:rPr>
        <w:t xml:space="preserve">the American Statistical Association, 114</w:t>
      </w:r>
      <w:r>
        <w:t xml:space="preserve">(526), 804–819.</w:t>
      </w:r>
    </w:p>
    <w:p>
      <w:pPr>
        <w:pStyle w:val="BodyText"/>
      </w:pPr>
      <w:r>
        <w:t xml:space="preserve">Zipkin, P. H. (2000).</w:t>
      </w:r>
      <w:r>
        <w:t xml:space="preserve"> </w:t>
      </w:r>
      <w:r>
        <w:rPr>
          <w:i/>
        </w:rPr>
        <w:t xml:space="preserve">Foundations of inventory management</w:t>
      </w:r>
      <w:r>
        <w:t xml:space="preserve">. McGraw-Hill.</w:t>
      </w:r>
    </w:p>
    <w:p>
      <w:r>
        <w:pict>
          <v:rect style="width:0;height:1.5pt" o:hralign="center" o:hrstd="t" o:hr="t"/>
        </w:pict>
      </w:r>
    </w:p>
    <w:p>
      <w:pPr>
        <w:pStyle w:val="Heading1"/>
      </w:pPr>
      <w:bookmarkStart w:id="173" w:name="anexos"/>
      <w:r>
        <w:t xml:space="preserve">9. Anexos</w:t>
      </w:r>
      <w:bookmarkEnd w:id="173"/>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p>
      <w:pPr>
        <w:pStyle w:val="Heading2"/>
      </w:pPr>
      <w:bookmarkStart w:id="174" w:name="X4deb3d807606c30ab159fa52b782ca60bae7d62"/>
      <w:r>
        <w:t xml:space="preserve">Anexo A. Cuadernos de análisis y entrenamientos auxiliares</w:t>
      </w:r>
      <w:bookmarkEnd w:id="174"/>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Cuaderno</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Sección</w:t>
            </w:r>
          </w:p>
        </w:tc>
      </w:tr>
      <w:tr>
        <w:tc>
          <w:p>
            <w:pPr>
              <w:pStyle w:val="Compact"/>
              <w:jc w:val="left"/>
            </w:pPr>
            <w:r>
              <w:rPr>
                <w:rStyle w:val="VerbatimChar"/>
              </w:rPr>
              <w:t xml:space="preserve">01_EDA_DSMarket.ipynb</w:t>
            </w:r>
          </w:p>
        </w:tc>
        <w:tc>
          <w:p>
            <w:pPr>
              <w:pStyle w:val="Compact"/>
              <w:jc w:val="left"/>
            </w:pPr>
            <w:r>
              <w:t xml:space="preserve">Análisis exploratorio, diagnóstico de calidad y eventos vistos por semanas</w:t>
            </w:r>
          </w:p>
        </w:tc>
        <w:tc>
          <w:p>
            <w:pPr>
              <w:pStyle w:val="Compact"/>
              <w:jc w:val="left"/>
            </w:pPr>
            <w:r>
              <w:t xml:space="preserve">§7.1</w:t>
            </w:r>
          </w:p>
        </w:tc>
      </w:tr>
      <w:tr>
        <w:tc>
          <w:p>
            <w:pPr>
              <w:pStyle w:val="Compact"/>
              <w:jc w:val="left"/>
            </w:pPr>
            <w:r>
              <w:rPr>
                <w:rStyle w:val="VerbatimChar"/>
              </w:rPr>
              <w:t xml:space="preserve">02_Clustering_DSMarket.ipynb</w:t>
            </w:r>
          </w:p>
        </w:tc>
        <w:tc>
          <w:p>
            <w:pPr>
              <w:pStyle w:val="Compact"/>
              <w:jc w:val="left"/>
            </w:pPr>
            <w:r>
              <w:t xml:space="preserve">Segmentación de productos (método del codo, variables medidas desde la primera venta) y comparación de tiendas</w:t>
            </w:r>
          </w:p>
        </w:tc>
        <w:tc>
          <w:p>
            <w:pPr>
              <w:pStyle w:val="Compact"/>
              <w:jc w:val="left"/>
            </w:pPr>
            <w:r>
              <w:t xml:space="preserve">§7.2</w:t>
            </w:r>
          </w:p>
        </w:tc>
      </w:tr>
      <w:tr>
        <w:tc>
          <w:p>
            <w:pPr>
              <w:pStyle w:val="Compact"/>
              <w:jc w:val="left"/>
            </w:pPr>
            <w:r>
              <w:rPr>
                <w:rStyle w:val="VerbatimChar"/>
              </w:rPr>
              <w:t xml:space="preserve">03_Forecasting_DSMarket.ipynb</w:t>
            </w:r>
          </w:p>
        </w:tc>
        <w:tc>
          <w:p>
            <w:pPr>
              <w:pStyle w:val="Compact"/>
              <w:jc w:val="left"/>
            </w:pPr>
            <w:r>
              <w:t xml:space="preserve">Comparación de modelos, validación y reconciliación; revisión sin la variable de grupo de producto, métrica semanal, eventos semanales y modelo final de 400 días</w:t>
            </w:r>
          </w:p>
        </w:tc>
        <w:tc>
          <w:p>
            <w:pPr>
              <w:pStyle w:val="Compact"/>
              <w:jc w:val="left"/>
            </w:pPr>
            <w:r>
              <w:t xml:space="preserve">§7.3</w:t>
            </w:r>
          </w:p>
        </w:tc>
      </w:tr>
      <w:tr>
        <w:tc>
          <w:p>
            <w:pPr>
              <w:pStyle w:val="Compact"/>
              <w:jc w:val="left"/>
            </w:pPr>
            <w:r>
              <w:rPr>
                <w:rStyle w:val="VerbatimChar"/>
              </w:rPr>
              <w:t xml:space="preserve">04_Abastecimiento_DSMarket.ipynb</w:t>
            </w:r>
          </w:p>
        </w:tc>
        <w:tc>
          <w:p>
            <w:pPr>
              <w:pStyle w:val="Compact"/>
              <w:jc w:val="left"/>
            </w:pPr>
            <w:r>
              <w:t xml:space="preserve">Política de reposición y simulación de costes con las predicciones del modelo final</w:t>
            </w:r>
          </w:p>
        </w:tc>
        <w:tc>
          <w:p>
            <w:pPr>
              <w:pStyle w:val="Compact"/>
              <w:jc w:val="left"/>
            </w:pPr>
            <w:r>
              <w:t xml:space="preserve">§7.4</w:t>
            </w:r>
          </w:p>
        </w:tc>
      </w:tr>
      <w:tr>
        <w:tc>
          <w:p>
            <w:pPr>
              <w:pStyle w:val="Compact"/>
              <w:jc w:val="left"/>
            </w:pPr>
            <w:r>
              <w:rPr>
                <w:rStyle w:val="VerbatimChar"/>
              </w:rPr>
              <w:t xml:space="preserve">05_Elasticidad_DSMarket.ipynb</w:t>
            </w:r>
          </w:p>
        </w:tc>
        <w:tc>
          <w:p>
            <w:pPr>
              <w:pStyle w:val="Compact"/>
              <w:jc w:val="left"/>
            </w:pPr>
            <w:r>
              <w:t xml:space="preserve">Estimación de elasticidad y prueba de falsación</w:t>
            </w:r>
          </w:p>
        </w:tc>
        <w:tc>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p>
      <w:pPr>
        <w:pStyle w:val="Heading2"/>
      </w:pPr>
      <w:bookmarkStart w:id="175" w:name="anexo-b.-el-almacén-analítico"/>
      <w:r>
        <w:t xml:space="preserve">Anexo B. El almacén analítico</w:t>
      </w:r>
      <w:bookmarkEnd w:id="175"/>
    </w:p>
    <w:p>
      <w:pPr>
        <w:pStyle w:val="FirstParagraph"/>
      </w:pPr>
      <w:r>
        <w:rPr>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Regla</w:t>
            </w:r>
          </w:p>
        </w:tc>
      </w:tr>
      <w:tr>
        <w:tc>
          <w:p>
            <w:pPr>
              <w:pStyle w:val="Compact"/>
              <w:jc w:val="left"/>
            </w:pPr>
            <w:r>
              <w:t xml:space="preserve">Bronce</w:t>
            </w:r>
          </w:p>
        </w:tc>
        <w:tc>
          <w:p>
            <w:pPr>
              <w:pStyle w:val="Compact"/>
              <w:jc w:val="left"/>
            </w:pPr>
            <w:r>
              <w:t xml:space="preserve">Copia fiel de las tres fuentes, sin transformar</w:t>
            </w:r>
          </w:p>
        </w:tc>
        <w:tc>
          <w:p>
            <w:pPr>
              <w:pStyle w:val="Compact"/>
              <w:jc w:val="left"/>
            </w:pPr>
            <w:r>
              <w:t xml:space="preserve">No se modifica: es la trazabilidad</w:t>
            </w:r>
          </w:p>
        </w:tc>
      </w:tr>
      <w:tr>
        <w:tc>
          <w:p>
            <w:pPr>
              <w:pStyle w:val="Compact"/>
              <w:jc w:val="left"/>
            </w:pPr>
            <w:r>
              <w:t xml:space="preserve">Plata</w:t>
            </w:r>
          </w:p>
        </w:tc>
        <w:tc>
          <w:p>
            <w:pPr>
              <w:pStyle w:val="Compact"/>
              <w:jc w:val="left"/>
            </w:pPr>
            <w:r>
              <w:t xml:space="preserve">Datos limpios, tipados y en formato largo</w:t>
            </w:r>
          </w:p>
        </w:tc>
        <w:tc>
          <w:p>
            <w:pPr>
              <w:pStyle w:val="Compact"/>
              <w:jc w:val="left"/>
            </w:pPr>
            <w:r>
              <w:t xml:space="preserve">Contiene las reglas de negocio derivadas del análisis exploratorio</w:t>
            </w:r>
          </w:p>
        </w:tc>
      </w:tr>
      <w:tr>
        <w:tc>
          <w:p>
            <w:pPr>
              <w:pStyle w:val="Compact"/>
              <w:jc w:val="left"/>
            </w:pPr>
            <w:r>
              <w:t xml:space="preserve">Oro</w:t>
            </w:r>
          </w:p>
        </w:tc>
        <w:tc>
          <w:p>
            <w:pPr>
              <w:pStyle w:val="Compact"/>
              <w:jc w:val="left"/>
            </w:pPr>
            <w:r>
              <w:t xml:space="preserve">Modelo dimensional en estrella y tablas agregadas</w:t>
            </w:r>
          </w:p>
        </w:tc>
        <w:tc>
          <w:p>
            <w:pPr>
              <w:pStyle w:val="Compact"/>
              <w:jc w:val="left"/>
            </w:pPr>
            <w:r>
              <w:t xml:space="preserve">Es lo que consumen el cuadro de mando, la interfaz de programación y los modelos</w:t>
            </w:r>
          </w:p>
        </w:tc>
      </w:tr>
    </w:tbl>
    <w:p>
      <w:pPr>
        <w:pStyle w:val="BodyText"/>
      </w:pPr>
      <w:r>
        <w:rPr>
          <w:b/>
        </w:rPr>
        <w:t xml:space="preserve">Reglas de negocio codificadas en la capa plata.</w:t>
      </w:r>
    </w:p>
    <w:p>
      <w:pPr>
        <w:numPr>
          <w:ilvl w:val="0"/>
          <w:numId w:val="1011"/>
        </w:numPr>
        <w:pStyle w:val="Compact"/>
      </w:pPr>
      <w:r>
        <w:rPr>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1"/>
        </w:numPr>
        <w:pStyle w:val="Compact"/>
      </w:pPr>
      <w:r>
        <w:rPr>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1"/>
        </w:numPr>
        <w:pStyle w:val="Compact"/>
      </w:pPr>
      <w:r>
        <w:rPr>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
        </w:rPr>
        <w:t xml:space="preserve">Diccionario de la capa oro.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Grano</w:t>
            </w:r>
          </w:p>
        </w:tc>
        <w:tc>
          <w:tcPr>
            <w:tcBorders>
              <w:bottom w:val="single"/>
            </w:tcBorders>
            <w:vAlign w:val="bottom"/>
          </w:tcPr>
          <w:p>
            <w:pPr>
              <w:pStyle w:val="Compact"/>
              <w:jc w:val="left"/>
            </w:pPr>
            <w:r>
              <w:t xml:space="preserve">Filas</w:t>
            </w:r>
          </w:p>
        </w:tc>
      </w:tr>
      <w:tr>
        <w:tc>
          <w:p>
            <w:pPr>
              <w:pStyle w:val="Compact"/>
              <w:jc w:val="left"/>
            </w:pPr>
            <w:r>
              <w:rPr>
                <w:rStyle w:val="VerbatimChar"/>
              </w:rPr>
              <w:t xml:space="preserve">dim_calendario</w:t>
            </w:r>
          </w:p>
        </w:tc>
        <w:tc>
          <w:p>
            <w:pPr>
              <w:pStyle w:val="Compact"/>
              <w:jc w:val="left"/>
            </w:pPr>
            <w:r>
              <w:t xml:space="preserve">día (incluye los 28 días de horizonte)</w:t>
            </w:r>
          </w:p>
        </w:tc>
        <w:tc>
          <w:p>
            <w:pPr>
              <w:pStyle w:val="Compact"/>
              <w:jc w:val="left"/>
            </w:pPr>
            <w:r>
              <w:t xml:space="preserve">1.941</w:t>
            </w:r>
          </w:p>
        </w:tc>
      </w:tr>
      <w:tr>
        <w:tc>
          <w:p>
            <w:pPr>
              <w:pStyle w:val="Compact"/>
              <w:jc w:val="left"/>
            </w:pPr>
            <w:r>
              <w:rPr>
                <w:rStyle w:val="VerbatimChar"/>
              </w:rPr>
              <w:t xml:space="preserve">dim_producto</w:t>
            </w:r>
          </w:p>
        </w:tc>
        <w:tc>
          <w:p>
            <w:pPr>
              <w:pStyle w:val="Compact"/>
              <w:jc w:val="left"/>
            </w:pPr>
            <w:r>
              <w:t xml:space="preserve">producto, con su grupo de comportamiento</w:t>
            </w:r>
          </w:p>
        </w:tc>
        <w:tc>
          <w:p>
            <w:pPr>
              <w:pStyle w:val="Compact"/>
              <w:jc w:val="left"/>
            </w:pPr>
            <w:r>
              <w:t xml:space="preserve">3.049</w:t>
            </w:r>
          </w:p>
        </w:tc>
      </w:tr>
      <w:tr>
        <w:tc>
          <w:p>
            <w:pPr>
              <w:pStyle w:val="Compact"/>
              <w:jc w:val="left"/>
            </w:pPr>
            <w:r>
              <w:rPr>
                <w:rStyle w:val="VerbatimChar"/>
              </w:rPr>
              <w:t xml:space="preserve">dim_tienda</w:t>
            </w:r>
          </w:p>
        </w:tc>
        <w:tc>
          <w:p>
            <w:pPr>
              <w:pStyle w:val="Compact"/>
              <w:jc w:val="left"/>
            </w:pPr>
            <w:r>
              <w:t xml:space="preserve">tienda, con la tienda más parecida</w:t>
            </w:r>
          </w:p>
        </w:tc>
        <w:tc>
          <w:p>
            <w:pPr>
              <w:pStyle w:val="Compact"/>
              <w:jc w:val="left"/>
            </w:pPr>
            <w:r>
              <w:t xml:space="preserve">10</w:t>
            </w:r>
          </w:p>
        </w:tc>
      </w:tr>
      <w:tr>
        <w:tc>
          <w:p>
            <w:pPr>
              <w:pStyle w:val="Compact"/>
              <w:jc w:val="left"/>
            </w:pPr>
            <w:r>
              <w:rPr>
                <w:rStyle w:val="VerbatimChar"/>
              </w:rPr>
              <w:t xml:space="preserve">dim_serie</w:t>
            </w:r>
          </w:p>
        </w:tc>
        <w:tc>
          <w:p>
            <w:pPr>
              <w:pStyle w:val="Compact"/>
              <w:jc w:val="left"/>
            </w:pPr>
            <w:r>
              <w:t xml:space="preserve">producto × tienda, con clase ABC/XYZ</w:t>
            </w:r>
          </w:p>
        </w:tc>
        <w:tc>
          <w:p>
            <w:pPr>
              <w:pStyle w:val="Compact"/>
              <w:jc w:val="left"/>
            </w:pPr>
            <w:r>
              <w:t xml:space="preserve">30.490</w:t>
            </w:r>
          </w:p>
        </w:tc>
      </w:tr>
      <w:tr>
        <w:tc>
          <w:p>
            <w:pPr>
              <w:pStyle w:val="Compact"/>
              <w:jc w:val="left"/>
            </w:pPr>
            <w:r>
              <w:rPr>
                <w:rStyle w:val="VerbatimChar"/>
              </w:rPr>
              <w:t xml:space="preserve">fact_ventas</w:t>
            </w:r>
          </w:p>
        </w:tc>
        <w:tc>
          <w:p>
            <w:pPr>
              <w:pStyle w:val="Compact"/>
              <w:jc w:val="left"/>
            </w:pPr>
            <w:r>
              <w:t xml:space="preserve">producto × tienda × día, valorizado</w:t>
            </w:r>
          </w:p>
        </w:tc>
        <w:tc>
          <w:p>
            <w:pPr>
              <w:pStyle w:val="Compact"/>
              <w:jc w:val="left"/>
            </w:pPr>
            <w:r>
              <w:t xml:space="preserve">58.327.370</w:t>
            </w:r>
          </w:p>
        </w:tc>
      </w:tr>
      <w:tr>
        <w:tc>
          <w:p>
            <w:pPr>
              <w:pStyle w:val="Compact"/>
              <w:jc w:val="left"/>
            </w:pPr>
            <w:r>
              <w:rPr>
                <w:rStyle w:val="VerbatimChar"/>
              </w:rPr>
              <w:t xml:space="preserve">fact_predicciones</w:t>
            </w:r>
          </w:p>
        </w:tc>
        <w:tc>
          <w:p>
            <w:pPr>
              <w:pStyle w:val="Compact"/>
              <w:jc w:val="left"/>
            </w:pPr>
            <w:r>
              <w:t xml:space="preserve">producto × tienda × día futuro (media y percentil 90)</w:t>
            </w:r>
          </w:p>
        </w:tc>
        <w:tc>
          <w:p>
            <w:pPr>
              <w:pStyle w:val="Compact"/>
              <w:jc w:val="left"/>
            </w:pPr>
            <w:r>
              <w:t xml:space="preserve">853.720</w:t>
            </w:r>
          </w:p>
        </w:tc>
      </w:tr>
      <w:tr>
        <w:tc>
          <w:p>
            <w:pPr>
              <w:pStyle w:val="Compact"/>
              <w:jc w:val="left"/>
            </w:pPr>
            <w:r>
              <w:rPr>
                <w:rStyle w:val="VerbatimChar"/>
              </w:rPr>
              <w:t xml:space="preserve">fact_reposicion</w:t>
            </w:r>
          </w:p>
        </w:tc>
        <w:tc>
          <w:p>
            <w:pPr>
              <w:pStyle w:val="Compact"/>
              <w:jc w:val="left"/>
            </w:pPr>
            <w:r>
              <w:t xml:space="preserve">producto × tienda × revisión (nivel objetivo y stock de seguridad)</w:t>
            </w:r>
          </w:p>
        </w:tc>
        <w:tc>
          <w:p>
            <w:pPr>
              <w:pStyle w:val="Compact"/>
              <w:jc w:val="left"/>
            </w:pPr>
            <w:r>
              <w:t xml:space="preserve">121.960</w:t>
            </w:r>
          </w:p>
        </w:tc>
      </w:tr>
      <w:tr>
        <w:tc>
          <w:p>
            <w:pPr>
              <w:pStyle w:val="Compact"/>
              <w:jc w:val="left"/>
            </w:pPr>
            <w:r>
              <w:rPr>
                <w:rStyle w:val="VerbatimChar"/>
              </w:rPr>
              <w:t xml:space="preserve">mart_ventas_dia</w:t>
            </w:r>
          </w:p>
        </w:tc>
        <w:tc>
          <w:p>
            <w:pPr>
              <w:pStyle w:val="Compact"/>
              <w:jc w:val="left"/>
            </w:pPr>
            <w:r>
              <w:t xml:space="preserve">día × tienda × departamento</w:t>
            </w:r>
          </w:p>
        </w:tc>
        <w:tc>
          <w:p>
            <w:pPr>
              <w:pStyle w:val="Compact"/>
              <w:jc w:val="left"/>
            </w:pPr>
            <w:r>
              <w:t xml:space="preserve">133.910</w:t>
            </w:r>
          </w:p>
        </w:tc>
      </w:tr>
      <w:tr>
        <w:tc>
          <w:p>
            <w:pPr>
              <w:pStyle w:val="Compact"/>
              <w:jc w:val="left"/>
            </w:pPr>
            <w:r>
              <w:rPr>
                <w:rStyle w:val="VerbatimChar"/>
              </w:rPr>
              <w:t xml:space="preserve">mart_producto_tienda</w:t>
            </w:r>
          </w:p>
        </w:tc>
        <w:tc>
          <w:p>
            <w:pPr>
              <w:pStyle w:val="Compact"/>
              <w:jc w:val="left"/>
            </w:pPr>
            <w:r>
              <w:t xml:space="preserve">producto × tienda, agregados</w:t>
            </w:r>
          </w:p>
        </w:tc>
        <w:tc>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p>
      <w:pPr>
        <w:pStyle w:val="Heading2"/>
      </w:pPr>
      <w:bookmarkStart w:id="176" w:name="anexo-c.-el-servicio-de-reposición"/>
      <w:r>
        <w:t xml:space="preserve">Anexo C. El servicio de reposición</w:t>
      </w:r>
      <w:bookmarkEnd w:id="176"/>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Método</w:t>
            </w:r>
          </w:p>
        </w:tc>
        <w:tc>
          <w:tcPr>
            <w:tcBorders>
              <w:bottom w:val="single"/>
            </w:tcBorders>
            <w:vAlign w:val="bottom"/>
          </w:tcPr>
          <w:p>
            <w:pPr>
              <w:pStyle w:val="Compact"/>
              <w:jc w:val="left"/>
            </w:pPr>
            <w:r>
              <w:t xml:space="preserve">Ruta</w:t>
            </w:r>
          </w:p>
        </w:tc>
        <w:tc>
          <w:tcPr>
            <w:tcBorders>
              <w:bottom w:val="single"/>
            </w:tcBorders>
            <w:vAlign w:val="bottom"/>
          </w:tcPr>
          <w:p>
            <w:pPr>
              <w:pStyle w:val="Compact"/>
              <w:jc w:val="left"/>
            </w:pPr>
            <w:r>
              <w:t xml:space="preserve">Función</w:t>
            </w:r>
          </w:p>
        </w:tc>
      </w:tr>
      <w:tr>
        <w:tc>
          <w:p>
            <w:pPr>
              <w:pStyle w:val="Compact"/>
              <w:jc w:val="left"/>
            </w:pPr>
            <w:r>
              <w:rPr>
                <w:rStyle w:val="VerbatimChar"/>
              </w:rPr>
              <w:t xml:space="preserve">POST</w:t>
            </w:r>
          </w:p>
        </w:tc>
        <w:tc>
          <w:p>
            <w:pPr>
              <w:pStyle w:val="Compact"/>
              <w:jc w:val="left"/>
            </w:pPr>
            <w:r>
              <w:rPr>
                <w:rStyle w:val="VerbatimChar"/>
              </w:rPr>
              <w:t xml:space="preserve">/reposicion/sugerencia</w:t>
            </w:r>
          </w:p>
        </w:tc>
        <w:tc>
          <w:p>
            <w:pPr>
              <w:pStyle w:val="Compact"/>
              <w:jc w:val="left"/>
            </w:pPr>
            <w:r>
              <w:t xml:space="preserve">Cantidad que debe pedirse de cada producto</w:t>
            </w:r>
          </w:p>
        </w:tc>
      </w:tr>
      <w:tr>
        <w:tc>
          <w:p>
            <w:pPr>
              <w:pStyle w:val="Compact"/>
              <w:jc w:val="left"/>
            </w:pPr>
            <w:r>
              <w:rPr>
                <w:rStyle w:val="VerbatimChar"/>
              </w:rPr>
              <w:t xml:space="preserve">GET</w:t>
            </w:r>
          </w:p>
        </w:tc>
        <w:tc>
          <w:p>
            <w:pPr>
              <w:pStyle w:val="Compact"/>
              <w:jc w:val="left"/>
            </w:pPr>
            <w:r>
              <w:rPr>
                <w:rStyle w:val="VerbatimChar"/>
              </w:rPr>
              <w:t xml:space="preserve">/prediccion/{tienda}/{item}</w:t>
            </w:r>
          </w:p>
        </w:tc>
        <w:tc>
          <w:p>
            <w:pPr>
              <w:pStyle w:val="Compact"/>
              <w:jc w:val="left"/>
            </w:pPr>
            <w:r>
              <w:t xml:space="preserve">Serie de predicción diaria (media y percentil 90)</w:t>
            </w:r>
          </w:p>
        </w:tc>
      </w:tr>
      <w:tr>
        <w:tc>
          <w:p>
            <w:pPr>
              <w:pStyle w:val="Compact"/>
              <w:jc w:val="left"/>
            </w:pPr>
            <w:r>
              <w:rPr>
                <w:rStyle w:val="VerbatimChar"/>
              </w:rPr>
              <w:t xml:space="preserve">GET</w:t>
            </w:r>
          </w:p>
        </w:tc>
        <w:tc>
          <w:p>
            <w:pPr>
              <w:pStyle w:val="Compact"/>
              <w:jc w:val="left"/>
            </w:pPr>
            <w:r>
              <w:rPr>
                <w:rStyle w:val="VerbatimChar"/>
              </w:rPr>
              <w:t xml:space="preserve">/tiendas</w:t>
            </w:r>
          </w:p>
        </w:tc>
        <w:tc>
          <w:p>
            <w:pPr>
              <w:pStyle w:val="Compact"/>
              <w:jc w:val="left"/>
            </w:pPr>
            <w:r>
              <w:t xml:space="preserve">Catálogo de tiendas con su tienda más parecida</w:t>
            </w:r>
          </w:p>
        </w:tc>
      </w:tr>
      <w:tr>
        <w:tc>
          <w:p>
            <w:pPr>
              <w:pStyle w:val="Compact"/>
              <w:jc w:val="left"/>
            </w:pPr>
            <w:r>
              <w:rPr>
                <w:rStyle w:val="VerbatimChar"/>
              </w:rPr>
              <w:t xml:space="preserve">GET</w:t>
            </w:r>
          </w:p>
        </w:tc>
        <w:tc>
          <w:p>
            <w:pPr>
              <w:pStyle w:val="Compact"/>
              <w:jc w:val="left"/>
            </w:pPr>
            <w:r>
              <w:rPr>
                <w:rStyle w:val="VerbatimChar"/>
              </w:rPr>
              <w:t xml:space="preserve">/segmentos</w:t>
            </w:r>
          </w:p>
        </w:tc>
        <w:tc>
          <w:p>
            <w:pPr>
              <w:pStyle w:val="Compact"/>
              <w:jc w:val="left"/>
            </w:pPr>
            <w:r>
              <w:t xml:space="preserve">Distribución ABC/XYZ y método de reposición de cada celda</w:t>
            </w:r>
          </w:p>
        </w:tc>
      </w:tr>
      <w:tr>
        <w:tc>
          <w:p>
            <w:pPr>
              <w:pStyle w:val="Compact"/>
              <w:jc w:val="left"/>
            </w:pPr>
            <w:r>
              <w:rPr>
                <w:rStyle w:val="VerbatimChar"/>
              </w:rPr>
              <w:t xml:space="preserve">GET</w:t>
            </w:r>
          </w:p>
        </w:tc>
        <w:tc>
          <w:p>
            <w:pPr>
              <w:pStyle w:val="Compact"/>
              <w:jc w:val="left"/>
            </w:pPr>
            <w:r>
              <w:rPr>
                <w:rStyle w:val="VerbatimChar"/>
              </w:rPr>
              <w:t xml:space="preserve">/salud</w:t>
            </w:r>
          </w:p>
        </w:tc>
        <w:tc>
          <w:p>
            <w:pPr>
              <w:pStyle w:val="Compact"/>
              <w:jc w:val="left"/>
            </w:pPr>
            <w:r>
              <w:t xml:space="preserve">Comprobación de vida y horizonte de datos cargado</w:t>
            </w:r>
          </w:p>
        </w:tc>
      </w:tr>
    </w:tbl>
    <w:p>
      <w:pPr>
        <w:pStyle w:val="BodyText"/>
      </w:pPr>
      <w:r>
        <w:rPr>
          <w:b/>
        </w:rPr>
        <w:t xml:space="preserve">Petición.</w:t>
      </w:r>
      <w:r>
        <w:t xml:space="preserve"> </w:t>
      </w:r>
      <w:r>
        <w:t xml:space="preserve">Una tienda, una fecha de revisión, una lista de productos con su stock actual y</w:t>
      </w:r>
      <w:r>
        <w:t xml:space="preserve"> </w:t>
      </w:r>
      <w:r>
        <w:t xml:space="preserve">mercancía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t>=</m:t>
          </m:r>
          <m:sSub>
            <m:e>
              <m:acc>
                <m:accPr>
                  <m:chr m:val="̂"/>
                </m:accPr>
                <m:e>
                  <m:r>
                    <m:t>μ</m:t>
                  </m:r>
                </m:e>
              </m:acc>
            </m:e>
            <m:sub>
              <m:r>
                <m:t>R</m:t>
              </m:r>
              <m:r>
                <m:t>+</m:t>
              </m:r>
              <m:r>
                <m:t>L</m:t>
              </m:r>
            </m:sub>
          </m:sSub>
          <m:r>
            <m:t>+</m:t>
          </m:r>
          <m:sSub>
            <m:e>
              <m:r>
                <m:t>z</m:t>
              </m:r>
            </m:e>
            <m:sub>
              <m:r>
                <m:t>τ</m:t>
              </m:r>
            </m:sub>
          </m:sSub>
          <m:r>
            <m:t> </m:t>
          </m:r>
          <m:sSub>
            <m:e>
              <m:acc>
                <m:accPr>
                  <m:chr m:val="̂"/>
                </m:accPr>
                <m:e>
                  <m:r>
                    <m:t>σ</m:t>
                  </m:r>
                </m:e>
              </m:acc>
            </m:e>
            <m:sub>
              <m:r>
                <m:t>R</m:t>
              </m:r>
              <m:r>
                <m:t>+</m:t>
              </m:r>
              <m:r>
                <m:t>L</m:t>
              </m:r>
            </m:sub>
          </m:sSub>
          <m:r>
            <m:t>,</m:t>
          </m:r>
          <m:r>
            <m:t>  </m:t>
          </m:r>
          <m:r>
            <m:rPr>
              <m:nor/>
              <m:sty m:val="p"/>
            </m:rPr>
            <m:t>pedido</m:t>
          </m:r>
          <m:r>
            <m:t>=</m:t>
          </m:r>
          <m:r>
            <m:rPr>
              <m:nor/>
              <m:sty m:val="p"/>
            </m:rPr>
            <m:t>max</m:t>
          </m:r>
          <m:d>
            <m:dPr>
              <m:begChr m:val="("/>
              <m:endChr m:val=")"/>
              <m:grow/>
            </m:dPr>
            <m:e>
              <m:r>
                <m:t>S</m:t>
              </m:r>
              <m:r>
                <m:t>−</m:t>
              </m:r>
              <m:r>
                <m:rPr>
                  <m:nor/>
                  <m:sty m:val="p"/>
                </m:rPr>
                <m:t>stock</m:t>
              </m:r>
              <m:r>
                <m:t>−</m:t>
              </m:r>
              <m:r>
                <m:rPr>
                  <m:nor/>
                  <m:sty m:val="p"/>
                </m:rPr>
                <m:t>tránsito</m:t>
              </m:r>
              <m:r>
                <m:t>,</m:t>
              </m:r>
              <m:r>
                <m:t> </m:t>
              </m:r>
              <m:r>
                <m:t>0</m:t>
              </m:r>
            </m:e>
          </m:d>
        </m:oMath>
      </m:oMathPara>
    </w:p>
    <w:p>
      <w:pPr>
        <w:pStyle w:val="FirstParagraph"/>
      </w:pPr>
      <w:r>
        <w:rPr>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p>
      <w:pPr>
        <w:pStyle w:val="Heading2"/>
      </w:pPr>
      <w:bookmarkStart w:id="177" w:name="anexo-d.-el-panel-interactivo"/>
      <w:r>
        <w:t xml:space="preserve">Anexo D. El panel interactivo</w:t>
      </w:r>
      <w:bookmarkEnd w:id="177"/>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Pestaña</w:t>
            </w:r>
          </w:p>
        </w:tc>
        <w:tc>
          <w:tcPr>
            <w:tcBorders>
              <w:bottom w:val="single"/>
            </w:tcBorders>
            <w:vAlign w:val="bottom"/>
          </w:tcPr>
          <w:p>
            <w:pPr>
              <w:pStyle w:val="Compact"/>
              <w:jc w:val="left"/>
            </w:pPr>
            <w:r>
              <w:t xml:space="preserve">Función</w:t>
            </w:r>
          </w:p>
        </w:tc>
      </w:tr>
      <w:tr>
        <w:tc>
          <w:p>
            <w:pPr>
              <w:pStyle w:val="Compact"/>
              <w:jc w:val="left"/>
            </w:pPr>
            <w:r>
              <w:t xml:space="preserve">Hoy en la tienda</w:t>
            </w:r>
          </w:p>
        </w:tc>
        <w:tc>
          <w:p>
            <w:pPr>
              <w:pStyle w:val="Compact"/>
              <w:jc w:val="left"/>
            </w:pPr>
            <w:r>
              <w:t xml:space="preserve">Lista de trabajo del día: referencias que deben pedirse, ordenadas por el coste de no pedirlas, con columna de pedido final editable</w:t>
            </w:r>
          </w:p>
        </w:tc>
      </w:tr>
      <w:tr>
        <w:tc>
          <w:p>
            <w:pPr>
              <w:pStyle w:val="Compact"/>
              <w:jc w:val="left"/>
            </w:pPr>
            <w:r>
              <w:t xml:space="preserve">Reposición</w:t>
            </w:r>
          </w:p>
        </w:tc>
        <w:tc>
          <w:p>
            <w:pPr>
              <w:pStyle w:val="Compact"/>
              <w:jc w:val="left"/>
            </w:pPr>
            <w:r>
              <w:t xml:space="preserve">Selección de tienda y producto, histórico y previsión con banda del percentil 90, y cálculo de la cantidad a pedir con su justificación</w:t>
            </w:r>
          </w:p>
        </w:tc>
      </w:tr>
      <w:tr>
        <w:tc>
          <w:p>
            <w:pPr>
              <w:pStyle w:val="Compact"/>
              <w:jc w:val="left"/>
            </w:pPr>
            <w:r>
              <w:t xml:space="preserve">Explorador del catálogo</w:t>
            </w:r>
          </w:p>
        </w:tc>
        <w:tc>
          <w:p>
            <w:pPr>
              <w:pStyle w:val="Compact"/>
              <w:jc w:val="left"/>
            </w:pPr>
            <w:r>
              <w:t xml:space="preserve">Matriz ABC/XYZ y mayores pedidos sugeridos de la tienda seleccionada</w:t>
            </w:r>
          </w:p>
        </w:tc>
      </w:tr>
      <w:tr>
        <w:tc>
          <w:p>
            <w:pPr>
              <w:pStyle w:val="Compact"/>
              <w:jc w:val="left"/>
            </w:pPr>
            <w:r>
              <w:t xml:space="preserve">Curva de servicio</w:t>
            </w:r>
          </w:p>
        </w:tc>
        <w:tc>
          <w:p>
            <w:pPr>
              <w:pStyle w:val="Compact"/>
              <w:jc w:val="left"/>
            </w:pPr>
            <w:r>
              <w:t xml:space="preserve">Coste de cada punto de nivel de servicio, con control de la merma para observar el desplazamiento del óptimo</w:t>
            </w:r>
          </w:p>
        </w:tc>
      </w:tr>
      <w:tr>
        <w:tc>
          <w:p>
            <w:pPr>
              <w:pStyle w:val="Compact"/>
              <w:jc w:val="left"/>
            </w:pPr>
            <w:r>
              <w:t xml:space="preserve">Preguntar</w:t>
            </w:r>
          </w:p>
        </w:tc>
        <w:tc>
          <w:p>
            <w:pPr>
              <w:pStyle w:val="Compact"/>
              <w:jc w:val="left"/>
            </w:pPr>
            <w:r>
              <w:t xml:space="preserve">Consultas en lenguaje natural traducidas a SQL sobre el almacén</w:t>
            </w:r>
          </w:p>
        </w:tc>
      </w:tr>
      <w:tr>
        <w:tc>
          <w:p>
            <w:pPr>
              <w:pStyle w:val="Compact"/>
              <w:jc w:val="left"/>
            </w:pPr>
            <w:r>
              <w:t xml:space="preserve">Cómo se integra</w:t>
            </w:r>
          </w:p>
        </w:tc>
        <w:tc>
          <w:p>
            <w:pPr>
              <w:pStyle w:val="Compact"/>
              <w:jc w:val="left"/>
            </w:pPr>
            <w:r>
              <w:t xml:space="preserve">Petición y respuesta JSON equivalentes del servicio y diagrama del flujo completo</w:t>
            </w:r>
          </w:p>
        </w:tc>
      </w:tr>
    </w:tbl>
    <w:p>
      <w:pPr>
        <w:pStyle w:val="BodyText"/>
      </w:pPr>
      <w:r>
        <w:rPr>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p>
      <w:pPr>
        <w:pStyle w:val="Heading2"/>
      </w:pPr>
      <w:bookmarkStart w:id="178" w:name="anexo-e.-el-cuadro-de-mando"/>
      <w:r>
        <w:t xml:space="preserve">Anexo E. El cuadro de mando</w:t>
      </w:r>
      <w:bookmarkEnd w:id="178"/>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
        </w:rPr>
        <w:t xml:space="preserve">Páginas.</w:t>
      </w:r>
    </w:p>
    <w:p>
      <w:pPr>
        <w:numPr>
          <w:ilvl w:val="0"/>
          <w:numId w:val="1012"/>
        </w:numPr>
        <w:pStyle w:val="Compact"/>
      </w:pPr>
      <w:r>
        <w:t xml:space="preserve">Resumen ejecutivo.</w:t>
      </w:r>
    </w:p>
    <w:p>
      <w:pPr>
        <w:numPr>
          <w:ilvl w:val="0"/>
          <w:numId w:val="1012"/>
        </w:numPr>
        <w:pStyle w:val="Compact"/>
      </w:pPr>
      <w:r>
        <w:t xml:space="preserve">Comparativa de ciudades y tiendas.</w:t>
      </w:r>
    </w:p>
    <w:p>
      <w:pPr>
        <w:numPr>
          <w:ilvl w:val="0"/>
          <w:numId w:val="1012"/>
        </w:numPr>
        <w:pStyle w:val="Compact"/>
      </w:pPr>
      <w:r>
        <w:t xml:space="preserve">Cómo se compra.</w:t>
      </w:r>
    </w:p>
    <w:p>
      <w:pPr>
        <w:numPr>
          <w:ilvl w:val="0"/>
          <w:numId w:val="1012"/>
        </w:numPr>
        <w:pStyle w:val="Compact"/>
      </w:pPr>
      <w:r>
        <w:t xml:space="preserve">Precios.</w:t>
      </w:r>
    </w:p>
    <w:p>
      <w:pPr>
        <w:numPr>
          <w:ilvl w:val="0"/>
          <w:numId w:val="1012"/>
        </w:numPr>
        <w:pStyle w:val="Compact"/>
      </w:pPr>
      <w:r>
        <w:t xml:space="preserve">Grupos de producto.</w:t>
      </w:r>
    </w:p>
    <w:p>
      <w:pPr>
        <w:numPr>
          <w:ilvl w:val="0"/>
          <w:numId w:val="1012"/>
        </w:numPr>
        <w:pStyle w:val="Compact"/>
      </w:pPr>
      <w:r>
        <w:t xml:space="preserve">Explorador de productos.</w:t>
      </w:r>
    </w:p>
    <w:p>
      <w:pPr>
        <w:numPr>
          <w:ilvl w:val="0"/>
          <w:numId w:val="1012"/>
        </w:numPr>
        <w:pStyle w:val="Compact"/>
      </w:pPr>
      <w:r>
        <w:t xml:space="preserve">Parecido de tiendas.</w:t>
      </w:r>
    </w:p>
    <w:p>
      <w:pPr>
        <w:numPr>
          <w:ilvl w:val="0"/>
          <w:numId w:val="1012"/>
        </w:numPr>
        <w:pStyle w:val="Compact"/>
      </w:pPr>
      <w:r>
        <w:t xml:space="preserve">Previsión de ventas, con banda de incertidumbre controlada por un parámetro de nivel de</w:t>
      </w:r>
      <w:r>
        <w:t xml:space="preserve"> </w:t>
      </w:r>
      <w:r>
        <w:t xml:space="preserve">confianza (50 a 99 %).</w:t>
      </w:r>
    </w:p>
    <w:p>
      <w:pPr>
        <w:numPr>
          <w:ilvl w:val="0"/>
          <w:numId w:val="1012"/>
        </w:numPr>
        <w:pStyle w:val="Compact"/>
      </w:pPr>
      <w:r>
        <w:t xml:space="preserve">Reposición.</w:t>
      </w:r>
    </w:p>
    <w:p>
      <w:pPr>
        <w:numPr>
          <w:ilvl w:val="0"/>
          <w:numId w:val="1012"/>
        </w:numPr>
        <w:pStyle w:val="Compact"/>
      </w:pPr>
      <w:r>
        <w:t xml:space="preserve">Colchón de seguridad.</w:t>
      </w:r>
    </w:p>
    <w:p>
      <w:pPr>
        <w:numPr>
          <w:ilvl w:val="0"/>
          <w:numId w:val="1012"/>
        </w:numPr>
        <w:pStyle w:val="Compact"/>
      </w:pPr>
      <w:r>
        <w:t xml:space="preserve">Campana de estimación.</w:t>
      </w:r>
    </w:p>
    <w:p>
      <w:pPr>
        <w:pStyle w:val="FirstParagraph"/>
      </w:pPr>
      <w:r>
        <w:rPr>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p>
      <w:pPr>
        <w:pStyle w:val="Heading2"/>
      </w:pPr>
      <w:bookmarkStart w:id="179" w:name="anexo-f.-manual-de-ejecución"/>
      <w:r>
        <w:t xml:space="preserve">Anexo F. Manual de ejecución</w:t>
      </w:r>
      <w:bookmarkEnd w:id="179"/>
    </w:p>
    <w:p>
      <w:pPr>
        <w:pStyle w:val="FirstParagraph"/>
      </w:pPr>
      <w:r>
        <w:rPr>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
        </w:rPr>
        <w:t xml:space="preserve">Ejecución por componentes.</w:t>
      </w:r>
    </w:p>
    <w:p>
      <w:pPr>
        <w:pStyle w:val="SourceCode"/>
      </w:pPr>
      <w:r>
        <w:rPr>
          <w:rStyle w:val="ExtensionTok"/>
        </w:rPr>
        <w:t xml:space="preserve">python3</w:t>
      </w:r>
      <w:r>
        <w:rPr>
          <w:rStyle w:val="NormalTok"/>
        </w:rPr>
        <w:t xml:space="preserve"> lakehouse/scripts/pipeline.py all        # capas bronce, plata y oro</w:t>
      </w:r>
      <w:r>
        <w:br/>
      </w:r>
      <w:r>
        <w:rPr>
          <w:rStyle w:val="ExtensionTok"/>
        </w:rPr>
        <w:t xml:space="preserve">python3</w:t>
      </w:r>
      <w:r>
        <w:rPr>
          <w:rStyle w:val="NormalTok"/>
        </w:rPr>
        <w:t xml:space="preserve"> -m pytest pruebas                        # 86 pruebas, sin datos de origen</w:t>
      </w:r>
      <w:r>
        <w:br/>
      </w:r>
      <w:r>
        <w:rPr>
          <w:rStyle w:val="ExtensionTok"/>
        </w:rPr>
        <w:t xml:space="preserve">uvicorn</w:t>
      </w:r>
      <w:r>
        <w:rPr>
          <w:rStyle w:val="NormalTok"/>
        </w:rPr>
        <w:t xml:space="preserve"> api.main:app                             # servicio de reposición</w:t>
      </w:r>
      <w:r>
        <w:br/>
      </w:r>
      <w:r>
        <w:rPr>
          <w:rStyle w:val="ExtensionTok"/>
        </w:rPr>
        <w:t xml:space="preserve">streamlit</w:t>
      </w:r>
      <w:r>
        <w:rPr>
          <w:rStyle w:val="NormalTok"/>
        </w:rPr>
        <w:t xml:space="preserve"> run app/inicio.py                      # panel interactivo</w:t>
      </w:r>
    </w:p>
    <w:p>
      <w:pPr>
        <w:pStyle w:val="FirstParagraph"/>
      </w:pPr>
      <w:r>
        <w:rPr>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
        </w:rPr>
        <w:t xml:space="preserve">Integración continua.</w:t>
      </w:r>
      <w:r>
        <w:t xml:space="preserve"> </w:t>
      </w:r>
      <w:r>
        <w:t xml:space="preserve">El flujo definido en</w:t>
      </w:r>
      <w:r>
        <w:t xml:space="preserve"> </w:t>
      </w:r>
      <w:r>
        <w:rPr>
          <w:rStyle w:val="VerbatimChar"/>
        </w:rPr>
        <w:t xml:space="preserve">.github/workflows/ci.yml</w:t>
      </w:r>
      <w:r>
        <w:t xml:space="preserve"> </w:t>
      </w:r>
      <w:r>
        <w:t xml:space="preserve">ejecuta la suite de pruebas en</w:t>
      </w:r>
      <w:r>
        <w:t xml:space="preserve"> </w:t>
      </w:r>
      <w:r>
        <w:t xml:space="preserve">cada cambio, con un entorno mínimo que no incluye las bibliotecas de modelado.</w:t>
      </w:r>
    </w:p>
    <w:p>
      <w:pPr>
        <w:pStyle w:val="Heading2"/>
      </w:pPr>
      <w:bookmarkStart w:id="180" w:name="X4b1a222c1a47853c33be7695272db975156fd01"/>
      <w:r>
        <w:t xml:space="preserve">Anexo G. Alternativas evaluadas y descartadas</w:t>
      </w:r>
      <w:bookmarkEnd w:id="180"/>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Experimento</w:t>
            </w:r>
          </w:p>
        </w:tc>
        <w:tc>
          <w:tcPr>
            <w:tcBorders>
              <w:bottom w:val="single"/>
            </w:tcBorders>
            <w:vAlign w:val="bottom"/>
          </w:tcPr>
          <w:p>
            <w:pPr>
              <w:pStyle w:val="Compact"/>
              <w:jc w:val="left"/>
            </w:pPr>
            <w:r>
              <w:t xml:space="preserve">Resultado</w:t>
            </w:r>
          </w:p>
        </w:tc>
        <w:tc>
          <w:tcPr>
            <w:tcBorders>
              <w:bottom w:val="single"/>
            </w:tcBorders>
            <w:vAlign w:val="bottom"/>
          </w:tcPr>
          <w:p>
            <w:pPr>
              <w:pStyle w:val="Compact"/>
              <w:jc w:val="left"/>
            </w:pPr>
            <w:r>
              <w:t xml:space="preserve">Destino</w:t>
            </w:r>
          </w:p>
        </w:tc>
      </w:tr>
      <w:tr>
        <w:tc>
          <w:p>
            <w:pPr>
              <w:pStyle w:val="Compact"/>
              <w:jc w:val="left"/>
            </w:pPr>
            <w:r>
              <w:t xml:space="preserve">Selección del modelo por coste en lugar de error</w:t>
            </w:r>
          </w:p>
        </w:tc>
        <w:tc>
          <w:p>
            <w:pPr>
              <w:pStyle w:val="Compact"/>
              <w:jc w:val="left"/>
            </w:pPr>
            <w:r>
              <w:t xml:space="preserve">El criterio por coste sitúa el nivel de servicio uniforme del 90 % como 2,45 veces más caro que la mejor alternativa</w:t>
            </w:r>
          </w:p>
        </w:tc>
        <w:tc>
          <w:p>
            <w:pPr>
              <w:pStyle w:val="Compact"/>
              <w:jc w:val="left"/>
            </w:pPr>
            <w:r>
              <w:t xml:space="preserve">Incorporado en §7.4</w:t>
            </w:r>
          </w:p>
        </w:tc>
      </w:tr>
      <w:tr>
        <w:tc>
          <w:p>
            <w:pPr>
              <w:pStyle w:val="Compact"/>
              <w:jc w:val="left"/>
            </w:pPr>
            <w:r>
              <w:t xml:space="preserve">Objetivo agregado (total del ciclo en lugar de suma diaria)</w:t>
            </w:r>
          </w:p>
        </w:tc>
        <w:tc>
          <w:p>
            <w:pPr>
              <w:pStyle w:val="Compact"/>
              <w:jc w:val="left"/>
            </w:pPr>
            <w:r>
              <w:t xml:space="preserve">Reduce el MAE un 15,7 % (de 4,73 a 3,99) y elimina un sesgo del −7,4 %</w:t>
            </w:r>
          </w:p>
        </w:tc>
        <w:tc>
          <w:p>
            <w:pPr>
              <w:pStyle w:val="Compact"/>
              <w:jc w:val="left"/>
            </w:pPr>
            <w:r>
              <w:t xml:space="preserve">Incorporado en §7.3</w:t>
            </w:r>
          </w:p>
        </w:tc>
      </w:tr>
      <w:tr>
        <w:tc>
          <w:p>
            <w:pPr>
              <w:pStyle w:val="Compact"/>
              <w:jc w:val="left"/>
            </w:pPr>
            <w:r>
              <w:t xml:space="preserve">Acotación de la demanda censurada</w:t>
            </w:r>
          </w:p>
        </w:tc>
        <w:tc>
          <w:p>
            <w:pPr>
              <w:pStyle w:val="Compact"/>
              <w:jc w:val="left"/>
            </w:pPr>
            <w:r>
              <w:t xml:space="preserve">Entre 4,79 % y 14,83 % de unidades no observadas; la conclusión de reposición se refuerza</w:t>
            </w:r>
          </w:p>
        </w:tc>
        <w:tc>
          <w:p>
            <w:pPr>
              <w:pStyle w:val="Compact"/>
              <w:jc w:val="left"/>
            </w:pPr>
            <w:r>
              <w:t xml:space="preserve">Incorporado en §6.2.4 y §7.4.7</w:t>
            </w:r>
          </w:p>
        </w:tc>
      </w:tr>
      <w:tr>
        <w:tc>
          <w:p>
            <w:pPr>
              <w:pStyle w:val="Compact"/>
              <w:jc w:val="left"/>
            </w:pPr>
            <w:r>
              <w:t xml:space="preserve">Búsqueda de hiperparámetros (Optuna)</w:t>
            </w:r>
          </w:p>
        </w:tc>
        <w:tc>
          <w:p>
            <w:pPr>
              <w:pStyle w:val="Compact"/>
              <w:jc w:val="left"/>
            </w:pPr>
            <w:r>
              <w:t xml:space="preserve">WRMSSE de validación 0,9788 con la configuración original y 0,9790 con la afinada: el modelo está en una zona plana</w:t>
            </w:r>
          </w:p>
        </w:tc>
        <w:tc>
          <w:p>
            <w:pPr>
              <w:pStyle w:val="Compact"/>
              <w:jc w:val="left"/>
            </w:pPr>
            <w:r>
              <w:t xml:space="preserve">Descartado</w:t>
            </w:r>
          </w:p>
        </w:tc>
      </w:tr>
      <w:tr>
        <w:tc>
          <w:p>
            <w:pPr>
              <w:pStyle w:val="Compact"/>
              <w:jc w:val="left"/>
            </w:pPr>
            <w:r>
              <w:t xml:space="preserve">Predicción conforme</w:t>
            </w:r>
          </w:p>
        </w:tc>
        <w:tc>
          <w:p>
            <w:pPr>
              <w:pStyle w:val="Compact"/>
              <w:jc w:val="left"/>
            </w:pPr>
            <w:r>
              <w:t xml:space="preserve">Cobertura del 89,9 % sin ajustar y del 90,5 % con garantía formal; la clase Z queda en el 91,8 %</w:t>
            </w:r>
          </w:p>
        </w:tc>
        <w:tc>
          <w:p>
            <w:pPr>
              <w:pStyle w:val="Compact"/>
              <w:jc w:val="left"/>
            </w:pPr>
            <w:r>
              <w:t xml:space="preserve">Referido en §7.3</w:t>
            </w:r>
          </w:p>
        </w:tc>
      </w:tr>
      <w:tr>
        <w:tc>
          <w:p>
            <w:pPr>
              <w:pStyle w:val="Compact"/>
              <w:jc w:val="left"/>
            </w:pPr>
            <w:r>
              <w:t xml:space="preserve">Afinidad de demanda entre productos</w:t>
            </w:r>
          </w:p>
        </w:tc>
        <w:tc>
          <w:p>
            <w:pPr>
              <w:pStyle w:val="Compact"/>
              <w:jc w:val="left"/>
            </w:pPr>
            <w:r>
              <w:t xml:space="preserve">Las parejas de una misma tienda no superan el ruido medido entre tiendas distintas: sin señal</w:t>
            </w:r>
          </w:p>
        </w:tc>
        <w:tc>
          <w:p>
            <w:pPr>
              <w:pStyle w:val="Compact"/>
              <w:jc w:val="left"/>
            </w:pPr>
            <w:r>
              <w:t xml:space="preserve">§7.2.6</w:t>
            </w:r>
          </w:p>
        </w:tc>
      </w:tr>
      <w:tr>
        <w:tc>
          <w:p>
            <w:pPr>
              <w:pStyle w:val="Compact"/>
              <w:jc w:val="left"/>
            </w:pPr>
            <w:r>
              <w:t xml:space="preserve">Arranque en frío</w:t>
            </w:r>
          </w:p>
        </w:tc>
        <w:tc>
          <w:p>
            <w:pPr>
              <w:pStyle w:val="Compact"/>
              <w:jc w:val="left"/>
            </w:pPr>
            <w:r>
              <w:t xml:space="preserve">Copiar la referencia de la tienda más parecida alcanza un MAE de 0,918 unidades/día, un 34,6 % mejor que la media de la categoría (1,404) y mejor que un modelo por atributos (1,028)</w:t>
            </w:r>
          </w:p>
        </w:tc>
        <w:tc>
          <w:p>
            <w:pPr>
              <w:pStyle w:val="Compact"/>
              <w:jc w:val="left"/>
            </w:pPr>
            <w:r>
              <w:t xml:space="preserve">§7.8</w:t>
            </w:r>
          </w:p>
        </w:tc>
      </w:tr>
      <w:tr>
        <w:tc>
          <w:p>
            <w:pPr>
              <w:pStyle w:val="Compact"/>
              <w:jc w:val="left"/>
            </w:pPr>
            <w:r>
              <w:t xml:space="preserve">Surtido: candidatas a descatalogar</w:t>
            </w:r>
          </w:p>
        </w:tc>
        <w:tc>
          <w:p>
            <w:pPr>
              <w:pStyle w:val="Compact"/>
              <w:jc w:val="left"/>
            </w:pPr>
            <w:r>
              <w:t xml:space="preserve">Ranking de series de la celda CZ con dos frenos (referencia única del departamento y rotación superior en la tienda)</w:t>
            </w:r>
          </w:p>
        </w:tc>
        <w:tc>
          <w:p>
            <w:pPr>
              <w:pStyle w:val="Compact"/>
              <w:jc w:val="left"/>
            </w:pPr>
            <w:r>
              <w:t xml:space="preserve">§7.8</w:t>
            </w:r>
          </w:p>
        </w:tc>
      </w:tr>
      <w:tr>
        <w:tc>
          <w:p>
            <w:pPr>
              <w:pStyle w:val="Compact"/>
              <w:jc w:val="left"/>
            </w:pPr>
            <w:r>
              <w:t xml:space="preserve">Redes neuronales (NHITS, TFT)</w:t>
            </w:r>
          </w:p>
        </w:tc>
        <w:tc>
          <w:p>
            <w:pPr>
              <w:pStyle w:val="Compact"/>
              <w:jc w:val="left"/>
            </w:pPr>
            <w:r>
              <w:t xml:space="preserve">No ejecutado: la literatura de la competición M5 señala la superioridad de los conjuntos de árboles</w:t>
            </w:r>
          </w:p>
        </w:tc>
        <w:tc>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s-E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ageBreakBefore/>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 Type="http://schemas.openxmlformats.org/officeDocument/2006/relationships/image" Id="rId55" Target="media/rId55.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79" Target="media/rId79.png" /><Relationship Type="http://schemas.openxmlformats.org/officeDocument/2006/relationships/image" Id="rId104" Target="media/rId104.png" /><Relationship Type="http://schemas.openxmlformats.org/officeDocument/2006/relationships/image" Id="rId105" Target="media/rId105.png" /><Relationship Type="http://schemas.openxmlformats.org/officeDocument/2006/relationships/image" Id="rId107" Target="media/rId107.png" /><Relationship Type="http://schemas.openxmlformats.org/officeDocument/2006/relationships/image" Id="rId109" Target="media/rId109.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6" Target="media/rId116.png" /><Relationship Type="http://schemas.openxmlformats.org/officeDocument/2006/relationships/image" Id="rId125" Target="media/rId125.png" /><Relationship Type="http://schemas.openxmlformats.org/officeDocument/2006/relationships/image" Id="rId127" Target="media/rId127.png" /><Relationship Type="http://schemas.openxmlformats.org/officeDocument/2006/relationships/image" Id="rId129" Target="media/rId129.png" /><Relationship Type="http://schemas.openxmlformats.org/officeDocument/2006/relationships/image" Id="rId81" Target="media/rId81.png" /><Relationship Type="http://schemas.openxmlformats.org/officeDocument/2006/relationships/image" Id="rId131" Target="media/rId131.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51" Target="media/rId151.png" /><Relationship Type="http://schemas.openxmlformats.org/officeDocument/2006/relationships/image" Id="rId161" Target="media/rId161.png" /><Relationship Type="http://schemas.openxmlformats.org/officeDocument/2006/relationships/image" Id="rId83" Target="media/rId83.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2" Target="media/rId92.png" /><Relationship Type="http://schemas.openxmlformats.org/officeDocument/2006/relationships/image" Id="rId93" Target="media/rId93.png" /><Relationship Type="http://schemas.openxmlformats.org/officeDocument/2006/relationships/image" Id="rId95" Target="media/rId95.png" /><Relationship Type="http://schemas.openxmlformats.org/officeDocument/2006/relationships/image" Id="rId97" Target="media/rId9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2026-10-27T15:08:10Z</dcterms:created>
  <dcterms:modified xsi:type="dcterms:W3CDTF">2026-10-27T15:08:10Z</dcterms:modified>
</cp:coreProperties>
</file>

<file path=docProps/custom.xml><?xml version="1.0" encoding="utf-8"?>
<Properties xmlns="http://schemas.openxmlformats.org/officeDocument/2006/custom-properties" xmlns:vt="http://schemas.openxmlformats.org/officeDocument/2006/docPropsVTypes"/>
</file>