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6.png" ContentType="image/png"/>
  <Override PartName="/word/media/rId66.png" ContentType="image/png"/>
  <Override PartName="/word/media/rId76.png" ContentType="image/png"/>
  <Override PartName="/word/media/rId99.png" ContentType="image/png"/>
  <Override PartName="/word/media/rId100.png" ContentType="image/png"/>
  <Override PartName="/word/media/rId102.png" ContentType="image/png"/>
  <Override PartName="/word/media/rId104.png" ContentType="image/png"/>
  <Override PartName="/word/media/rId106.png" ContentType="image/png"/>
  <Override PartName="/word/media/rId109.png" ContentType="image/png"/>
  <Override PartName="/word/media/rId111.png" ContentType="image/png"/>
  <Override PartName="/word/media/rId119.png" ContentType="image/png"/>
  <Override PartName="/word/media/rId121.png" ContentType="image/png"/>
  <Override PartName="/word/media/rId123.png" ContentType="image/png"/>
  <Override PartName="/word/media/rId78.png" ContentType="image/png"/>
  <Override PartName="/word/media/rId125.png" ContentType="image/png"/>
  <Override PartName="/word/media/rId127.png" ContentType="image/png"/>
  <Override PartName="/word/media/rId131.png" ContentType="image/png"/>
  <Override PartName="/word/media/rId133.png" ContentType="image/png"/>
  <Override PartName="/word/media/rId136.png" ContentType="image/png"/>
  <Override PartName="/word/media/rId141.png" ContentType="image/png"/>
  <Override PartName="/word/media/rId143.png" ContentType="image/png"/>
  <Override PartName="/word/media/rId152.png" ContentType="image/png"/>
  <Override PartName="/word/media/rId80.png" ContentType="image/png"/>
  <Override PartName="/word/media/rId82.png" ContentType="image/png"/>
  <Override PartName="/word/media/rId86.png" ContentType="image/png"/>
  <Override PartName="/word/media/rId88.png" ContentType="image/png"/>
  <Override PartName="/word/media/rId89.png" ContentType="image/png"/>
  <Override PartName="/word/media/rId91.png" ContentType="image/png"/>
  <Override PartName="/word/media/rId9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w:t>
      </w:r>
      <w:r>
        <w:t xml:space="preserve"> </w:t>
      </w:r>
      <w:r>
        <w:t xml:space="preserve">de</w:t>
      </w:r>
      <w:r>
        <w:t xml:space="preserve"> </w:t>
      </w:r>
      <w:r>
        <w:t xml:space="preserve">la</w:t>
      </w:r>
      <w:r>
        <w:t xml:space="preserve"> </w:t>
      </w:r>
      <w:r>
        <w:t xml:space="preserve">venta</w:t>
      </w:r>
      <w:r>
        <w:t xml:space="preserve"> </w:t>
      </w:r>
      <w:r>
        <w:t xml:space="preserve">diaria</w:t>
      </w:r>
      <w:r>
        <w:t xml:space="preserve"> </w:t>
      </w:r>
      <w:r>
        <w:t xml:space="preserve">a</w:t>
      </w:r>
      <w:r>
        <w:t xml:space="preserve"> </w:t>
      </w:r>
      <w:r>
        <w:t xml:space="preserve">la</w:t>
      </w:r>
      <w:r>
        <w:t xml:space="preserve"> </w:t>
      </w:r>
      <w:r>
        <w:t xml:space="preserve">decisión</w:t>
      </w:r>
      <w:r>
        <w:t xml:space="preserve"> </w:t>
      </w:r>
      <w:r>
        <w:t xml:space="preserve">de</w:t>
      </w:r>
      <w:r>
        <w:t xml:space="preserve"> </w:t>
      </w:r>
      <w:r>
        <w:t xml:space="preserve">reposición</w:t>
      </w:r>
    </w:p>
    <w:p>
      <w:pPr>
        <w:pStyle w:val="Subtitle"/>
      </w:pPr>
      <w:r>
        <w:t xml:space="preserve">Trabajo</w:t>
      </w:r>
      <w:r>
        <w:t xml:space="preserve"> </w:t>
      </w:r>
      <w:r>
        <w:t xml:space="preserve">de</w:t>
      </w:r>
      <w:r>
        <w:t xml:space="preserve"> </w:t>
      </w:r>
      <w:r>
        <w:t xml:space="preserve">Fin</w:t>
      </w:r>
      <w:r>
        <w:t xml:space="preserve"> </w:t>
      </w:r>
      <w:r>
        <w:t xml:space="preserve">de</w:t>
      </w:r>
      <w:r>
        <w:t xml:space="preserve"> </w:t>
      </w:r>
      <w:r>
        <w:t xml:space="preserve">Máster</w:t>
      </w:r>
      <w:r>
        <w:t xml:space="preserve"> </w:t>
      </w:r>
      <w:r>
        <w:t xml:space="preserve">—</w:t>
      </w:r>
      <w:r>
        <w:t xml:space="preserve"> </w:t>
      </w:r>
      <w:r>
        <w:t xml:space="preserve">Máster</w:t>
      </w:r>
      <w:r>
        <w:t xml:space="preserve"> </w:t>
      </w:r>
      <w:r>
        <w:t xml:space="preserve">en</w:t>
      </w:r>
      <w:r>
        <w:t xml:space="preserve"> </w:t>
      </w:r>
      <w:r>
        <w:t xml:space="preserve">Data</w:t>
      </w:r>
      <w:r>
        <w:t xml:space="preserve"> </w:t>
      </w:r>
      <w:r>
        <w:t xml:space="preserve">Science</w:t>
      </w:r>
      <w:r>
        <w:t xml:space="preserve"> </w:t>
      </w:r>
      <w:r>
        <w:t xml:space="preserve">&amp;</w:t>
      </w:r>
      <w:r>
        <w:t xml:space="preserve"> </w:t>
      </w:r>
      <w:r>
        <w:t xml:space="preserve">Inteligencia</w:t>
      </w:r>
      <w:r>
        <w:t xml:space="preserve"> </w:t>
      </w:r>
      <w:r>
        <w:t xml:space="preserve">Artificial</w:t>
      </w:r>
    </w:p>
    <w:p>
      <w:pPr>
        <w:pStyle w:val="Author"/>
      </w:pPr>
      <w:r>
        <w:t xml:space="preserve">Nuclio</w:t>
      </w:r>
      <w:r>
        <w:t xml:space="preserve"> </w:t>
      </w:r>
      <w:r>
        <w:t xml:space="preserve">Digital</w:t>
      </w:r>
      <w:r>
        <w:t xml:space="preserve"> </w:t>
      </w:r>
      <w:r>
        <w:t xml:space="preserve">School</w:t>
      </w:r>
      <w:r>
        <w:t xml:space="preserve"> </w:t>
      </w:r>
      <w:r>
        <w:t xml:space="preserve">·</w:t>
      </w:r>
      <w:r>
        <w:t xml:space="preserve"> </w:t>
      </w:r>
      <w:r>
        <w:t xml:space="preserve">Barcelona</w:t>
      </w:r>
    </w:p>
    <w:p>
      <w:pPr>
        <w:pStyle w:val="Date"/>
      </w:pP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NUCLIO DIGITAL SCHOOL</w:t>
      </w:r>
    </w:p>
    <w:p>
      <w:pPr>
        <w:pStyle w:val="BodyText"/>
      </w:pPr>
      <w:r>
        <w:t xml:space="preserve">Máster en Data Science &amp; Inteligencia Artificial</w:t>
      </w:r>
    </w:p>
    <w:p>
      <w:pPr>
        <w:pStyle w:val="Heading1"/>
      </w:pPr>
      <w:bookmarkStart w:id="20" w:name="X89d6cb43e41eb80f3ced779075d2b74e2aec38a"/>
      <w:r>
        <w:t xml:space="preserve">DSMarket: de la venta diaria a la decisión de reposición</w:t>
      </w:r>
      <w:bookmarkEnd w:id="20"/>
    </w:p>
    <w:p>
      <w:pPr>
        <w:pStyle w:val="Heading3"/>
      </w:pPr>
      <w:bookmarkStart w:id="21" w:name="X6a1d382f8b599a476dfdc46e5b868e6fe329c12"/>
      <w:r>
        <w:t xml:space="preserve">Previsión de demanda, segmentación e inventario en una cadena de distribución minorista</w:t>
      </w:r>
      <w:bookmarkEnd w:id="21"/>
    </w:p>
    <w:p>
      <w:pPr>
        <w:pStyle w:val="FirstParagraph"/>
      </w:pPr>
      <w:r>
        <w:rPr>
          <w:b/>
        </w:rPr>
        <w:t xml:space="preserve">Trabajo de Fin de Máster</w:t>
      </w:r>
    </w:p>
    <w:p>
      <w:pPr>
        <w:pStyle w:val="BodyText"/>
      </w:pPr>
      <w:r>
        <w:t xml:space="preserve">Autores</w:t>
      </w:r>
    </w:p>
    <w:p>
      <w:pPr>
        <w:pStyle w:val="BodyText"/>
      </w:pPr>
      <w:r>
        <w:t xml:space="preserve">[Nombre y apellidos] · [Nombre y apellidos]</w:t>
      </w:r>
      <w:r>
        <w:t xml:space="preserve"> </w:t>
      </w:r>
      <w:r>
        <w:t xml:space="preserve">[Nombre y apellidos] · [Nombre y apellidos]</w:t>
      </w:r>
    </w:p>
    <w:p>
      <w:pPr>
        <w:pStyle w:val="BodyText"/>
      </w:pPr>
      <w:r>
        <w:t xml:space="preserve">Tutor o tutora</w:t>
      </w:r>
    </w:p>
    <w:p>
      <w:pPr>
        <w:pStyle w:val="BodyText"/>
      </w:pPr>
      <w:r>
        <w:t xml:space="preserve">[Nombre y apellidos]</w:t>
      </w:r>
    </w:p>
    <w:p>
      <w:pPr>
        <w:pStyle w:val="BodyText"/>
      </w:pPr>
      <w:r>
        <w:t xml:space="preserve">Barcelona, octubre de 2026</w:t>
      </w:r>
    </w:p>
    <w:p>
      <w:r>
        <w:pict>
          <v:rect style="width:0;height:1.5pt" o:hralign="center" o:hrstd="t" o:hr="t"/>
        </w:pict>
      </w:r>
    </w:p>
    <w:p>
      <w:pPr>
        <w:pStyle w:val="Heading2"/>
      </w:pPr>
      <w:bookmarkStart w:id="22" w:name="resumen"/>
      <w:r>
        <w:t xml:space="preserve">Resumen</w:t>
      </w:r>
      <w:bookmarkEnd w:id="22"/>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1,0422 (1,0002 en la última ventana con el modelo final de 400 días de historia), y la estrategia de horizonte resulta unas tres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pict>
          <v:rect style="width:0;height:1.5pt" o:hralign="center" o:hrstd="t" o:hr="t"/>
        </w:pict>
      </w:r>
    </w:p>
    <w:p>
      <w:pPr>
        <w:pStyle w:val="Heading2"/>
      </w:pPr>
      <w:bookmarkStart w:id="23" w:name="abstract"/>
      <w:r>
        <w:t xml:space="preserve">Abstract</w:t>
      </w:r>
      <w:bookmarkEnd w:id="23"/>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pict>
          <v:rect style="width:0;height:1.5pt" o:hralign="center" o:hrstd="t" o:hr="t"/>
        </w:pict>
      </w:r>
    </w:p>
    <w:p>
      <w:pPr>
        <w:pStyle w:val="Heading1"/>
      </w:pPr>
      <w:bookmarkStart w:id="24" w:name="introducción"/>
      <w:r>
        <w:t xml:space="preserve">3. Introducción</w:t>
      </w:r>
      <w:bookmarkEnd w:id="24"/>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cuatro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5" w:name="el-problema-formulado-con-precisión"/>
      <w:r>
        <w:t xml:space="preserve">3.1. El problema, formulado con precisión</w:t>
      </w:r>
      <w:bookmarkEnd w:id="25"/>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6" w:name="alcance"/>
      <w:r>
        <w:t xml:space="preserve">3.2. Alcance</w:t>
      </w:r>
      <w:bookmarkEnd w:id="26"/>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7" w:name="qué-encontrará-el-lector"/>
      <w:r>
        <w:t xml:space="preserve">3.3. Qué encontrará el lector</w:t>
      </w:r>
      <w:bookmarkEnd w:id="27"/>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seis capítulos de la narrativa, cada uno</w:t>
      </w:r>
      <w:r>
        <w:t xml:space="preserve"> </w:t>
      </w:r>
      <w:r>
        <w:t xml:space="preserve">abierto por la pregunta de negocio que lo motiva y cerrado por la que abre el siguiente.</w:t>
      </w:r>
    </w:p>
    <w:p>
      <w:pPr>
        <w:pStyle w:val="BodyText"/>
      </w:pPr>
      <w:r>
        <w:t xml:space="preserve">El lector encontrará también tres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w:t>
      </w:r>
      <w:r>
        <w:t xml:space="preserve"> </w:t>
      </w:r>
      <w:r>
        <w:t xml:space="preserve">la política invirtió, y una elasticidad estadísticamente significativa que una prueba de</w:t>
      </w:r>
      <w:r>
        <w:t xml:space="preserve"> </w:t>
      </w:r>
      <w:r>
        <w:t xml:space="preserve">falsación dejó sin interpretación causal.</w:t>
      </w:r>
      <w:r>
        <w:t xml:space="preserve"> </w:t>
      </w:r>
      <w:r>
        <w:t xml:space="preserve"># 4. Justificación y contextualización</w:t>
      </w:r>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—catorce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tres ocasiones la prueba desmintió efectivamente una</w:t>
      </w:r>
      <w:r>
        <w:t xml:space="preserve"> </w:t>
      </w:r>
      <w:r>
        <w:t xml:space="preserve">conclusión propia, y esos tres casos se documentan como resultado y no como incidencia.</w:t>
      </w:r>
      <w:r>
        <w:t xml:space="preserve"> </w:t>
      </w:r>
      <w:r>
        <w:t xml:space="preserve"># 5. Objetivos</w:t>
      </w:r>
    </w:p>
    <w:p>
      <w:pPr>
        <w:pStyle w:val="Heading2"/>
      </w:pPr>
      <w:bookmarkStart w:id="40" w:name="objetivo-general"/>
      <w:r>
        <w:t xml:space="preserve">5.1. Objetivo general</w:t>
      </w:r>
      <w:bookmarkEnd w:id="40"/>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1" w:name="objetivos-específicos"/>
      <w:r>
        <w:t xml:space="preserve">5.2. Objetivos específicos</w:t>
      </w:r>
      <w:bookmarkEnd w:id="41"/>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agrupaciones de productos y de</w:t>
      </w:r>
      <w:r>
        <w:t xml:space="preserve"> </w:t>
      </w:r>
      <w:r>
        <w:t xml:space="preserve">tiendas basadas en el perfil de demanda, con una elección de número de grupos justificada por</w:t>
      </w:r>
      <w:r>
        <w:t xml:space="preserve"> </w:t>
      </w:r>
      <w:r>
        <w:t xml:space="preserve">métricas internas y con una comprobación de estabilidad. Criterio de cumplimiento: que la</w:t>
      </w:r>
      <w:r>
        <w:t xml:space="preserve"> </w:t>
      </w:r>
      <w:r>
        <w:t xml:space="preserve">partición resista una validación</w:t>
      </w:r>
      <w:r>
        <w:t xml:space="preserve"> </w:t>
      </w:r>
      <w:r>
        <w:rPr>
          <w:i/>
        </w:rPr>
        <w:t xml:space="preserve">leave-one-out</w:t>
      </w:r>
      <w:r>
        <w:t xml:space="preserve"> </w:t>
      </w:r>
      <w:r>
        <w:t xml:space="preserve">y que los grupos admitan una interpretación de</w:t>
      </w:r>
      <w:r>
        <w:t xml:space="preserve"> </w:t>
      </w:r>
      <w:r>
        <w:t xml:space="preserve">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los seis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2" w:name="correspondencia-con-el-encargo"/>
      <w:r>
        <w:t xml:space="preserve">5.3. Correspondencia con el encargo</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3" w:name="metodología"/>
      <w:r>
        <w:t xml:space="preserve">6. Metodología</w:t>
      </w:r>
      <w:bookmarkEnd w:id="43"/>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4" w:name="origen-y-descripción-de-los-datos"/>
      <w:r>
        <w:t xml:space="preserve">6.1. Origen y descripción de los datos</w:t>
      </w:r>
      <w:bookmarkEnd w:id="44"/>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w:t>
      </w:r>
      <w:r>
        <w:t xml:space="preserve"> </w:t>
      </w:r>
      <w:r>
        <w:rPr>
          <w:rStyle w:val="VerbatimChar"/>
        </w:rPr>
        <w:t xml:space="preserve">wm_yr_wk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5" w:name="la-unidad-de-análisis"/>
      <w:r>
        <w:t xml:space="preserve">6.1.1. La unidad de análisis</w:t>
      </w:r>
      <w:bookmarkEnd w:id="45"/>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6" w:name="Xb3c46f3f79282c0cd28b6d7383aadeb57a56278"/>
      <w:r>
        <w:t xml:space="preserve">6.2. Calidad de los datos y decisiones de tratamiento</w:t>
      </w:r>
      <w:bookmarkEnd w:id="46"/>
    </w:p>
    <w:p>
      <w:pPr>
        <w:pStyle w:val="Heading3"/>
      </w:pPr>
      <w:bookmarkStart w:id="47" w:name="el-desfase-entre-precios-y-ventas"/>
      <w:r>
        <w:t xml:space="preserve">6.2.1. El desfase entre precios y ventas</w:t>
      </w:r>
      <w:bookmarkEnd w:id="47"/>
    </w:p>
    <w:p>
      <w:pPr>
        <w:pStyle w:val="FirstParagraph"/>
      </w:pPr>
      <w:r>
        <w:t xml:space="preserve">La comprobación de integridad más relevante del trabajo surgió al cruzar los dos ficheros</w:t>
      </w:r>
      <w:r>
        <w:t xml:space="preserve"> </w:t>
      </w:r>
      <w:r>
        <w:t xml:space="preserve">principales. El histórico de precios</w:t>
      </w:r>
      <w:r>
        <w:t xml:space="preserve"> </w:t>
      </w:r>
      <w:r>
        <w:rPr>
          <w:b/>
        </w:rPr>
        <w:t xml:space="preserve">comienza cinco semanas antes que el de ventas</w:t>
      </w:r>
      <w:r>
        <w:t xml:space="preserve">. Una</w:t>
      </w:r>
      <w:r>
        <w:t xml:space="preserve"> </w:t>
      </w:r>
      <w:r>
        <w:t xml:space="preserve">lectura ingenua del cruce interpretaría esas semanas como períodos con precio y sin demanda, es</w:t>
      </w:r>
      <w:r>
        <w:t xml:space="preserve"> </w:t>
      </w:r>
      <w:r>
        <w:t xml:space="preserve">decir, como ceros de venta, e introduciría un sesgo a la baja en todas las medias y en todos los</w:t>
      </w:r>
      <w:r>
        <w:t xml:space="preserve"> </w:t>
      </w:r>
      <w:r>
        <w:t xml:space="preserve">modelos entrenados sobre ellas.</w:t>
      </w:r>
    </w:p>
    <w:p>
      <w:pPr>
        <w:pStyle w:val="BodyText"/>
      </w:pPr>
      <w:r>
        <w:t xml:space="preserve">La hipótesis se contrastó de forma directa: se contaron las unidades vendidas en las</w:t>
      </w:r>
      <w:r>
        <w:t xml:space="preserve"> </w:t>
      </w:r>
      <w:r>
        <w:t xml:space="preserve">combinaciones producto-tienda-semana</w:t>
      </w:r>
      <w:r>
        <w:t xml:space="preserve"> </w:t>
      </w:r>
      <w:r>
        <w:rPr>
          <w:b/>
        </w:rPr>
        <w:t xml:space="preserve">sin</w:t>
      </w:r>
      <w:r>
        <w:t xml:space="preserve"> </w:t>
      </w:r>
      <w:r>
        <w:t xml:space="preserve">precio registrado y en las que</w:t>
      </w:r>
      <w:r>
        <w:t xml:space="preserve"> </w:t>
      </w:r>
      <w:r>
        <w:rPr>
          <w:b/>
        </w:rPr>
        <w:t xml:space="preserve">sí</w:t>
      </w:r>
      <w:r>
        <w:t xml:space="preserve"> </w:t>
      </w:r>
      <w:r>
        <w:t xml:space="preserve">lo tenían. El</w:t>
      </w:r>
      <w:r>
        <w:t xml:space="preserve"> </w:t>
      </w:r>
      <w:r>
        <w:t xml:space="preserve">resultado fue</w:t>
      </w:r>
      <w:r>
        <w:t xml:space="preserve"> </w:t>
      </w:r>
      <w:r>
        <w:rPr>
          <w:b/>
        </w:rPr>
        <w:t xml:space="preserve">0 unidades frente a 164.349</w:t>
      </w:r>
      <w:r>
        <w:t xml:space="preserve">. La ausencia de precio no señala una semana sin</w:t>
      </w:r>
      <w:r>
        <w:t xml:space="preserve"> </w:t>
      </w:r>
      <w:r>
        <w:t xml:space="preserve">ventas: señala una semana anterior al inicio del registro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8" w:name="los-ceros"/>
      <w:r>
        <w:t xml:space="preserve">6.2.2. Los ceros</w:t>
      </w:r>
      <w:bookmarkEnd w:id="48"/>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49" w:name="eventos-del-calendario"/>
      <w:r>
        <w:t xml:space="preserve">6.2.3. Eventos del calendario</w:t>
      </w:r>
      <w:bookmarkEnd w:id="49"/>
    </w:p>
    <w:p>
      <w:pPr>
        <w:pStyle w:val="FirstParagraph"/>
      </w:pPr>
      <w:r>
        <w:t xml:space="preserve">El fichero de calendario etiqueta días con eventos de cuatro tipos (deportivos, culturales,</w:t>
      </w:r>
      <w:r>
        <w:t xml:space="preserve"> </w:t>
      </w:r>
      <w:r>
        <w:t xml:space="preserve">nacionales y religiosos).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0" w:name="demanda-censurada"/>
      <w:r>
        <w:t xml:space="preserve">6.2.4. Demanda censurada</w:t>
      </w:r>
      <w:bookmarkEnd w:id="50"/>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2"/>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2"/>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2"/>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§7.4.8: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1" w:name="días-de-cierre"/>
      <w:r>
        <w:t xml:space="preserve">6.2.5. Días de cierre</w:t>
      </w:r>
      <w:bookmarkEnd w:id="51"/>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2" w:name="arquitectura-del-almacén-analítico"/>
      <w:r>
        <w:t xml:space="preserve">6.3. Arquitectura del almacén analítico</w:t>
      </w:r>
      <w:bookmarkEnd w:id="52"/>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3" w:name="arquitectura-medallón"/>
      <w:r>
        <w:t xml:space="preserve">6.3.1. Arquitectura medallón</w:t>
      </w:r>
      <w:bookmarkEnd w:id="53"/>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4"/>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5" w:name="modelo-dimensional"/>
      <w:r>
        <w:t xml:space="preserve">6.3.2. Modelo dimensional</w:t>
      </w:r>
      <w:bookmarkEnd w:id="55"/>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7" w:name="motor-y-decisiones-de-implementación"/>
      <w:r>
        <w:t xml:space="preserve">6.3.3. Motor y decisiones de implementación</w:t>
      </w:r>
      <w:bookmarkEnd w:id="57"/>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8" w:name="la-trampa-del-abanico"/>
      <w:r>
        <w:t xml:space="preserve">6.3.4. La trampa del abanico</w:t>
      </w:r>
      <w:bookmarkEnd w:id="58"/>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59" w:name="ingeniería-de-variables"/>
      <w:r>
        <w:t xml:space="preserve">6.4. Ingeniería de variables</w:t>
      </w:r>
      <w:bookmarkEnd w:id="59"/>
    </w:p>
    <w:p>
      <w:pPr>
        <w:pStyle w:val="Heading3"/>
      </w:pPr>
      <w:bookmarkStart w:id="60" w:name="variables-construidas"/>
      <w:r>
        <w:t xml:space="preserve">6.4.1. Variables construidas</w:t>
      </w:r>
      <w:bookmarkEnd w:id="60"/>
    </w:p>
    <w:p>
      <w:pPr>
        <w:pStyle w:val="FirstParagraph"/>
      </w:pPr>
      <w:r>
        <w:t xml:space="preserve">El conjunto de variables predictoras se organiza en cuatro bloques:</w:t>
      </w:r>
    </w:p>
    <w:p>
      <w:pPr>
        <w:numPr>
          <w:ilvl w:val="0"/>
          <w:numId w:val="1003"/>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3"/>
        </w:numPr>
        <w:pStyle w:val="Compact"/>
      </w:pPr>
      <w:r>
        <w:rPr>
          <w:b/>
        </w:rPr>
        <w:t xml:space="preserve">Medias móviles.</w:t>
      </w:r>
      <w:r>
        <w:t xml:space="preserve"> </w:t>
      </w:r>
      <w:r>
        <w:t xml:space="preserve">Promedios de la serie sobre ventanas de 7, 28, 91 y 364 días.</w:t>
      </w:r>
    </w:p>
    <w:p>
      <w:pPr>
        <w:numPr>
          <w:ilvl w:val="0"/>
          <w:numId w:val="1003"/>
        </w:numPr>
        <w:pStyle w:val="Compact"/>
      </w:pPr>
      <w:r>
        <w:rPr>
          <w:b/>
        </w:rPr>
        <w:t xml:space="preserve">Calendario.</w:t>
      </w:r>
      <w:r>
        <w:t xml:space="preserve"> </w:t>
      </w:r>
      <w:r>
        <w:t xml:space="preserve">Día de la semana, mes, semana del año, bandera de fin de semana y evento del</w:t>
      </w:r>
      <w:r>
        <w:t xml:space="preserve"> </w:t>
      </w:r>
      <w:r>
        <w:t xml:space="preserve">día.</w:t>
      </w:r>
    </w:p>
    <w:p>
      <w:pPr>
        <w:numPr>
          <w:ilvl w:val="0"/>
          <w:numId w:val="1003"/>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3"/>
        </w:numPr>
        <w:pStyle w:val="Compact"/>
      </w:pPr>
      <w:r>
        <w:rPr>
          <w:b/>
        </w:rPr>
        <w:t xml:space="preserve">Precio y segmento.</w:t>
      </w:r>
      <w:r>
        <w:t xml:space="preserve"> </w:t>
      </w:r>
      <w:r>
        <w:t xml:space="preserve">Precio de la semana, variación relativa respecto de la semana anterior,</w:t>
      </w:r>
      <w:r>
        <w:t xml:space="preserve"> </w:t>
      </w:r>
      <w:r>
        <w:t xml:space="preserve">categoría, departamento, tienda y ciudad. El grupo de producto obtenido en §7.2 se probó también como variable y se retiró, porque no mejoraba la predicción (cuaderno 03b).</w:t>
      </w:r>
    </w:p>
    <w:p>
      <w:pPr>
        <w:pStyle w:val="Heading3"/>
      </w:pPr>
      <w:bookmarkStart w:id="61" w:name="la-restricción-de-retardo-mínimo"/>
      <w:r>
        <w:t xml:space="preserve">6.4.2. La restricción de retardo mínimo</w:t>
      </w:r>
      <w:bookmarkEnd w:id="61"/>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2" w:name="función-de-pérdida"/>
      <w:r>
        <w:t xml:space="preserve">6.4.3. Función de pérdida</w:t>
      </w:r>
      <w:bookmarkEnd w:id="62"/>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3" w:name="precisión-numérica"/>
      <w:r>
        <w:t xml:space="preserve">6.4.4. Precisión numérica</w:t>
      </w:r>
      <w:bookmarkEnd w:id="63"/>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4" w:name="protocolo-de-validación"/>
      <w:r>
        <w:t xml:space="preserve">6.5. Protocolo de validación</w:t>
      </w:r>
      <w:bookmarkEnd w:id="64"/>
    </w:p>
    <w:p>
      <w:pPr>
        <w:pStyle w:val="Heading3"/>
      </w:pPr>
      <w:bookmarkStart w:id="65" w:name="validación-temporal-por-avance"/>
      <w:r>
        <w:t xml:space="preserve">6.5.1. Validación temporal por avance</w:t>
      </w:r>
      <w:bookmarkEnd w:id="65"/>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6"/>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7" w:name="ventana-de-entrenamiento"/>
      <w:r>
        <w:t xml:space="preserve">6.5.2. Ventana de entrenamiento</w:t>
      </w:r>
      <w:bookmarkEnd w:id="67"/>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5,3 % en diciembre y</w:t>
      </w:r>
      <w:r>
        <w:t xml:space="preserve"> </w:t>
      </w:r>
      <w:r>
        <w:t xml:space="preserve">un 3,2 %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8" w:name="validación-de-la-segmentación"/>
      <w:r>
        <w:t xml:space="preserve">6.5.3. Validación de la segmentación</w:t>
      </w:r>
      <w:bookmarkEnd w:id="68"/>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69" w:name="métricas"/>
      <w:r>
        <w:t xml:space="preserve">6.6. Métricas</w:t>
      </w:r>
      <w:bookmarkEnd w:id="69"/>
    </w:p>
    <w:p>
      <w:pPr>
        <w:pStyle w:val="Heading3"/>
      </w:pPr>
      <w:bookmarkStart w:id="70" w:name="error-de-predicción"/>
      <w:r>
        <w:t xml:space="preserve">6.6.1. Error de predicción</w:t>
      </w:r>
      <w:bookmarkEnd w:id="70"/>
    </w:p>
    <w:p>
      <w:pPr>
        <w:pStyle w:val="FirstParagraph"/>
      </w:pPr>
      <w:r>
        <w:t xml:space="preserve">Se emplean cuatro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1" w:name="métricas-de-segmentación"/>
      <w:r>
        <w:t xml:space="preserve">6.6.2. Métricas de segmentación</w:t>
      </w:r>
      <w:bookmarkEnd w:id="71"/>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2" w:name="métricas-económicas"/>
      <w:r>
        <w:t xml:space="preserve">6.6.3. Métricas económicas</w:t>
      </w:r>
      <w:bookmarkEnd w:id="72"/>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4"/>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4"/>
        </w:numPr>
        <w:pStyle w:val="Compact"/>
      </w:pPr>
      <w:r>
        <w:rPr>
          <w:b/>
        </w:rPr>
        <w:t xml:space="preserve">Coste de mantenimiento</w:t>
      </w:r>
      <w:r>
        <w:t xml:space="preserve">, proporcional al inventario medio inmovilizado.</w:t>
      </w:r>
    </w:p>
    <w:p>
      <w:pPr>
        <w:numPr>
          <w:ilvl w:val="0"/>
          <w:numId w:val="1004"/>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3" w:name="reproducibilidad"/>
      <w:r>
        <w:t xml:space="preserve">6.7. Reproducibilidad</w:t>
      </w:r>
      <w:bookmarkEnd w:id="73"/>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Los cinco cuadernos se</w:t>
      </w:r>
      <w:r>
        <w:t xml:space="preserve"> </w:t>
      </w:r>
      <w:r>
        <w:t xml:space="preserve">generan a partir de guiones de construcción versionados —no se editan a mano—, lo que garantiza</w:t>
      </w:r>
      <w:r>
        <w:t xml:space="preserve"> </w:t>
      </w:r>
      <w:r>
        <w:t xml:space="preserve">que el cuaderno entregado y el código que lo produce no puedan divergir.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r>
        <w:t xml:space="preserve"> </w:t>
      </w:r>
      <w:r>
        <w:t xml:space="preserve"># 7. Resultados y conclusiones</w:t>
      </w:r>
    </w:p>
    <w:p>
      <w:pPr>
        <w:pStyle w:val="Heading2"/>
      </w:pPr>
      <w:bookmarkStart w:id="74" w:name="qué-está-pasando-en-las-tiendas"/>
      <w:r>
        <w:t xml:space="preserve">7.1. Qué está pasando en las tiendas</w:t>
      </w:r>
      <w:bookmarkEnd w:id="74"/>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5" w:name="la-estructura-temporal"/>
      <w:r>
        <w:t xml:space="preserve">7.1.1. La estructura temporal</w:t>
      </w:r>
      <w:bookmarkEnd w:id="75"/>
    </w:p>
    <w:p>
      <w:pPr>
        <w:pStyle w:val="FirstParagraph"/>
      </w:pPr>
      <w:r>
        <w:t xml:space="preserve">La serie agregada de la cadena muestra los tres componentes esperables en un minorista de</w:t>
      </w:r>
      <w:r>
        <w:t xml:space="preserve"> </w:t>
      </w:r>
      <w:r>
        <w:t xml:space="preserve">gran consumo.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6"/>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7" w:name="los-eventos-que-importan-y-el-que-no"/>
      <w:r>
        <w:t xml:space="preserve">7.1.2. Los eventos que importan y el que no</w:t>
      </w:r>
      <w:bookmarkEnd w:id="77"/>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78"/>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9" w:name="las-tiendas-no-son-intercambiables"/>
      <w:r>
        <w:t xml:space="preserve">7.1.3. Las tiendas no son intercambiables</w:t>
      </w:r>
      <w:bookmarkEnd w:id="79"/>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Dos tercios de los productos que encabezan las ventas en una ciudad no</w:t>
      </w:r>
      <w:r>
        <w:t xml:space="preserve"> </w:t>
      </w:r>
      <w:r>
        <w:t xml:space="preserve">encabezan las de las otras dos.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w:t>
            </w:r>
          </w:p>
        </w:tc>
      </w:tr>
      <w:tr>
        <w:tc>
          <w:p>
            <w:pPr>
              <w:pStyle w:val="Compact"/>
              <w:jc w:val="left"/>
            </w:pPr>
            <w:r>
              <w:t xml:space="preserve">Nueva York</w:t>
            </w:r>
          </w:p>
        </w:tc>
        <w:tc>
          <w:p>
            <w:pPr>
              <w:pStyle w:val="Compact"/>
              <w:jc w:val="left"/>
            </w:pPr>
            <w:r>
              <w:t xml:space="preserve">8 de 15</w:t>
            </w:r>
          </w:p>
        </w:tc>
      </w:tr>
      <w:tr>
        <w:tc>
          <w:p>
            <w:pPr>
              <w:pStyle w:val="Compact"/>
              <w:jc w:val="left"/>
            </w:pPr>
            <w:r>
              <w:rPr>
                <w:b/>
              </w:rPr>
              <w:t xml:space="preserve">Filadelfia</w:t>
            </w:r>
          </w:p>
        </w:tc>
        <w:tc>
          <w:p>
            <w:pPr>
              <w:pStyle w:val="Compact"/>
              <w:jc w:val="left"/>
            </w:pPr>
            <w:r>
              <w:rPr>
                <w:b/>
              </w:rPr>
              <w:t xml:space="preserve">4 de 15</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del catálogo—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1" w:name="el-precio-y-un-resultado-contraintuitivo"/>
      <w:r>
        <w:t xml:space="preserve">7.1.4. El precio, y un resultado contraintuitivo</w:t>
      </w:r>
      <w:bookmarkEnd w:id="81"/>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w:t>
      </w:r>
      <w:r>
        <w:t xml:space="preserve"> </w:t>
      </w:r>
      <w:r>
        <w:t xml:space="preserve">irrelevantes y unos euros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por delante de las categorías de artículos de</w:t>
      </w:r>
      <w:r>
        <w:t xml:space="preserve"> </w:t>
      </w:r>
      <w:r>
        <w:t xml:space="preserve">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2"/>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3" w:name="qué-abre-el-capítulo-siguiente"/>
      <w:r>
        <w:t xml:space="preserve">7.1.5. Qué abre el capítulo siguiente</w:t>
      </w:r>
      <w:bookmarkEnd w:id="83"/>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Un modelo único para toda la cadena ignoraría esa estructura; un modelo por serie</w:t>
      </w:r>
      <w:r>
        <w:t xml:space="preserve"> </w:t>
      </w:r>
      <w:r>
        <w:t xml:space="preserve">—30.490 modelos— sería inmanejable y además desaprovecharía la información compartida entre</w:t>
      </w:r>
      <w:r>
        <w:t xml:space="preserve"> </w:t>
      </w:r>
      <w:r>
        <w:t xml:space="preserve">series parecidas.</w:t>
      </w:r>
    </w:p>
    <w:p>
      <w:pPr>
        <w:pStyle w:val="BodyText"/>
      </w:pPr>
      <w:r>
        <w:t xml:space="preserve">La salida es agrupar antes de modelar. Ese es el objeto del capítulo siguiente.</w:t>
      </w:r>
      <w:r>
        <w:t xml:space="preserve"> </w:t>
      </w:r>
      <w:r>
        <w:t xml:space="preserve">## 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4" w:name="qué-se-agrupa-y-con-qué-variables"/>
      <w:r>
        <w:t xml:space="preserve">7.2.1. Qué se agrupa y con qué variables</w:t>
      </w:r>
      <w:bookmarkEnd w:id="84"/>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5" w:name="elección-del-número-de-grupos"/>
      <w:r>
        <w:t xml:space="preserve">7.2.2. Elección del número de grupos</w:t>
      </w:r>
      <w:bookmarkEnd w:id="85"/>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86"/>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87" w:name="los-seis-grupos-de-producto"/>
      <w:r>
        <w:t xml:space="preserve">7.2.3. Los seis grupos de producto</w:t>
      </w:r>
      <w:bookmarkEnd w:id="87"/>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supermercado,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88"/>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89"/>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0" w:name="X89eb7c528f5f5f2ec9f45676de4f884450bb7ac"/>
      <w:r>
        <w:t xml:space="preserve">7.2.4. Las tiendas: comparación directa en lugar de agrupamiento</w:t>
      </w:r>
      <w:bookmarkEnd w:id="90"/>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5"/>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5"/>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5"/>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1"/>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2" w:name="segmentación-operativa-abcxyz"/>
      <w:r>
        <w:t xml:space="preserve">7.2.5. Segmentación operativa ABC/XYZ</w:t>
      </w:r>
      <w:bookmarkEnd w:id="92"/>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3"/>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4" w:name="Xb651ec15533c09830763e8767bbd252ab7f0aed"/>
      <w:r>
        <w:t xml:space="preserve">7.2.6. Una hipótesis que no sobrevivió: la afinidad entre productos</w:t>
      </w:r>
      <w:bookmarkEnd w:id="94"/>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5" w:name="qué-abre-el-capítulo-siguiente-1"/>
      <w:r>
        <w:t xml:space="preserve">7.2.7. Qué abre el capítulo siguiente</w:t>
      </w:r>
      <w:bookmarkEnd w:id="95"/>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r>
        <w:t xml:space="preserve"> </w:t>
      </w:r>
      <w:r>
        <w:t xml:space="preserve">## 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96" w:name="diseño-de-la-comparación"/>
      <w:r>
        <w:t xml:space="preserve">7.3.1. Diseño de la comparación</w:t>
      </w:r>
      <w:bookmarkEnd w:id="96"/>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6"/>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6"/>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6"/>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97" w:name="el-resultado-incómodo"/>
      <w:r>
        <w:t xml:space="preserve">7.3.2. El resultado incómodo</w:t>
      </w:r>
      <w:bookmarkEnd w:id="97"/>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1,0639 frente a 1,0657, un empate técnico. XGBoost queda en 1,0570, un 0,8 % por debajo de la media móvil.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98" w:name="Xcbe6d525a62b1e18c11a4688a0e3f64f6595429"/>
      <w:r>
        <w:t xml:space="preserve">7.3.3. La estrategia de horizonte, que es lo que cambia el resultado</w:t>
      </w:r>
      <w:bookmarkEnd w:id="98"/>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XGBoost, bloques semanales</w:t>
            </w:r>
          </w:p>
        </w:tc>
        <w:tc>
          <w:p>
            <w:pPr>
              <w:pStyle w:val="Compact"/>
              <w:jc w:val="left"/>
            </w:pPr>
            <w:r>
              <w:rPr>
                <w:b/>
              </w:rPr>
              <w:t xml:space="preserve">1,0352</w:t>
            </w:r>
          </w:p>
        </w:tc>
      </w:tr>
      <w:tr>
        <w:tc>
          <w:p>
            <w:pPr>
              <w:pStyle w:val="Compact"/>
              <w:jc w:val="left"/>
            </w:pPr>
            <w:r>
              <w:t xml:space="preserve">LightGBM, bloques semanales</w:t>
            </w:r>
          </w:p>
        </w:tc>
        <w:tc>
          <w:p>
            <w:pPr>
              <w:pStyle w:val="Compact"/>
              <w:jc w:val="left"/>
            </w:pPr>
            <w:r>
              <w:t xml:space="preserve">1,0422</w:t>
            </w:r>
          </w:p>
        </w:tc>
      </w:tr>
      <w:tr>
        <w:tc>
          <w:p>
            <w:pPr>
              <w:pStyle w:val="Compact"/>
              <w:jc w:val="left"/>
            </w:pPr>
            <w:r>
              <w:t xml:space="preserve">XGBoost, modelo único</w:t>
            </w:r>
          </w:p>
        </w:tc>
        <w:tc>
          <w:p>
            <w:pPr>
              <w:pStyle w:val="Compact"/>
              <w:jc w:val="left"/>
            </w:pPr>
            <w:r>
              <w:t xml:space="preserve">1,0570</w:t>
            </w:r>
          </w:p>
        </w:tc>
      </w:tr>
      <w:tr>
        <w:tc>
          <w:p>
            <w:pPr>
              <w:pStyle w:val="Compact"/>
              <w:jc w:val="left"/>
            </w:pPr>
            <w:r>
              <w:t xml:space="preserve">LightGBM, modelo único</w:t>
            </w:r>
          </w:p>
        </w:tc>
        <w:tc>
          <w:p>
            <w:pPr>
              <w:pStyle w:val="Compact"/>
              <w:jc w:val="left"/>
            </w:pPr>
            <w:r>
              <w:t xml:space="preserve">1,0639</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99"/>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1,0639 a 1,0422 en LightGBM y de 1,0570 a 1,0352 en XGBoost), mientras que la</w:t>
      </w:r>
      <w:r>
        <w:rPr>
          <w:b/>
        </w:rPr>
        <w:t xml:space="preserve"> </w:t>
      </w:r>
      <w:r>
        <w:rPr>
          <w:b/>
        </w:rPr>
        <w:t xml:space="preserve">diferencia entre ambas bibliotecas con la misma estrategia es de 0,007 (0,7 %)</w:t>
      </w:r>
      <w:r>
        <w:t xml:space="preserve">. Definir qué información puede ver el</w:t>
      </w:r>
      <w:r>
        <w:t xml:space="preserve"> </w:t>
      </w:r>
      <w:r>
        <w:t xml:space="preserve">modelo rinde unas tres veces más que elegir la biblioteca. XGBoost queda ligeramente por delante en las cuatro</w:t>
      </w:r>
      <w:r>
        <w:t xml:space="preserve"> </w:t>
      </w:r>
      <w:r>
        <w:t xml:space="preserve">métricas; se adopta LightGBM con bloques semanales porque todo el desarrollo posterior (400 días, eventos semanales,</w:t>
      </w:r>
      <w:r>
        <w:t xml:space="preserve"> </w:t>
      </w:r>
      <w:r>
        <w:t xml:space="preserve">modelo cuantílico y entrega) se construyó sobre él, y evaluar XGBoost en el modelo final queda como línea de mejora.</w:t>
      </w:r>
    </w:p>
    <w:p>
      <w:pPr>
        <w:pStyle w:val="BodyText"/>
      </w:pPr>
      <w:r>
        <w:t xml:space="preserve">El resultado se matiza según la métrica. En error absoluto medio la media móvil queda al nivel de</w:t>
      </w:r>
      <w:r>
        <w:t xml:space="preserve"> </w:t>
      </w:r>
      <w:r>
        <w:t xml:space="preserve">los modelos (1,0401 frente a 1,0462 de LightGBM y 1,0349 de XGBoost),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0"/>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1" w:name="Xb1c058a5ca97dfb048e977efcf634615a98e718"/>
      <w:r>
        <w:t xml:space="preserve">7.3.4. Qué mira el modelo y cuánta complejidad hace falta</w:t>
      </w:r>
      <w:bookmarkEnd w:id="101"/>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54,1 %</w:t>
      </w:r>
      <w:r>
        <w:t xml:space="preserve"> </w:t>
      </w:r>
      <w:r>
        <w:t xml:space="preserve">de la importancia total, y las cuatro medias</w:t>
      </w:r>
      <w:r>
        <w:t xml:space="preserve"> </w:t>
      </w:r>
      <w:r>
        <w:t xml:space="preserve">móviles juntas (7, 28, 91 y 364 días) el</w:t>
      </w:r>
      <w:r>
        <w:t xml:space="preserve"> </w:t>
      </w:r>
      <w:r>
        <w:rPr>
          <w:b/>
        </w:rPr>
        <w:t xml:space="preserve">88,1 %</w:t>
      </w:r>
      <w:r>
        <w:t xml:space="preserve">. El identificador del producto pesa un 6,0 %, y</w:t>
      </w:r>
      <w:r>
        <w:t xml:space="preserve"> </w:t>
      </w:r>
      <w:r>
        <w:t xml:space="preserve">las variables de evento y de fin de semana no llegan al 1 % cada una. El grupo de producto de §7.2</w:t>
      </w:r>
      <w:r>
        <w:t xml:space="preserve"> </w:t>
      </w:r>
      <w:r>
        <w:t xml:space="preserve">no se incluye como variable: en el experimento con y sin él pesaba un 0,18 % de la importancia y no</w:t>
      </w:r>
      <w:r>
        <w:t xml:space="preserve"> </w:t>
      </w:r>
      <w:r>
        <w:t xml:space="preserve">mejoraba la predicción (cuaderno 03b);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85122"/>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2"/>
                    <a:stretch>
                      <a:fillRect/>
                    </a:stretch>
                  </pic:blipFill>
                  <pic:spPr bwMode="auto">
                    <a:xfrm>
                      <a:off x="0" y="0"/>
                      <a:ext cx="5334000" cy="2985122"/>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1,0759</w:t>
            </w:r>
          </w:p>
        </w:tc>
        <w:tc>
          <w:p>
            <w:pPr>
              <w:pStyle w:val="Compact"/>
              <w:jc w:val="left"/>
            </w:pPr>
            <w:r>
              <w:t xml:space="preserve">1,0517</w:t>
            </w:r>
          </w:p>
        </w:tc>
        <w:tc>
          <w:p>
            <w:pPr>
              <w:pStyle w:val="Compact"/>
              <w:jc w:val="left"/>
            </w:pPr>
            <w:r>
              <w:t xml:space="preserve">1,0185</w:t>
            </w:r>
          </w:p>
        </w:tc>
        <w:tc>
          <w:p>
            <w:pPr>
              <w:pStyle w:val="Compact"/>
              <w:jc w:val="left"/>
            </w:pPr>
            <w:r>
              <w:t xml:space="preserve">1,0487</w:t>
            </w:r>
          </w:p>
        </w:tc>
      </w:tr>
      <w:tr>
        <w:tc>
          <w:p>
            <w:pPr>
              <w:pStyle w:val="Compact"/>
              <w:jc w:val="left"/>
            </w:pPr>
            <w:r>
              <w:t xml:space="preserve">LightGBM pequeño (7 variables, 15 hojas)</w:t>
            </w:r>
          </w:p>
        </w:tc>
        <w:tc>
          <w:p>
            <w:pPr>
              <w:pStyle w:val="Compact"/>
              <w:jc w:val="left"/>
            </w:pPr>
            <w:r>
              <w:t xml:space="preserve">1,0857</w:t>
            </w:r>
          </w:p>
        </w:tc>
        <w:tc>
          <w:p>
            <w:pPr>
              <w:pStyle w:val="Compact"/>
              <w:jc w:val="left"/>
            </w:pPr>
            <w:r>
              <w:t xml:space="preserve">1,0407</w:t>
            </w:r>
          </w:p>
        </w:tc>
        <w:tc>
          <w:p>
            <w:pPr>
              <w:pStyle w:val="Compact"/>
              <w:jc w:val="left"/>
            </w:pPr>
            <w:r>
              <w:t xml:space="preserve">1,0098</w:t>
            </w:r>
          </w:p>
        </w:tc>
        <w:tc>
          <w:p>
            <w:pPr>
              <w:pStyle w:val="Compact"/>
              <w:jc w:val="left"/>
            </w:pPr>
            <w:r>
              <w:t xml:space="preserve">1,0454</w:t>
            </w:r>
          </w:p>
        </w:tc>
      </w:tr>
      <w:tr>
        <w:tc>
          <w:p>
            <w:pPr>
              <w:pStyle w:val="Compact"/>
              <w:jc w:val="left"/>
            </w:pPr>
            <w:r>
              <w:t xml:space="preserve">LightGBM completo (180 días)</w:t>
            </w:r>
          </w:p>
        </w:tc>
        <w:tc>
          <w:p>
            <w:pPr>
              <w:pStyle w:val="Compact"/>
              <w:jc w:val="left"/>
            </w:pPr>
            <w:r>
              <w:t xml:space="preserve">1,0799</w:t>
            </w:r>
          </w:p>
        </w:tc>
        <w:tc>
          <w:p>
            <w:pPr>
              <w:pStyle w:val="Compact"/>
              <w:jc w:val="left"/>
            </w:pPr>
            <w:r>
              <w:t xml:space="preserve">1,0410</w:t>
            </w:r>
          </w:p>
        </w:tc>
        <w:tc>
          <w:p>
            <w:pPr>
              <w:pStyle w:val="Compact"/>
              <w:jc w:val="left"/>
            </w:pPr>
            <w:r>
              <w:t xml:space="preserve">1,0055</w:t>
            </w:r>
          </w:p>
        </w:tc>
        <w:tc>
          <w:p>
            <w:pPr>
              <w:pStyle w:val="Compact"/>
              <w:jc w:val="left"/>
            </w:pPr>
            <w:r>
              <w:t xml:space="preserve">1,0422</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1,0002</w:t>
            </w:r>
          </w:p>
        </w:tc>
        <w:tc>
          <w:p>
            <w:pPr>
              <w:pStyle w:val="Compact"/>
              <w:jc w:val="left"/>
            </w:pPr>
            <w:r>
              <w:t xml:space="preserve">—</w:t>
            </w:r>
          </w:p>
        </w:tc>
      </w:tr>
    </w:tbl>
    <w:p>
      <w:pPr>
        <w:pStyle w:val="BodyText"/>
      </w:pPr>
      <w:r>
        <w:t xml:space="preserve">El escalón más rentable es multiplicar la media móvil por un factor de día de la semana y departamento</w:t>
      </w:r>
      <w:r>
        <w:t xml:space="preserve"> </w:t>
      </w:r>
      <w:r>
        <w:t xml:space="preserve">(reduce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−0,4 % y 1,3 %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3" w:name="dónde-falla-la-temporada-alta"/>
      <w:r>
        <w:t xml:space="preserve">7.3.5. Dónde falla: la temporada alta</w:t>
      </w:r>
      <w:bookmarkEnd w:id="103"/>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1,0542 en noviembre y de</w:t>
      </w:r>
      <w:r>
        <w:t xml:space="preserve"> </w:t>
      </w:r>
      <w:r>
        <w:rPr>
          <w:b/>
        </w:rPr>
        <w:t xml:space="preserve">1,1090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35.966 unidades frente a 14 reales</w:t>
      </w:r>
      <w:r>
        <w:t xml:space="preserve"> </w:t>
      </w:r>
      <w:r>
        <w:t xml:space="preserve">(la tienda cierra), subestimó la subida de</w:t>
      </w:r>
      <w:r>
        <w:t xml:space="preserve"> </w:t>
      </w:r>
      <w:r>
        <w:t xml:space="preserve">los días 22 a 24 (−17 %, −23 % y −21 %) y subestimó el 31 de diciembre en un 28 %.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7"/>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0,15 % de la importancia</w:t>
      </w:r>
      <w:r>
        <w:t xml:space="preserve"> </w:t>
      </w:r>
      <w:r>
        <w:t xml:space="preserve">y las diferencias son de unas pocas milésimas (0,004 como máximo).</w:t>
      </w:r>
    </w:p>
    <w:p>
      <w:pPr>
        <w:numPr>
          <w:ilvl w:val="0"/>
          <w:numId w:val="1007"/>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1,0542</w:t>
            </w:r>
          </w:p>
        </w:tc>
        <w:tc>
          <w:p>
            <w:pPr>
              <w:pStyle w:val="Compact"/>
              <w:jc w:val="left"/>
            </w:pPr>
            <w:r>
              <w:t xml:space="preserve">1,0205</w:t>
            </w:r>
          </w:p>
        </w:tc>
        <w:tc>
          <w:p>
            <w:pPr>
              <w:pStyle w:val="Compact"/>
              <w:jc w:val="left"/>
            </w:pPr>
            <w:r>
              <w:rPr>
                <w:b/>
              </w:rPr>
              <w:t xml:space="preserve">1,0156</w:t>
            </w:r>
          </w:p>
        </w:tc>
      </w:tr>
      <w:tr>
        <w:tc>
          <w:p>
            <w:pPr>
              <w:pStyle w:val="Compact"/>
              <w:jc w:val="left"/>
            </w:pPr>
            <w:r>
              <w:t xml:space="preserve">Diciembre 2015</w:t>
            </w:r>
          </w:p>
        </w:tc>
        <w:tc>
          <w:p>
            <w:pPr>
              <w:pStyle w:val="Compact"/>
              <w:jc w:val="left"/>
            </w:pPr>
            <w:r>
              <w:t xml:space="preserve">1,1090</w:t>
            </w:r>
          </w:p>
        </w:tc>
        <w:tc>
          <w:p>
            <w:pPr>
              <w:pStyle w:val="Compact"/>
              <w:jc w:val="left"/>
            </w:pPr>
            <w:r>
              <w:t xml:space="preserve">1,0504</w:t>
            </w:r>
          </w:p>
        </w:tc>
        <w:tc>
          <w:p>
            <w:pPr>
              <w:pStyle w:val="Compact"/>
              <w:jc w:val="left"/>
            </w:pPr>
            <w:r>
              <w:rPr>
                <w:b/>
              </w:rPr>
              <w:t xml:space="preserve">1,0469</w:t>
            </w:r>
          </w:p>
        </w:tc>
      </w:tr>
      <w:tr>
        <w:tc>
          <w:p>
            <w:pPr>
              <w:pStyle w:val="Compact"/>
              <w:jc w:val="left"/>
            </w:pPr>
            <w:r>
              <w:t xml:space="preserve">Media febrero-abril 2016</w:t>
            </w:r>
          </w:p>
        </w:tc>
        <w:tc>
          <w:p>
            <w:pPr>
              <w:pStyle w:val="Compact"/>
              <w:jc w:val="left"/>
            </w:pPr>
            <w:r>
              <w:t xml:space="preserve">1,0422</w:t>
            </w:r>
          </w:p>
        </w:tc>
        <w:tc>
          <w:p>
            <w:pPr>
              <w:pStyle w:val="Compact"/>
              <w:jc w:val="left"/>
            </w:pPr>
            <w:r>
              <w:rPr>
                <w:b/>
              </w:rPr>
              <w:t xml:space="preserve">1,0373</w:t>
            </w:r>
          </w:p>
        </w:tc>
        <w:tc>
          <w:p>
            <w:pPr>
              <w:pStyle w:val="Compact"/>
              <w:jc w:val="left"/>
            </w:pPr>
            <w:r>
              <w:t xml:space="preserve">1,0381</w:t>
            </w:r>
          </w:p>
        </w:tc>
      </w:tr>
    </w:tbl>
    <w:p>
      <w:pPr>
        <w:pStyle w:val="BodyText"/>
      </w:pPr>
      <w:r>
        <w:t xml:space="preserve">Diciembre mejora un</w:t>
      </w:r>
      <w:r>
        <w:t xml:space="preserve"> </w:t>
      </w:r>
      <w:r>
        <w:rPr>
          <w:b/>
        </w:rPr>
        <w:t xml:space="preserve">5,3 %</w:t>
      </w:r>
      <w:r>
        <w:t xml:space="preserve"> </w:t>
      </w:r>
      <w:r>
        <w:t xml:space="preserve">y noviembre un</w:t>
      </w:r>
      <w:r>
        <w:t xml:space="preserve"> </w:t>
      </w:r>
      <w:r>
        <w:rPr>
          <w:b/>
        </w:rPr>
        <w:t xml:space="preserve">3,2 %</w:t>
      </w:r>
      <w:r>
        <w:t xml:space="preserve"> </w:t>
      </w:r>
      <w:r>
        <w:t xml:space="preserve">solo por la historia (5,6 % y 3,7 % con los eventos</w:t>
      </w:r>
      <w:r>
        <w:t xml:space="preserve"> </w:t>
      </w:r>
      <w:r>
        <w:t xml:space="preserve">semanales), y el resto del año no empeora. Casi toda la mejora procede de la historia adicional; las variables</w:t>
      </w:r>
      <w:r>
        <w:t xml:space="preserve"> </w:t>
      </w:r>
      <w:r>
        <w:t xml:space="preserve">semanales añaden entre un 0,3 % y un 0,5 % en temporada alta y restan un 0,1 % en febrero-abril. Con</w:t>
      </w:r>
      <w:r>
        <w:t xml:space="preserve"> </w:t>
      </w:r>
      <w:r>
        <w:t xml:space="preserve">400 días el modelo</w:t>
      </w:r>
      <w:r>
        <w:t xml:space="preserve"> </w:t>
      </w:r>
      <w:r>
        <w:rPr>
          <w:b/>
        </w:rPr>
        <w:t xml:space="preserve">aprende por sí solo el cierre</w:t>
      </w:r>
      <w:r>
        <w:t xml:space="preserve">: predice 161 unidades para el 25 de diciembre</w:t>
      </w:r>
      <w:r>
        <w:t xml:space="preserve"> </w:t>
      </w:r>
      <w:r>
        <w:t xml:space="preserve">de 2015 frente a 14 reales (antes, unas 36.000), la semana del 18 al 24 pasa de un error del −9,7 %</w:t>
      </w:r>
      <w:r>
        <w:t xml:space="preserve"> </w:t>
      </w:r>
      <w:r>
        <w:t xml:space="preserve">al −5,2 %, y la semana de Black Friday de +9,5 % a +0,3 %.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4"/>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05" w:name="intervalos-de-predicción"/>
      <w:r>
        <w:t xml:space="preserve">7.3.6. Intervalos de predicción</w:t>
      </w:r>
      <w:bookmarkEnd w:id="105"/>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89,4 %</w:t>
      </w:r>
      <w:r>
        <w:t xml:space="preserve"> </w:t>
      </w:r>
      <w:r>
        <w:t xml:space="preserve">frente</w:t>
      </w:r>
      <w:r>
        <w:t xml:space="preserve"> </w:t>
      </w:r>
      <w:r>
        <w:t xml:space="preserve">a un objetivo del 90 %, con una pérdida pinball de 0,3059 frente a 0,5266 si se usara la predicción</w:t>
      </w:r>
      <w:r>
        <w:t xml:space="preserve"> </w:t>
      </w:r>
      <w:r>
        <w:t xml:space="preserve">media y 0,3667 con el atajo «media móvil × 2,5». La predicción media cubre únicamente el</w:t>
      </w:r>
      <w:r>
        <w:t xml:space="preserve"> </w:t>
      </w:r>
      <w:r>
        <w:rPr>
          <w:b/>
        </w:rPr>
        <w:t xml:space="preserve">67,7 %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128 % más de inventario</w:t>
      </w:r>
      <w:r>
        <w:t xml:space="preserve"> </w:t>
      </w:r>
      <w:r>
        <w:t xml:space="preserve">(2.630.372 unidades frente a 1.151.452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06"/>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07" w:name="calibración-del-sesgo"/>
      <w:r>
        <w:t xml:space="preserve">7.3.7. Calibración del sesgo</w:t>
      </w:r>
      <w:bookmarkEnd w:id="107"/>
    </w:p>
    <w:p>
      <w:pPr>
        <w:pStyle w:val="FirstParagraph"/>
      </w:pPr>
      <w:r>
        <w:t xml:space="preserve">El modelo subestima de forma sistemática (un 1,8 % en la última ventana). Se examinó si un factor</w:t>
      </w:r>
      <w:r>
        <w:t xml:space="preserve"> </w:t>
      </w:r>
      <w:r>
        <w:t xml:space="preserve">multiplicativo lo corrige. Los factores necesarios en cada pliegue son</w:t>
      </w:r>
      <w:r>
        <w:t xml:space="preserve"> </w:t>
      </w:r>
      <w:r>
        <w:rPr>
          <w:b/>
        </w:rPr>
        <w:t xml:space="preserve">1,0733, 1,0251 y 1,0186</w:t>
      </w:r>
      <w:r>
        <w:t xml:space="preserve">:</w:t>
      </w:r>
      <w:r>
        <w:t xml:space="preserve"> </w:t>
      </w:r>
      <w:r>
        <w:t xml:space="preserve">el sesgo no es una constante, cambia con el período. Calibrar con el promedio de los dos primeros</w:t>
      </w:r>
      <w:r>
        <w:t xml:space="preserve"> </w:t>
      </w:r>
      <w:r>
        <w:t xml:space="preserve">pliegues (1,0492) sobrecorrige: el sesgo del último pliegue pasa de −1,83 % a +3,00 % y el WRMSSE y</w:t>
      </w:r>
      <w:r>
        <w:t xml:space="preserve"> </w:t>
      </w:r>
      <w:r>
        <w:t xml:space="preserve">el MAE empeoran. Calibrar con el pliegue más reciente (1,0251) lo deja en +0,63 % con el WRMSSE</w:t>
      </w:r>
      <w:r>
        <w:t xml:space="preserve"> </w:t>
      </w:r>
      <w:r>
        <w:t xml:space="preserve">prácticamente intacto (1,0055 a 1,0059).</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08" w:name="X177e41c5f1617fe4d87f121c23ece4232e0d7a9"/>
      <w:r>
        <w:t xml:space="preserve">7.3.8. La respuesta a la pregunta del director financiero</w:t>
      </w:r>
      <w:bookmarkEnd w:id="108"/>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5,52 %</w:t>
            </w:r>
          </w:p>
        </w:tc>
        <w:tc>
          <w:p>
            <w:pPr>
              <w:pStyle w:val="Compact"/>
              <w:jc w:val="left"/>
            </w:pPr>
            <w:r>
              <w:t xml:space="preserve">5,79 %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6,83 %</w:t>
            </w:r>
          </w:p>
        </w:tc>
        <w:tc>
          <w:p>
            <w:pPr>
              <w:pStyle w:val="Compact"/>
              <w:jc w:val="left"/>
            </w:pPr>
            <w:r>
              <w:t xml:space="preserve">7,28 %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8,14 %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10,14 %</w:t>
            </w:r>
          </w:p>
        </w:tc>
        <w:tc>
          <w:p>
            <w:pPr>
              <w:pStyle w:val="Compact"/>
              <w:jc w:val="left"/>
            </w:pPr>
            <w:r>
              <w:t xml:space="preserve">10,69 %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0,2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10,1 %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Prophet un 1,3 %, la media móvil un 2,4 % y SARIMA un 3,8 %),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09"/>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0" w:name="Xdb3991560f8fad4b7c364cd151d118040e4c1c7"/>
      <w:r>
        <w:t xml:space="preserve">7.3.9. El objetivo correcto no es el día, es el ciclo</w:t>
      </w:r>
      <w:bookmarkEnd w:id="110"/>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1"/>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2" w:name="productos-sin-histórico"/>
      <w:r>
        <w:t xml:space="preserve">7.3.10. Productos sin histórico</w:t>
      </w:r>
      <w:bookmarkEnd w:id="112"/>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3" w:name="medir-por-semanas-y-modelo-final"/>
      <w:r>
        <w:t xml:space="preserve">7.3.11. Medir por semanas y modelo final</w:t>
      </w:r>
      <w:bookmarkEnd w:id="113"/>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y las variables de evento semanal, sin el grupo de</w:t>
      </w:r>
      <w:r>
        <w:t xml:space="preserve"> </w:t>
      </w:r>
      <w:r>
        <w:t xml:space="preserve">producto. En la última ventana de validación (28 de marzo a 24 de abril de 2016) obtiene un</w:t>
      </w:r>
      <w:r>
        <w:t xml:space="preserve"> </w:t>
      </w:r>
      <w:r>
        <w:t xml:space="preserve">WRMSSE de</w:t>
      </w:r>
      <w:r>
        <w:t xml:space="preserve"> </w:t>
      </w:r>
      <w:r>
        <w:rPr>
          <w:b/>
        </w:rPr>
        <w:t xml:space="preserve">1,0002</w:t>
      </w:r>
      <w:r>
        <w:t xml:space="preserve"> </w:t>
      </w:r>
      <w:r>
        <w:t xml:space="preserve">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67,7 % de la</w:t>
      </w:r>
      <w:r>
        <w:t xml:space="preserve"> </w:t>
      </w:r>
      <w:r>
        <w:t xml:space="preserve">predicción media, y la media queda un 2,7 % por debajo de la demanda real. Es el modelo que genera</w:t>
      </w:r>
      <w:r>
        <w:t xml:space="preserve"> </w:t>
      </w:r>
      <w:r>
        <w:t xml:space="preserve">los ficheros de entrega (1.165.140 unidades de media y 2.640.527 de percentil 90 para el 25 de abril</w:t>
      </w:r>
      <w:r>
        <w:t xml:space="preserve"> </w:t>
      </w:r>
      <w:r>
        <w:t xml:space="preserve">al 22 de mayo de 2016) y el que usa la simulación de §7.4.</w:t>
      </w:r>
    </w:p>
    <w:p>
      <w:pPr>
        <w:pStyle w:val="Heading3"/>
      </w:pPr>
      <w:bookmarkStart w:id="114" w:name="límites-reconocidos"/>
      <w:r>
        <w:t xml:space="preserve">7.3.12. Límites reconocidos</w:t>
      </w:r>
      <w:bookmarkEnd w:id="114"/>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8"/>
        </w:numPr>
        <w:pStyle w:val="Compact"/>
      </w:pPr>
      <w:r>
        <w:rPr>
          <w:b/>
        </w:rPr>
        <w:t xml:space="preserve">Temporada alta.</w:t>
      </w:r>
      <w:r>
        <w:t xml:space="preserve"> </w:t>
      </w:r>
      <w:r>
        <w:t xml:space="preserve">Con 400 días de historia diciembre mejora un 5,3 %,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8"/>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8"/>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15" w:name="qué-abre-el-capítulo-siguiente-2"/>
      <w:r>
        <w:t xml:space="preserve">7.3.13. Qué abre el capítulo siguiente</w:t>
      </w:r>
      <w:bookmarkEnd w:id="115"/>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r>
        <w:t xml:space="preserve"> </w:t>
      </w:r>
      <w:r>
        <w:t xml:space="preserve">## 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16" w:name="X673bcba50efdeb28591d09a7d4dcbc5cd08ca99"/>
      <w:r>
        <w:t xml:space="preserve">7.4.1. El marco: el problema del vendedor de periódicos</w:t>
      </w:r>
      <w:bookmarkEnd w:id="116"/>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17" w:name="una-política-híbrida-por-segmento"/>
      <w:r>
        <w:t xml:space="preserve">7.4.2. Una política híbrida por segmento</w:t>
      </w:r>
      <w:bookmarkEnd w:id="117"/>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18" w:name="cuánto-cuesta-la-política-actual"/>
      <w:r>
        <w:t xml:space="preserve">7.4.3. Cuánto cuesta la política actual</w:t>
      </w:r>
      <w:bookmarkEnd w:id="118"/>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19"/>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0" w:name="Xa1237f68e44745741121975f12246553301a5bb"/>
      <w:r>
        <w:t xml:space="preserve">7.4.4. La simulación refuta la conclusión del capítulo anterior</w:t>
      </w:r>
      <w:bookmarkEnd w:id="120"/>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1"/>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tres momentos en que una prueba refutó una conclusión del trabajo.</w:t>
      </w:r>
      <w:r>
        <w:t xml:space="preserve"> </w:t>
      </w:r>
      <w:r>
        <w:t xml:space="preserve">Elegir la política por el RMSSE habría llevado a la decisión opuesta en ambos extremos.</w:t>
      </w:r>
    </w:p>
    <w:p>
      <w:pPr>
        <w:pStyle w:val="Heading3"/>
      </w:pPr>
      <w:bookmarkStart w:id="122" w:name="la-función-de-pérdida-correcta"/>
      <w:r>
        <w:t xml:space="preserve">7.4.5. La función de pérdida correcta</w:t>
      </w:r>
      <w:bookmarkEnd w:id="122"/>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desviación histórica</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desviación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y coste de exceso</w:t>
      </w:r>
      <w:r>
        <w:t xml:space="preserve"> </w:t>
      </w:r>
      <w:r>
        <w:t xml:space="preserve">del 5%, el ratio crítico correcto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3"/>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24" w:name="Xbf4a07bd22212f91c28182313c7a855310137a2"/>
      <w:r>
        <w:t xml:space="preserve">7.4.6. La curva de servicio y quién decide el óptimo</w:t>
      </w:r>
      <w:bookmarkEnd w:id="124"/>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25"/>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128%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26" w:name="cuánta-demanda-no-estamos-viendo"/>
      <w:r>
        <w:t xml:space="preserve">7.4.7. Cuánta demanda no estamos viendo</w:t>
      </w:r>
      <w:bookmarkEnd w:id="126"/>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27"/>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186.821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338.520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28" w:name="qué-abre-el-capítulo-siguiente-3"/>
      <w:r>
        <w:t xml:space="preserve">7.4.8. Qué abre el capítulo siguiente</w:t>
      </w:r>
      <w:bookmarkEnd w:id="128"/>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r>
        <w:t xml:space="preserve"> </w:t>
      </w:r>
      <w:r>
        <w:t xml:space="preserve">## 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29" w:name="la-especificación"/>
      <w:r>
        <w:t xml:space="preserve">7.5.1. La especificación</w:t>
      </w:r>
      <w:bookmarkEnd w:id="129"/>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0" w:name="un-resultado-excelente"/>
      <w:r>
        <w:t xml:space="preserve">7.5.2. Un resultado excelente</w:t>
      </w:r>
      <w:bookmarkEnd w:id="130"/>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1"/>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2" w:name="la-prueba-que-lo-derriba"/>
      <w:r>
        <w:t xml:space="preserve">7.5.3. La prueba que lo derriba</w:t>
      </w:r>
      <w:bookmarkEnd w:id="132"/>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33"/>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34" w:name="Xd39cd14ce4ff5a4038fd67217aae4b4b1f6b636"/>
      <w:r>
        <w:t xml:space="preserve">7.5.4. Por qué ocurre: el precio casi no se mueve</w:t>
      </w:r>
      <w:bookmarkEnd w:id="134"/>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35" w:name="lo-que-sí-respondería-la-pregunta"/>
      <w:r>
        <w:t xml:space="preserve">7.5.5. Lo que sí respondería la pregunta</w:t>
      </w:r>
      <w:bookmarkEnd w:id="135"/>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36"/>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37" w:name="el-valor-de-un-resultado-negativo"/>
      <w:r>
        <w:t xml:space="preserve">7.5.6. El valor de un resultado negativo</w:t>
      </w:r>
      <w:bookmarkEnd w:id="137"/>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tres momentos en que una prueba refutó una conclusión propia del trabajo.</w:t>
      </w:r>
    </w:p>
    <w:p>
      <w:pPr>
        <w:pStyle w:val="Heading3"/>
      </w:pPr>
      <w:bookmarkStart w:id="138" w:name="qué-abre-el-capítulo-siguiente-4"/>
      <w:r>
        <w:t xml:space="preserve">7.5.7. Qué abre el capítulo siguiente</w:t>
      </w:r>
      <w:bookmarkEnd w:id="138"/>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r>
        <w:t xml:space="preserve"> </w:t>
      </w:r>
      <w:r>
        <w:t xml:space="preserve">## 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39" w:name="el-problema-que-resuelve"/>
      <w:r>
        <w:t xml:space="preserve">7.6.1. El problema que resuelve</w:t>
      </w:r>
      <w:bookmarkEnd w:id="139"/>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cuatro cuadernos</w:t>
      </w:r>
      <w:r>
        <w:t xml:space="preserve"> </w:t>
      </w:r>
      <w:r>
        <w:t xml:space="preserve">independientes en un sistema con una única fuente de verdad.</w:t>
      </w:r>
    </w:p>
    <w:p>
      <w:pPr>
        <w:pStyle w:val="Heading3"/>
      </w:pPr>
      <w:bookmarkStart w:id="140" w:name="lo-que-se-construyó"/>
      <w:r>
        <w:t xml:space="preserve">7.6.2. Lo que se construyó</w:t>
      </w:r>
      <w:bookmarkEnd w:id="140"/>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w:t>
      </w:r>
      <w:r>
        <w:t xml:space="preserve"> </w:t>
      </w:r>
      <w:r>
        <w:t xml:space="preserve">cuatro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1"/>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42" w:name="X681881246d7709f9cb258ce7868824ae2268875"/>
      <w:r>
        <w:t xml:space="preserve">7.6.3. La capa de lenguaje natural y su regla de diseño</w:t>
      </w:r>
      <w:bookmarkEnd w:id="142"/>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w:t>
      </w:r>
      <w:r>
        <w:t xml:space="preserve"> </w:t>
      </w:r>
      <w:r>
        <w:t xml:space="preserve">mercadería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43"/>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44" w:name="las-trampas-encontradas"/>
      <w:r>
        <w:t xml:space="preserve">7.6.4. Las trampas encontradas</w:t>
      </w:r>
      <w:bookmarkEnd w:id="144"/>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45" w:name="la-capa-de-operación"/>
      <w:r>
        <w:t xml:space="preserve">7.6.5. La capa de operación</w:t>
      </w:r>
      <w:bookmarkEnd w:id="145"/>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46" w:name="cómo-se-pondría-en-marcha"/>
      <w:r>
        <w:t xml:space="preserve">7.6.6. Cómo se pondría en marcha</w:t>
      </w:r>
      <w:bookmarkEnd w:id="146"/>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mercadería.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47" w:name="sobre-la-migración-a-la-nube"/>
      <w:r>
        <w:t xml:space="preserve">7.6.7. Sobre la migración a la nube</w:t>
      </w:r>
      <w:bookmarkEnd w:id="147"/>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48" w:name="qué-queda-por-hacer"/>
      <w:r>
        <w:t xml:space="preserve">7.6.8. Qué queda por hacer</w:t>
      </w:r>
      <w:bookmarkEnd w:id="148"/>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r>
        <w:t xml:space="preserve"> </w:t>
      </w:r>
      <w:r>
        <w:t xml:space="preserve">## 7.7. De sistema a sistema mantenible: la capa de MLOps</w:t>
      </w:r>
    </w:p>
    <w:p>
      <w:pPr>
        <w:pStyle w:val="BodyText"/>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49" w:name="el-fallo-que-faltaba-impedir"/>
      <w:r>
        <w:t xml:space="preserve">7.7.1. El fallo que faltaba impedir</w:t>
      </w:r>
      <w:bookmarkEnd w:id="149"/>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0" w:name="Xb0b6b0df3471bdfa851cac95ec49631818da1f4"/>
      <w:r>
        <w:t xml:space="preserve">7.7.2. Trazabilidad: de dónde salió exactamente este modelo</w:t>
      </w:r>
      <w:bookmarkEnd w:id="150"/>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51" w:name="la-puerta-de-promoción"/>
      <w:r>
        <w:t xml:space="preserve">7.7.3. La puerta de promoción</w:t>
      </w:r>
      <w:bookmarkEnd w:id="151"/>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52"/>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53" w:name="X17ae984419a93b0d2cfeadec01bb57ea91876d3"/>
      <w:r>
        <w:t xml:space="preserve">7.7.4. Pruebas automáticas e integración continua</w:t>
      </w:r>
      <w:bookmarkEnd w:id="153"/>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mercadería.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54" w:name="el-lazo-cerrado"/>
      <w:r>
        <w:t xml:space="preserve">7.7.5. El lazo cerrado</w:t>
      </w:r>
      <w:bookmarkEnd w:id="154"/>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55" w:name="X677d0b6fb5587a51333dcc1a319a9f77aaaec8c"/>
      <w:r>
        <w:t xml:space="preserve">7.7.6. El entorno fijado y la imagen del servicio</w:t>
      </w:r>
      <w:bookmarkEnd w:id="155"/>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56" w:name="por-qué-no-mlflow-airflow-ni-kubeflow"/>
      <w:r>
        <w:t xml:space="preserve">7.7.7. Por qué no MLflow, Airflow ni Kubeflow</w:t>
      </w:r>
      <w:bookmarkEnd w:id="156"/>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57" w:name="Xb9c75ef21605bbb6d16d59442bf078807b18b03"/>
      <w:r>
        <w:t xml:space="preserve">7.7.8. Dónde queda el sistema, y qué sigue faltando</w:t>
      </w:r>
      <w:bookmarkEnd w:id="157"/>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r>
        <w:t xml:space="preserve"> </w:t>
      </w:r>
      <w:r>
        <w:t xml:space="preserve">## 7.8. Conclusiones</w:t>
      </w:r>
    </w:p>
    <w:p>
      <w:pPr>
        <w:pStyle w:val="Heading3"/>
      </w:pPr>
      <w:bookmarkStart w:id="158" w:name="respuesta-a-los-objetivos"/>
      <w:r>
        <w:t xml:space="preserve">7.8.1. Respuesta a los objetivos</w:t>
      </w:r>
      <w:bookmarkEnd w:id="15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modelo adoptado es LightGBM con objetivo Tweedie y</w:t>
      </w:r>
      <w:r>
        <w:t xml:space="preserve"> </w:t>
      </w:r>
      <w:r>
        <w:t xml:space="preserve">estrategia por bloques semanales, con un WRMSSE de 1,0422 (XGBoost queda un 0,7 % por delante, 1,0352). El hallazgo metodológico es que</w:t>
      </w:r>
      <w:r>
        <w:t xml:space="preserve"> </w:t>
      </w:r>
      <w:r>
        <w:rPr>
          <w:b/>
        </w:rPr>
        <w:t xml:space="preserve">la</w:t>
      </w:r>
      <w:r>
        <w:rPr>
          <w:b/>
        </w:rPr>
        <w:t xml:space="preserve"> </w:t>
      </w:r>
      <w:r>
        <w:rPr>
          <w:b/>
        </w:rPr>
        <w:t xml:space="preserve">estrategia de horizonte pesó unas tres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59" w:name="X62820460520509d8d7150f3b4a4ff7f7cfe40eb"/>
      <w:r>
        <w:t xml:space="preserve">7.8.2. El hilo conductor: cuatro veces que la evidencia nos contradijo</w:t>
      </w:r>
      <w:bookmarkEnd w:id="159"/>
    </w:p>
    <w:p>
      <w:pPr>
        <w:pStyle w:val="FirstParagraph"/>
      </w:pPr>
      <w:r>
        <w:t xml:space="preserve">Los resultados anteriores son los que el encargo pedía. El resultado del que este trabajo se</w:t>
      </w:r>
      <w:r>
        <w:t xml:space="preserve"> </w:t>
      </w:r>
      <w:r>
        <w:t xml:space="preserve">siente más responsable es otro, y recorre los seis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60" w:name="limitaciones"/>
      <w:r>
        <w:t xml:space="preserve">7.8.3. Limitaciones</w:t>
      </w:r>
      <w:bookmarkEnd w:id="160"/>
    </w:p>
    <w:p>
      <w:pPr>
        <w:pStyle w:val="FirstParagraph"/>
      </w:pPr>
      <w:r>
        <w:t xml:space="preserve">Se enumeran las que afectan a la validez de las conclusiones, ordenadas por importancia.</w:t>
      </w:r>
    </w:p>
    <w:p>
      <w:pPr>
        <w:numPr>
          <w:ilvl w:val="0"/>
          <w:numId w:val="1009"/>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09"/>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09"/>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09"/>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09"/>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5,3 %, pero el pico del 31 de diciembre sigue infravalorado y la validación en</w:t>
      </w:r>
      <w:r>
        <w:t xml:space="preserve"> </w:t>
      </w:r>
      <w:r>
        <w:t xml:space="preserve">temporada alta se apoya en un solo año.</w:t>
      </w:r>
    </w:p>
    <w:p>
      <w:pPr>
        <w:numPr>
          <w:ilvl w:val="0"/>
          <w:numId w:val="1009"/>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09"/>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61" w:name="trabajo-futuro"/>
      <w:r>
        <w:t xml:space="preserve">7.8.4. Trabajo futuro</w:t>
      </w:r>
      <w:bookmarkEnd w:id="16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54,1% de la importancia y el techo</w:t>
      </w:r>
      <w:r>
        <w:t xml:space="preserve"> </w:t>
      </w:r>
      <w:r>
        <w:t xml:space="preserve">lo pone el ruido de la serie.</w:t>
      </w:r>
      <w:r>
        <w:t xml:space="preserve"> </w:t>
      </w:r>
      <w:r>
        <w:t xml:space="preserve"># 8. Referencias</w:t>
      </w:r>
    </w:p>
    <w:p>
      <w:pPr>
        <w:pStyle w:val="BodyText"/>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62" w:name="anexos"/>
      <w:r>
        <w:t xml:space="preserve">9. Anexos</w:t>
      </w:r>
      <w:bookmarkEnd w:id="162"/>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63" w:name="X4deb3d807606c30ab159fa52b782ca60bae7d62"/>
      <w:r>
        <w:t xml:space="preserve">Anexo A. Cuadernos de análisis y entrenamientos auxiliares</w:t>
      </w:r>
      <w:bookmarkEnd w:id="163"/>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con la segmentación vigente,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64" w:name="anexo-b.-el-almacén-analítico"/>
      <w:r>
        <w:t xml:space="preserve">Anexo B. El almacén analítico</w:t>
      </w:r>
      <w:bookmarkEnd w:id="164"/>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0"/>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0"/>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0"/>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65" w:name="anexo-c.-el-servicio-de-reposición"/>
      <w:r>
        <w:t xml:space="preserve">Anexo C. El servicio de reposición</w:t>
      </w:r>
      <w:bookmarkEnd w:id="165"/>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mercadería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66" w:name="anexo-d.-el-panel-interactivo"/>
      <w:r>
        <w:t xml:space="preserve">Anexo D. El panel interactivo</w:t>
      </w:r>
      <w:bookmarkEnd w:id="166"/>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67" w:name="anexo-e.-el-cuadro-de-mando"/>
      <w:r>
        <w:t xml:space="preserve">Anexo E. El cuadro de mando</w:t>
      </w:r>
      <w:bookmarkEnd w:id="167"/>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1"/>
        </w:numPr>
        <w:pStyle w:val="Compact"/>
      </w:pPr>
      <w:r>
        <w:t xml:space="preserve">Resumen ejecutivo.</w:t>
      </w:r>
    </w:p>
    <w:p>
      <w:pPr>
        <w:numPr>
          <w:ilvl w:val="0"/>
          <w:numId w:val="1011"/>
        </w:numPr>
        <w:pStyle w:val="Compact"/>
      </w:pPr>
      <w:r>
        <w:t xml:space="preserve">Comparativa de ciudades y tiendas.</w:t>
      </w:r>
    </w:p>
    <w:p>
      <w:pPr>
        <w:numPr>
          <w:ilvl w:val="0"/>
          <w:numId w:val="1011"/>
        </w:numPr>
        <w:pStyle w:val="Compact"/>
      </w:pPr>
      <w:r>
        <w:t xml:space="preserve">Cómo se compra.</w:t>
      </w:r>
    </w:p>
    <w:p>
      <w:pPr>
        <w:numPr>
          <w:ilvl w:val="0"/>
          <w:numId w:val="1011"/>
        </w:numPr>
        <w:pStyle w:val="Compact"/>
      </w:pPr>
      <w:r>
        <w:t xml:space="preserve">Precios.</w:t>
      </w:r>
    </w:p>
    <w:p>
      <w:pPr>
        <w:numPr>
          <w:ilvl w:val="0"/>
          <w:numId w:val="1011"/>
        </w:numPr>
        <w:pStyle w:val="Compact"/>
      </w:pPr>
      <w:r>
        <w:t xml:space="preserve">Grupos de producto.</w:t>
      </w:r>
    </w:p>
    <w:p>
      <w:pPr>
        <w:numPr>
          <w:ilvl w:val="0"/>
          <w:numId w:val="1011"/>
        </w:numPr>
        <w:pStyle w:val="Compact"/>
      </w:pPr>
      <w:r>
        <w:t xml:space="preserve">Explorador de productos.</w:t>
      </w:r>
    </w:p>
    <w:p>
      <w:pPr>
        <w:numPr>
          <w:ilvl w:val="0"/>
          <w:numId w:val="1011"/>
        </w:numPr>
        <w:pStyle w:val="Compact"/>
      </w:pPr>
      <w:r>
        <w:t xml:space="preserve">Parecido de tiendas.</w:t>
      </w:r>
    </w:p>
    <w:p>
      <w:pPr>
        <w:numPr>
          <w:ilvl w:val="0"/>
          <w:numId w:val="1011"/>
        </w:numPr>
        <w:pStyle w:val="Compact"/>
      </w:pPr>
      <w:r>
        <w:t xml:space="preserve">Previsión de ventas, con banda de incertidumbre controlada por un parámetro de nivel de</w:t>
      </w:r>
      <w:r>
        <w:t xml:space="preserve"> </w:t>
      </w:r>
      <w:r>
        <w:t xml:space="preserve">confianza (50 a 99 %).</w:t>
      </w:r>
    </w:p>
    <w:p>
      <w:pPr>
        <w:numPr>
          <w:ilvl w:val="0"/>
          <w:numId w:val="1011"/>
        </w:numPr>
        <w:pStyle w:val="Compact"/>
      </w:pPr>
      <w:r>
        <w:t xml:space="preserve">Reposición.</w:t>
      </w:r>
    </w:p>
    <w:p>
      <w:pPr>
        <w:numPr>
          <w:ilvl w:val="0"/>
          <w:numId w:val="1011"/>
        </w:numPr>
        <w:pStyle w:val="Compact"/>
      </w:pPr>
      <w:r>
        <w:t xml:space="preserve">Colchón de seguridad.</w:t>
      </w:r>
    </w:p>
    <w:p>
      <w:pPr>
        <w:numPr>
          <w:ilvl w:val="0"/>
          <w:numId w:val="1011"/>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68" w:name="anexo-f.-manual-de-ejecución"/>
      <w:r>
        <w:t xml:space="preserve">Anexo F. Manual de ejecución</w:t>
      </w:r>
      <w:bookmarkEnd w:id="168"/>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69" w:name="X4b1a222c1a47853c33be7695272db975156fd01"/>
      <w:r>
        <w:t xml:space="preserve">Anexo G. Alternativas evaluadas y descartadas</w:t>
      </w:r>
      <w:bookmarkEnd w:id="169"/>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104" Target="media/rId104.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3" Target="media/rId9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DSMarket: de la venta diaria a la decisión de reposición</dc:title>
  <dc:creator>Nuclio Digital School · Barcelona</dc:creator>
  <dc:language>es</dc:language>
  <cp:keywords/>
  <dcterms:created xsi:type="dcterms:W3CDTF">2026-10-27T15:01:10Z</dcterms:created>
  <dcterms:modified xsi:type="dcterms:W3CDTF">2026-10-27T15:01:10Z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Trabajo de Fin de Máster — Máster en Data Science &amp; Inteligencia Artificial</vt:lpwstr>
  </property>
  <property fmtid="{D5CDD505-2E9C-101B-9397-08002B2CF9AE}" pid="4" name="toc">
    <vt:lpwstr>True</vt:lpwstr>
  </property>
  <property fmtid="{D5CDD505-2E9C-101B-9397-08002B2CF9AE}" pid="5" name="toc-depth">
    <vt:lpwstr>3</vt:lpwstr>
  </property>
</Properties>
</file>