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6.png" ContentType="image/png"/>
  <Override PartName="/word/media/rId68.png" ContentType="image/png"/>
  <Override PartName="/word/media/rId82.png" ContentType="image/png"/>
  <Override PartName="/word/media/rId12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5.png" ContentType="image/png"/>
  <Override PartName="/word/media/rId149.png" ContentType="image/png"/>
  <Override PartName="/word/media/rId160.png" ContentType="image/png"/>
  <Override PartName="/word/media/rId164.png" ContentType="image/png"/>
  <Override PartName="/word/media/rId168.png" ContentType="image/png"/>
  <Override PartName="/word/media/rId86.png" ContentType="image/png"/>
  <Override PartName="/word/media/rId172.png" ContentType="image/png"/>
  <Override PartName="/word/media/rId176.png" ContentType="image/png"/>
  <Override PartName="/word/media/rId183.png" ContentType="image/png"/>
  <Override PartName="/word/media/rId187.png" ContentType="image/png"/>
  <Override PartName="/word/media/rId192.png" ContentType="image/png"/>
  <Override PartName="/word/media/rId200.png" ContentType="image/png"/>
  <Override PartName="/word/media/rId204.png" ContentType="image/png"/>
  <Override PartName="/word/media/rId216.png" ContentType="image/png"/>
  <Override PartName="/word/media/rId90.png" ContentType="image/png"/>
  <Override PartName="/word/media/rId94.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Cs/>
          <w:b/>
        </w:rPr>
        <w:t xml:space="preserve">Trabajo de Fin de Máster</w:t>
      </w:r>
    </w:p>
    <w:p>
      <w:pPr>
        <w:pStyle w:val="BodyText"/>
      </w:pPr>
      <w:r>
        <w:t xml:space="preserve">Máster en Data Science &amp; Inteligencia Artificial ·</w:t>
      </w:r>
      <w:r>
        <w:t xml:space="preserve"> </w:t>
      </w:r>
      <w:r>
        <w:rPr>
          <w:bCs/>
          <w:b/>
        </w:rPr>
        <w:t xml:space="preserve">Nuclio Digital School</w:t>
      </w:r>
    </w:p>
    <w:p>
      <w:pPr>
        <w:pStyle w:val="BodyText"/>
      </w:pPr>
      <w:r>
        <w:rPr>
          <w:bCs/>
          <w:b/>
        </w:rPr>
        <w:t xml:space="preserve">Autores:</w:t>
      </w:r>
      <w:r>
        <w:t xml:space="preserve"> </w:t>
      </w:r>
      <w:r>
        <w:t xml:space="preserve">Juan Pablo Ceruso · Carmen Candial · Adrià Viñas</w:t>
      </w:r>
    </w:p>
    <w:p>
      <w:pPr>
        <w:pStyle w:val="BodyText"/>
      </w:pPr>
      <w:r>
        <w:rPr>
          <w:bCs/>
          <w:b/>
        </w:rPr>
        <w:t xml:space="preserve">Tutora:</w:t>
      </w:r>
      <w:r>
        <w:t xml:space="preserve"> </w:t>
      </w:r>
      <w:r>
        <w:t xml:space="preserve">Raquel Revilla</w:t>
      </w:r>
    </w:p>
    <w:p>
      <w:pPr>
        <w:pStyle w:val="BodyText"/>
      </w:pPr>
      <w:r>
        <w:rPr>
          <w:bCs/>
          <w:b/>
        </w:rPr>
        <w:t xml:space="preserve">Defensa:</w:t>
      </w:r>
      <w:r>
        <w:t xml:space="preserve"> </w:t>
      </w:r>
      <w:r>
        <w:t xml:space="preserve">21 de octubre de 2026 ·</w:t>
      </w:r>
      <w:r>
        <w:t xml:space="preserve"> </w:t>
      </w:r>
      <w:r>
        <w:rPr>
          <w:bCs/>
          <w:b/>
        </w:rPr>
        <w:t xml:space="preserve">Entrega de la memoria:</w:t>
      </w:r>
      <w:r>
        <w:t xml:space="preserve"> </w:t>
      </w:r>
      <w:r>
        <w:t xml:space="preserve">octubre de 2026</w:t>
      </w:r>
    </w:p>
    <w:p>
      <w:pPr>
        <w:pStyle w:val="BodyText"/>
      </w:pPr>
      <w:r>
        <w:t xml:space="preserve">Barcelona, octubre de 2026</w:t>
      </w:r>
    </w:p>
    <w:p>
      <w:r>
        <w:br w:type="page"/>
      </w:r>
    </w:p>
    <w:bookmarkStart w:id="20" w:name="resumen"/>
    <w:p>
      <w:pPr>
        <w:pStyle w:val="Heading2"/>
      </w:pPr>
      <w:r>
        <w:t xml:space="preserve">Resumen</w:t>
      </w:r>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Cs/>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Cs/>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bookmarkEnd w:id="20"/>
    <w:bookmarkStart w:id="21" w:name="abstract"/>
    <w:p>
      <w:pPr>
        <w:pStyle w:val="Heading2"/>
      </w:pPr>
      <w:r>
        <w:t xml:space="preserve">Abstract</w:t>
      </w:r>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Cs/>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bookmarkEnd w:id="21"/>
    <w:bookmarkStart w:id="26" w:name="introducción"/>
    <w:p>
      <w:pPr>
        <w:pStyle w:val="Heading1"/>
      </w:pPr>
      <w:r>
        <w:t xml:space="preserve">3. Introducción</w:t>
      </w:r>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bookmarkStart w:id="22" w:name="el-problema-formulado-con-precisión"/>
    <w:p>
      <w:pPr>
        <w:pStyle w:val="Heading2"/>
      </w:pPr>
      <w:r>
        <w:t xml:space="preserve">3.1. El problema, formulado con precisión</w:t>
      </w:r>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bookmarkEnd w:id="22"/>
    <w:bookmarkStart w:id="23" w:name="alcance"/>
    <w:p>
      <w:pPr>
        <w:pStyle w:val="Heading2"/>
      </w:pPr>
      <w:r>
        <w:t xml:space="preserve">3.2. Alcance</w:t>
      </w:r>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bookmarkEnd w:id="23"/>
    <w:bookmarkStart w:id="24" w:name="qué-encontrará-el-lector"/>
    <w:p>
      <w:pPr>
        <w:pStyle w:val="Heading2"/>
      </w:pPr>
      <w:r>
        <w:t xml:space="preserve">3.3. Qué encontrará el lector</w:t>
      </w:r>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bookmarkEnd w:id="24"/>
    <w:bookmarkStart w:id="25" w:name="principales-conclusiones"/>
    <w:p>
      <w:pPr>
        <w:pStyle w:val="Heading2"/>
      </w:pPr>
      <w:r>
        <w:t xml:space="preserve">3.4. Principales conclusiones</w:t>
      </w:r>
    </w:p>
    <w:p>
      <w:pPr>
        <w:numPr>
          <w:ilvl w:val="0"/>
          <w:numId w:val="1002"/>
        </w:numPr>
        <w:pStyle w:val="Compact"/>
      </w:pPr>
      <w:r>
        <w:rPr>
          <w:bCs/>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Cs/>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Cs/>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Cs/>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Cs/>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bookmarkEnd w:id="25"/>
    <w:bookmarkEnd w:id="26"/>
    <w:bookmarkStart w:id="39" w:name="justificación-y-contextualización"/>
    <w:p>
      <w:pPr>
        <w:pStyle w:val="Heading1"/>
      </w:pPr>
      <w:r>
        <w:t xml:space="preserve">4. Justificación y contextualización</w:t>
      </w:r>
    </w:p>
    <w:bookmarkStart w:id="27" w:name="el-contexto-de-dsmarket"/>
    <w:p>
      <w:pPr>
        <w:pStyle w:val="Heading2"/>
      </w:pPr>
      <w:r>
        <w:t xml:space="preserve">4.1. El contexto de DSMarket</w:t>
      </w:r>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bookmarkEnd w:id="27"/>
    <w:bookmarkStart w:id="28" w:name="Xe4ae5b9a58fc080daa7f5d18f34610bb411ae52"/>
    <w:p>
      <w:pPr>
        <w:pStyle w:val="Heading2"/>
      </w:pPr>
      <w:r>
        <w:t xml:space="preserve">4.2. Por qué la decisión de reposición es el problema</w:t>
      </w:r>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Cs/>
          <w:b/>
        </w:rPr>
        <w:t xml:space="preserve">exceso</w:t>
      </w:r>
      <w:r>
        <w:t xml:space="preserve"> </w:t>
      </w:r>
      <w:r>
        <w:t xml:space="preserve">de</w:t>
      </w:r>
      <w:r>
        <w:t xml:space="preserve"> </w:t>
      </w:r>
      <w:r>
        <w:t xml:space="preserve">inventario inmoviliza capital, ocupa espacio y, en producto perecedero, se descarta. La</w:t>
      </w:r>
      <w:r>
        <w:t xml:space="preserve"> </w:t>
      </w:r>
      <w:r>
        <w:rPr>
          <w:bCs/>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Cs/>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bookmarkEnd w:id="28"/>
    <w:bookmarkStart w:id="29" w:name="por-qué-el-problema-no-es-trivial"/>
    <w:p>
      <w:pPr>
        <w:pStyle w:val="Heading2"/>
      </w:pPr>
      <w:r>
        <w:t xml:space="preserve">4.3. Por qué el problema no es trivial</w:t>
      </w:r>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Cs/>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Cs/>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Cs/>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Cs/>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bookmarkEnd w:id="29"/>
    <w:bookmarkStart w:id="37" w:name="estado-del-arte"/>
    <w:p>
      <w:pPr>
        <w:pStyle w:val="Heading2"/>
      </w:pPr>
      <w:r>
        <w:t xml:space="preserve">4.4. Estado del arte</w:t>
      </w:r>
    </w:p>
    <w:bookmarkStart w:id="30" w:name="previsión-de-demanda-a-gran-escala"/>
    <w:p>
      <w:pPr>
        <w:pStyle w:val="Heading3"/>
      </w:pPr>
      <w:r>
        <w:t xml:space="preserve">4.4.1. Previsión de demanda a gran escala</w:t>
      </w:r>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Cs/>
          <w:b/>
        </w:rPr>
        <w:t xml:space="preserve">ensambles de árboles de decisión con potenciación del</w:t>
      </w:r>
      <w:r>
        <w:rPr>
          <w:bCs/>
          <w:b/>
        </w:rPr>
        <w:t xml:space="preserve"> </w:t>
      </w:r>
      <w:r>
        <w:rPr>
          <w:bCs/>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Cs/>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bookmarkEnd w:id="30"/>
    <w:bookmarkStart w:id="31" w:name="previsión-probabilística"/>
    <w:p>
      <w:pPr>
        <w:pStyle w:val="Heading3"/>
      </w:pPr>
      <w:r>
        <w:t xml:space="preserve">4.4.2. Previsión probabilística</w:t>
      </w:r>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bookmarkEnd w:id="31"/>
    <w:bookmarkStart w:id="32" w:name="reconciliación-jerárquica"/>
    <w:p>
      <w:pPr>
        <w:pStyle w:val="Heading3"/>
      </w:pPr>
      <w:r>
        <w:t xml:space="preserve">4.4.3. Reconciliación jerárquica</w:t>
      </w:r>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bookmarkEnd w:id="32"/>
    <w:bookmarkStart w:id="33" w:name="teoría-de-inventarios"/>
    <w:p>
      <w:pPr>
        <w:pStyle w:val="Heading3"/>
      </w:pPr>
      <w:r>
        <w:t xml:space="preserve">4.4.4. Teoría de inventarios</w:t>
      </w:r>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bookmarkEnd w:id="33"/>
    <w:bookmarkStart w:id="34" w:name="segmentación"/>
    <w:p>
      <w:pPr>
        <w:pStyle w:val="Heading3"/>
      </w:pPr>
      <w:r>
        <w:t xml:space="preserve">4.4.5. Segmentación</w:t>
      </w:r>
    </w:p>
    <w:p>
      <w:pPr>
        <w:pStyle w:val="FirstParagraph"/>
      </w:pPr>
      <w:r>
        <w:t xml:space="preserve">La segmentación de productos emplea</w:t>
      </w:r>
      <w:r>
        <w:t xml:space="preserve"> </w:t>
      </w:r>
      <w:r>
        <w:rPr>
          <w:iCs/>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bookmarkEnd w:id="34"/>
    <w:bookmarkStart w:id="35" w:name="identificación-del-efecto-del-precio"/>
    <w:p>
      <w:pPr>
        <w:pStyle w:val="Heading3"/>
      </w:pPr>
      <w:r>
        <w:t xml:space="preserve">4.4.6. Identificación del efecto del precio</w:t>
      </w:r>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bookmarkEnd w:id="35"/>
    <w:bookmarkStart w:id="36" w:name="arquitectura-de-datos-analíticos"/>
    <w:p>
      <w:pPr>
        <w:pStyle w:val="Heading3"/>
      </w:pPr>
      <w:r>
        <w:t xml:space="preserve">4.4.7. Arquitectura de datos analíticos</w:t>
      </w:r>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Cs/>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bookmarkEnd w:id="36"/>
    <w:bookmarkEnd w:id="37"/>
    <w:bookmarkStart w:id="38" w:name="aportación-de-este-trabajo"/>
    <w:p>
      <w:pPr>
        <w:pStyle w:val="Heading2"/>
      </w:pPr>
      <w:r>
        <w:t xml:space="preserve">4.5. Aportación de este trabajo</w:t>
      </w:r>
    </w:p>
    <w:p>
      <w:pPr>
        <w:pStyle w:val="FirstParagraph"/>
      </w:pPr>
      <w:r>
        <w:t xml:space="preserve">El trabajo no propone un método nuevo. Su aportación es de otro tipo, y se concreta en tres</w:t>
      </w:r>
      <w:r>
        <w:t xml:space="preserve"> </w:t>
      </w:r>
      <w:r>
        <w:t xml:space="preserve">puntos.</w:t>
      </w:r>
    </w:p>
    <w:p>
      <w:pPr>
        <w:pStyle w:val="BodyText"/>
      </w:pPr>
      <w:r>
        <w:rPr>
          <w:bCs/>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Cs/>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Cs/>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bookmarkEnd w:id="38"/>
    <w:bookmarkEnd w:id="39"/>
    <w:bookmarkStart w:id="43" w:name="objetivos"/>
    <w:p>
      <w:pPr>
        <w:pStyle w:val="Heading1"/>
      </w:pPr>
      <w:r>
        <w:t xml:space="preserve">5. Objetivos</w:t>
      </w:r>
    </w:p>
    <w:bookmarkStart w:id="40" w:name="objetivo-general"/>
    <w:p>
      <w:pPr>
        <w:pStyle w:val="Heading2"/>
      </w:pPr>
      <w:r>
        <w:t xml:space="preserve">5.1. Objetivo general</w:t>
      </w:r>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bookmarkEnd w:id="40"/>
    <w:bookmarkStart w:id="41" w:name="objetivos-específicos"/>
    <w:p>
      <w:pPr>
        <w:pStyle w:val="Heading2"/>
      </w:pPr>
      <w:r>
        <w:t xml:space="preserve">5.2. Objetivos específicos</w:t>
      </w:r>
    </w:p>
    <w:p>
      <w:pPr>
        <w:pStyle w:val="FirstParagraph"/>
      </w:pPr>
      <w:r>
        <w:rPr>
          <w:bCs/>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Cs/>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Cs/>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Cs/>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Cs/>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Cs/>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Cs/>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Cs/>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Cs/>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bookmarkEnd w:id="41"/>
    <w:bookmarkStart w:id="42" w:name="correspondencia-con-el-encargo"/>
    <w:p>
      <w:pPr>
        <w:pStyle w:val="Heading2"/>
      </w:pPr>
      <w:r>
        <w:t xml:space="preserve">5.3. Correspondencia con el encargo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Petición original</w:t>
            </w:r>
          </w:p>
        </w:tc>
        <w:tc>
          <w:tcPr/>
          <w:p>
            <w:pPr>
              <w:pStyle w:val="Compact"/>
              <w:jc w:val="left"/>
            </w:pPr>
            <w:r>
              <w:t xml:space="preserve">Objetivo</w:t>
            </w:r>
          </w:p>
        </w:tc>
        <w:tc>
          <w:tcPr/>
          <w:p>
            <w:pPr>
              <w:pStyle w:val="Compact"/>
              <w:jc w:val="left"/>
            </w:pPr>
            <w:r>
              <w:t xml:space="preserve">Capítulo de resultados</w:t>
            </w:r>
          </w:p>
        </w:tc>
      </w:tr>
      <w:tr>
        <w:tc>
          <w:tcPr/>
          <w:p>
            <w:pPr>
              <w:pStyle w:val="Compact"/>
              <w:jc w:val="left"/>
            </w:pPr>
            <w:r>
              <w:t xml:space="preserve">«Mirá en profundidad cómo se está vendiendo»</w:t>
            </w:r>
          </w:p>
        </w:tc>
        <w:tc>
          <w:tcPr/>
          <w:p>
            <w:pPr>
              <w:pStyle w:val="Compact"/>
              <w:jc w:val="left"/>
            </w:pPr>
            <w:r>
              <w:t xml:space="preserve">OE1</w:t>
            </w:r>
          </w:p>
        </w:tc>
        <w:tc>
          <w:tcPr/>
          <w:p>
            <w:pPr>
              <w:pStyle w:val="Compact"/>
              <w:jc w:val="left"/>
            </w:pPr>
            <w:r>
              <w:t xml:space="preserve">§7.1</w:t>
            </w:r>
          </w:p>
        </w:tc>
      </w:tr>
      <w:tr>
        <w:tc>
          <w:tcPr/>
          <w:p>
            <w:pPr>
              <w:pStyle w:val="Compact"/>
              <w:jc w:val="left"/>
            </w:pPr>
            <w:r>
              <w:t xml:space="preserve">«Agrupá productos que se comporten parecido»</w:t>
            </w:r>
          </w:p>
        </w:tc>
        <w:tc>
          <w:tcPr/>
          <w:p>
            <w:pPr>
              <w:pStyle w:val="Compact"/>
              <w:jc w:val="left"/>
            </w:pPr>
            <w:r>
              <w:t xml:space="preserve">OE2</w:t>
            </w:r>
          </w:p>
        </w:tc>
        <w:tc>
          <w:tcPr/>
          <w:p>
            <w:pPr>
              <w:pStyle w:val="Compact"/>
              <w:jc w:val="left"/>
            </w:pPr>
            <w:r>
              <w:t xml:space="preserve">§7.2</w:t>
            </w:r>
          </w:p>
        </w:tc>
      </w:tr>
      <w:tr>
        <w:tc>
          <w:tcPr/>
          <w:p>
            <w:pPr>
              <w:pStyle w:val="Compact"/>
              <w:jc w:val="left"/>
            </w:pPr>
            <w:r>
              <w:t xml:space="preserve">Predicción de ventas a cuatro semanas</w:t>
            </w:r>
          </w:p>
        </w:tc>
        <w:tc>
          <w:tcPr/>
          <w:p>
            <w:pPr>
              <w:pStyle w:val="Compact"/>
              <w:jc w:val="left"/>
            </w:pPr>
            <w:r>
              <w:t xml:space="preserve">OE3</w:t>
            </w:r>
          </w:p>
        </w:tc>
        <w:tc>
          <w:tcPr/>
          <w:p>
            <w:pPr>
              <w:pStyle w:val="Compact"/>
              <w:jc w:val="left"/>
            </w:pPr>
            <w:r>
              <w:t xml:space="preserve">§7.3</w:t>
            </w:r>
          </w:p>
        </w:tc>
      </w:tr>
      <w:tr>
        <w:tc>
          <w:tcPr/>
          <w:p>
            <w:pPr>
              <w:pStyle w:val="Compact"/>
              <w:jc w:val="left"/>
            </w:pPr>
            <w:r>
              <w:t xml:space="preserve">«¿Sigue siendo válido sumar las predicciones?»</w:t>
            </w:r>
          </w:p>
        </w:tc>
        <w:tc>
          <w:tcPr/>
          <w:p>
            <w:pPr>
              <w:pStyle w:val="Compact"/>
              <w:jc w:val="left"/>
            </w:pPr>
            <w:r>
              <w:t xml:space="preserve">OE4</w:t>
            </w:r>
          </w:p>
        </w:tc>
        <w:tc>
          <w:tcPr/>
          <w:p>
            <w:pPr>
              <w:pStyle w:val="Compact"/>
              <w:jc w:val="left"/>
            </w:pPr>
            <w:r>
              <w:t xml:space="preserve">§7.3</w:t>
            </w:r>
          </w:p>
        </w:tc>
      </w:tr>
      <w:tr>
        <w:tc>
          <w:tcPr/>
          <w:p>
            <w:pPr>
              <w:pStyle w:val="Compact"/>
              <w:jc w:val="left"/>
            </w:pPr>
            <w:r>
              <w:t xml:space="preserve">Cantidad a reponer por tienda y producto</w:t>
            </w:r>
          </w:p>
        </w:tc>
        <w:tc>
          <w:tcPr/>
          <w:p>
            <w:pPr>
              <w:pStyle w:val="Compact"/>
              <w:jc w:val="left"/>
            </w:pPr>
            <w:r>
              <w:t xml:space="preserve">OE5</w:t>
            </w:r>
          </w:p>
        </w:tc>
        <w:tc>
          <w:tcPr/>
          <w:p>
            <w:pPr>
              <w:pStyle w:val="Compact"/>
              <w:jc w:val="left"/>
            </w:pPr>
            <w:r>
              <w:t xml:space="preserve">§7.4</w:t>
            </w:r>
          </w:p>
        </w:tc>
      </w:tr>
      <w:tr>
        <w:tc>
          <w:tcPr/>
          <w:p>
            <w:pPr>
              <w:pStyle w:val="Compact"/>
              <w:jc w:val="left"/>
            </w:pPr>
            <w:r>
              <w:t xml:space="preserve">Explotar las diferencias de precio</w:t>
            </w:r>
          </w:p>
        </w:tc>
        <w:tc>
          <w:tcPr/>
          <w:p>
            <w:pPr>
              <w:pStyle w:val="Compact"/>
              <w:jc w:val="left"/>
            </w:pPr>
            <w:r>
              <w:t xml:space="preserve">OE6</w:t>
            </w:r>
          </w:p>
        </w:tc>
        <w:tc>
          <w:tcPr/>
          <w:p>
            <w:pPr>
              <w:pStyle w:val="Compact"/>
              <w:jc w:val="left"/>
            </w:pPr>
            <w:r>
              <w:t xml:space="preserve">§7.5</w:t>
            </w:r>
          </w:p>
        </w:tc>
      </w:tr>
      <w:tr>
        <w:tc>
          <w:tcPr/>
          <w:p>
            <w:pPr>
              <w:pStyle w:val="Compact"/>
              <w:jc w:val="left"/>
            </w:pPr>
            <w:r>
              <w:t xml:space="preserve">Migración de fuentes y procesos a la nube</w:t>
            </w:r>
          </w:p>
        </w:tc>
        <w:tc>
          <w:tcPr/>
          <w:p>
            <w:pPr>
              <w:pStyle w:val="Compact"/>
              <w:jc w:val="left"/>
            </w:pPr>
            <w:r>
              <w:t xml:space="preserve">OE7</w:t>
            </w:r>
          </w:p>
        </w:tc>
        <w:tc>
          <w:tcPr/>
          <w:p>
            <w:pPr>
              <w:pStyle w:val="Compact"/>
              <w:jc w:val="left"/>
            </w:pPr>
            <w:r>
              <w:t xml:space="preserve">§7.6</w:t>
            </w:r>
          </w:p>
        </w:tc>
      </w:tr>
    </w:tbl>
    <w:bookmarkEnd w:id="42"/>
    <w:bookmarkEnd w:id="43"/>
    <w:bookmarkStart w:id="81" w:name="metodología"/>
    <w:p>
      <w:pPr>
        <w:pStyle w:val="Heading1"/>
      </w:pPr>
      <w:r>
        <w:t xml:space="preserve">6. Metodología</w:t>
      </w:r>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bookmarkStart w:id="45" w:name="origen-y-descripción-de-los-datos"/>
    <w:p>
      <w:pPr>
        <w:pStyle w:val="Heading2"/>
      </w:pPr>
      <w:r>
        <w:t xml:space="preserve">6.1. Origen y descripción de los datos</w:t>
      </w:r>
    </w:p>
    <w:p>
      <w:pPr>
        <w:pStyle w:val="FirstParagraph"/>
      </w:pPr>
      <w:r>
        <w:t xml:space="preserve">El material de partida son tres ficheros planos que suman 490,9 MB.</w:t>
      </w:r>
    </w:p>
    <w:p>
      <w:pPr>
        <w:pStyle w:val="BodyText"/>
      </w:pPr>
      <w:r>
        <w:rPr>
          <w:rStyle w:val="VerbatimChar"/>
          <w:bCs/>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Cs/>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Cs/>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Cs/>
          <w:b/>
        </w:rPr>
        <w:t xml:space="preserve">58.327.370</w:t>
      </w:r>
      <w:r>
        <w:rPr>
          <w:bCs/>
          <w:b/>
        </w:rPr>
        <w:t xml:space="preserve"> </w:t>
      </w:r>
      <w:r>
        <w:rPr>
          <w:bCs/>
          <w:b/>
        </w:rPr>
        <w:t xml:space="preserve">observaciones diarias</w:t>
      </w:r>
      <w:r>
        <w:t xml:space="preserve"> </w:t>
      </w:r>
      <w:r>
        <w:t xml:space="preserve">de producto, tienda y día.</w:t>
      </w:r>
    </w:p>
    <w:bookmarkStart w:id="44" w:name="la-unidad-de-análisis"/>
    <w:p>
      <w:pPr>
        <w:pStyle w:val="Heading3"/>
      </w:pPr>
      <w:r>
        <w:t xml:space="preserve">6.1.1. La unidad de análisis</w:t>
      </w:r>
    </w:p>
    <w:p>
      <w:pPr>
        <w:pStyle w:val="FirstParagraph"/>
      </w:pPr>
      <w:r>
        <w:t xml:space="preserve">El trabajo emplea de forma sistemática la</w:t>
      </w:r>
      <w:r>
        <w:t xml:space="preserve"> </w:t>
      </w:r>
      <w:r>
        <w:rPr>
          <w:bCs/>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bookmarkEnd w:id="44"/>
    <w:bookmarkEnd w:id="45"/>
    <w:bookmarkStart w:id="51" w:name="Xb3c46f3f79282c0cd28b6d7383aadeb57a56278"/>
    <w:p>
      <w:pPr>
        <w:pStyle w:val="Heading2"/>
      </w:pPr>
      <w:r>
        <w:t xml:space="preserve">6.2. Calidad de los datos y decisiones de tratamiento</w:t>
      </w:r>
    </w:p>
    <w:bookmarkStart w:id="46" w:name="el-desfase-entre-precios-y-ventas"/>
    <w:p>
      <w:pPr>
        <w:pStyle w:val="Heading3"/>
      </w:pPr>
      <w:r>
        <w:t xml:space="preserve">6.2.1. El desfase entre precios y ventas</w:t>
      </w:r>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bookmarkEnd w:id="46"/>
    <w:bookmarkStart w:id="47" w:name="los-ceros"/>
    <w:p>
      <w:pPr>
        <w:pStyle w:val="Heading3"/>
      </w:pPr>
      <w:r>
        <w:t xml:space="preserve">6.2.2. Los ceros</w:t>
      </w:r>
    </w:p>
    <w:p>
      <w:pPr>
        <w:pStyle w:val="FirstParagraph"/>
      </w:pPr>
      <w:r>
        <w:t xml:space="preserve">El</w:t>
      </w:r>
      <w:r>
        <w:t xml:space="preserve"> </w:t>
      </w:r>
      <w:r>
        <w:rPr>
          <w:bCs/>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Cs/>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bookmarkEnd w:id="47"/>
    <w:bookmarkStart w:id="48" w:name="eventos-del-calendario"/>
    <w:p>
      <w:pPr>
        <w:pStyle w:val="Heading3"/>
      </w:pPr>
      <w:r>
        <w:t xml:space="preserve">6.2.3. Eventos del calendario</w:t>
      </w:r>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Cs/>
          <w:b/>
        </w:rPr>
        <w:t xml:space="preserve">Labor Day</w:t>
      </w:r>
      <w:r>
        <w:t xml:space="preserve"> </w:t>
      </w:r>
      <w:r>
        <w:t xml:space="preserve">superó el criterio: vende un</w:t>
      </w:r>
      <w:r>
        <w:t xml:space="preserve"> </w:t>
      </w:r>
      <w:r>
        <w:rPr>
          <w:bCs/>
          <w:b/>
        </w:rPr>
        <w:t xml:space="preserve">28 % más</w:t>
      </w:r>
      <w:r>
        <w:t xml:space="preserve"> </w:t>
      </w:r>
      <w:r>
        <w:t xml:space="preserve">que un lunes normal, en los cinco años</w:t>
      </w:r>
      <w:r>
        <w:t xml:space="preserve"> </w:t>
      </w:r>
      <w:r>
        <w:t xml:space="preserve">(entre +22 % y +39 %).</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Cs/>
          <w:b/>
        </w:rPr>
        <w:t xml:space="preserve">Black Friday</w:t>
      </w:r>
      <w:r>
        <w:t xml:space="preserve">. El examen del histórico no solo no mostró</w:t>
      </w:r>
      <w:r>
        <w:t xml:space="preserve"> </w:t>
      </w:r>
      <w:r>
        <w:t xml:space="preserve">un pico: en los cinco años, Black Friday vende un</w:t>
      </w:r>
      <w:r>
        <w:t xml:space="preserve"> </w:t>
      </w:r>
      <w:r>
        <w:rPr>
          <w:bCs/>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Cs/>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bookmarkEnd w:id="48"/>
    <w:bookmarkStart w:id="49" w:name="demanda-censurada"/>
    <w:p>
      <w:pPr>
        <w:pStyle w:val="Heading3"/>
      </w:pPr>
      <w:r>
        <w:t xml:space="preserve">6.2.4. Demanda censurada</w:t>
      </w:r>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Cs/>
          <w:b/>
        </w:rPr>
        <w:t xml:space="preserve">fact_ventas</w:t>
      </w:r>
      <w:r>
        <w:rPr>
          <w:bCs/>
          <w:b/>
        </w:rPr>
        <w:t xml:space="preserve"> </w:t>
      </w:r>
      <w:r>
        <w:rPr>
          <w:bCs/>
          <w:b/>
        </w:rPr>
        <w:t xml:space="preserve">registra unidades vendidas, no unidades</w:t>
      </w:r>
      <w:r>
        <w:rPr>
          <w:bCs/>
          <w:b/>
        </w:rPr>
        <w:t xml:space="preserve"> </w:t>
      </w:r>
      <w:r>
        <w:rPr>
          <w:bCs/>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Cs/>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Cs/>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Cs/>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Cs/>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bookmarkEnd w:id="49"/>
    <w:bookmarkStart w:id="50" w:name="días-de-cierre"/>
    <w:p>
      <w:pPr>
        <w:pStyle w:val="Heading3"/>
      </w:pPr>
      <w:r>
        <w:t xml:space="preserve">6.2.5. Días de cierre</w:t>
      </w:r>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bookmarkEnd w:id="50"/>
    <w:bookmarkEnd w:id="51"/>
    <w:bookmarkStart w:id="62" w:name="arquitectura-del-almacén-analítico"/>
    <w:p>
      <w:pPr>
        <w:pStyle w:val="Heading2"/>
      </w:pPr>
      <w:r>
        <w:t xml:space="preserve">6.3. Arquitectura del almacén analítico</w:t>
      </w:r>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bookmarkStart w:id="55" w:name="arquitectura-medallón"/>
    <w:p>
      <w:pPr>
        <w:pStyle w:val="Heading3"/>
      </w:pPr>
      <w:r>
        <w:t xml:space="preserve">6.3.1. Arquitectura medallón</w:t>
      </w:r>
    </w:p>
    <w:p>
      <w:pPr>
        <w:pStyle w:val="FirstParagraph"/>
      </w:pPr>
      <w:r>
        <w:t xml:space="preserve">El almacén se organiza en tres capas sucesivas, cada una con una responsabilidad única:</w:t>
      </w:r>
    </w:p>
    <w:p>
      <w:pPr>
        <w:pStyle w:val="BodyText"/>
      </w:pPr>
      <w:r>
        <w:rPr>
          <w:bCs/>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Cs/>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Cs/>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Cs/>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53" name="Picture"/>
            <a:graphic>
              <a:graphicData uri="http://schemas.openxmlformats.org/drawingml/2006/picture">
                <pic:pic>
                  <pic:nvPicPr>
                    <pic:cNvPr descr="figuras/fig_6_1.png" id="54" name="Picture"/>
                    <pic:cNvPicPr>
                      <a:picLocks noChangeArrowheads="1" noChangeAspect="1"/>
                    </pic:cNvPicPr>
                  </pic:nvPicPr>
                  <pic:blipFill>
                    <a:blip r:embed="rId52"/>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Arquitectura del almacén en tres capas.</w:t>
      </w:r>
      <w:r>
        <w:t xml:space="preserve"> </w:t>
      </w:r>
      <w:r>
        <w:rPr>
          <w:iCs/>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Cs/>
          <w:b/>
        </w:rPr>
        <w:t xml:space="preserve">58.327.370</w:t>
      </w:r>
      <w:r>
        <w:rPr>
          <w:bCs/>
          <w:b/>
        </w:rPr>
        <w:t xml:space="preserve"> </w:t>
      </w:r>
      <w:r>
        <w:rPr>
          <w:bCs/>
          <w:b/>
        </w:rPr>
        <w:t xml:space="preserve">filas en cuatro segundos</w:t>
      </w:r>
      <w:r>
        <w:t xml:space="preserve">. La reconstrucción íntegra del almacén desde los ficheros de origen</w:t>
      </w:r>
      <w:r>
        <w:t xml:space="preserve"> </w:t>
      </w:r>
      <w:r>
        <w:t xml:space="preserve">tarda aproximadamente</w:t>
      </w:r>
      <w:r>
        <w:t xml:space="preserve"> </w:t>
      </w:r>
      <w:r>
        <w:rPr>
          <w:bCs/>
          <w:b/>
        </w:rPr>
        <w:t xml:space="preserve">veinte segundos</w:t>
      </w:r>
      <w:r>
        <w:t xml:space="preserve">.</w:t>
      </w:r>
    </w:p>
    <w:bookmarkEnd w:id="55"/>
    <w:bookmarkStart w:id="59" w:name="modelo-dimensional"/>
    <w:p>
      <w:pPr>
        <w:pStyle w:val="Heading3"/>
      </w:pPr>
      <w:r>
        <w:t xml:space="preserve">6.3.2. Modelo dimensional</w:t>
      </w:r>
    </w:p>
    <w:p>
      <w:pPr>
        <w:pStyle w:val="FirstParagraph"/>
      </w:pPr>
      <w:r>
        <w:t xml:space="preserve">La capa oro adopta un</w:t>
      </w:r>
      <w:r>
        <w:t xml:space="preserve"> </w:t>
      </w:r>
      <w:r>
        <w:rPr>
          <w:bCs/>
          <w:b/>
        </w:rPr>
        <w:t xml:space="preserve">esquema en estrella</w:t>
      </w:r>
      <w:r>
        <w:t xml:space="preserve"> </w:t>
      </w:r>
      <w:r>
        <w:t xml:space="preserve">con cuatro dimensiones y tres tablas de hechos: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Tabla</w:t>
            </w:r>
          </w:p>
        </w:tc>
        <w:tc>
          <w:tcPr/>
          <w:p>
            <w:pPr>
              <w:pStyle w:val="Compact"/>
              <w:jc w:val="left"/>
            </w:pPr>
            <w:r>
              <w:t xml:space="preserve">Tipo</w:t>
            </w:r>
          </w:p>
        </w:tc>
        <w:tc>
          <w:tcPr/>
          <w:p>
            <w:pPr>
              <w:pStyle w:val="Compact"/>
              <w:jc w:val="left"/>
            </w:pPr>
            <w:r>
              <w:t xml:space="preserve">Filas</w:t>
            </w:r>
          </w:p>
        </w:tc>
        <w:tc>
          <w:tcPr/>
          <w:p>
            <w:pPr>
              <w:pStyle w:val="Compact"/>
              <w:jc w:val="left"/>
            </w:pPr>
            <w:r>
              <w:t xml:space="preserve">Contenido</w:t>
            </w:r>
          </w:p>
        </w:tc>
      </w:tr>
      <w:tr>
        <w:tc>
          <w:tcPr/>
          <w:p>
            <w:pPr>
              <w:pStyle w:val="Compact"/>
              <w:jc w:val="left"/>
            </w:pPr>
            <w:r>
              <w:rPr>
                <w:rStyle w:val="VerbatimChar"/>
              </w:rPr>
              <w:t xml:space="preserve">dim_calendario</w:t>
            </w:r>
          </w:p>
        </w:tc>
        <w:tc>
          <w:tcPr/>
          <w:p>
            <w:pPr>
              <w:pStyle w:val="Compact"/>
              <w:jc w:val="left"/>
            </w:pPr>
            <w:r>
              <w:t xml:space="preserve">dimensión</w:t>
            </w:r>
          </w:p>
        </w:tc>
        <w:tc>
          <w:tcPr/>
          <w:p>
            <w:pPr>
              <w:pStyle w:val="Compact"/>
              <w:jc w:val="left"/>
            </w:pPr>
            <w:r>
              <w:t xml:space="preserve">1.941</w:t>
            </w:r>
          </w:p>
        </w:tc>
        <w:tc>
          <w:tcPr/>
          <w:p>
            <w:pPr>
              <w:pStyle w:val="Compact"/>
              <w:jc w:val="left"/>
            </w:pPr>
            <w:r>
              <w:t xml:space="preserve">Fecha, día de la semana, evento, banderas de cierre y temporada</w:t>
            </w:r>
          </w:p>
        </w:tc>
      </w:tr>
      <w:tr>
        <w:tc>
          <w:tcPr/>
          <w:p>
            <w:pPr>
              <w:pStyle w:val="Compact"/>
              <w:jc w:val="left"/>
            </w:pPr>
            <w:r>
              <w:rPr>
                <w:rStyle w:val="VerbatimChar"/>
              </w:rPr>
              <w:t xml:space="preserve">dim_producto</w:t>
            </w:r>
          </w:p>
        </w:tc>
        <w:tc>
          <w:tcPr/>
          <w:p>
            <w:pPr>
              <w:pStyle w:val="Compact"/>
              <w:jc w:val="left"/>
            </w:pPr>
            <w:r>
              <w:t xml:space="preserve">dimensión</w:t>
            </w:r>
          </w:p>
        </w:tc>
        <w:tc>
          <w:tcPr/>
          <w:p>
            <w:pPr>
              <w:pStyle w:val="Compact"/>
              <w:jc w:val="left"/>
            </w:pPr>
            <w:r>
              <w:t xml:space="preserve">3.049</w:t>
            </w:r>
          </w:p>
        </w:tc>
        <w:tc>
          <w:tcPr/>
          <w:p>
            <w:pPr>
              <w:pStyle w:val="Compact"/>
              <w:jc w:val="left"/>
            </w:pPr>
            <w:r>
              <w:t xml:space="preserve">Categoría, departamento y los grupos de §7.2</w:t>
            </w:r>
          </w:p>
        </w:tc>
      </w:tr>
      <w:tr>
        <w:tc>
          <w:tcPr/>
          <w:p>
            <w:pPr>
              <w:pStyle w:val="Compact"/>
              <w:jc w:val="left"/>
            </w:pPr>
            <w:r>
              <w:rPr>
                <w:rStyle w:val="VerbatimChar"/>
              </w:rPr>
              <w:t xml:space="preserve">dim_tienda</w:t>
            </w:r>
          </w:p>
        </w:tc>
        <w:tc>
          <w:tcPr/>
          <w:p>
            <w:pPr>
              <w:pStyle w:val="Compact"/>
              <w:jc w:val="left"/>
            </w:pPr>
            <w:r>
              <w:t xml:space="preserve">dimensión</w:t>
            </w:r>
          </w:p>
        </w:tc>
        <w:tc>
          <w:tcPr/>
          <w:p>
            <w:pPr>
              <w:pStyle w:val="Compact"/>
              <w:jc w:val="left"/>
            </w:pPr>
            <w:r>
              <w:t xml:space="preserve">10</w:t>
            </w:r>
          </w:p>
        </w:tc>
        <w:tc>
          <w:tcPr/>
          <w:p>
            <w:pPr>
              <w:pStyle w:val="Compact"/>
              <w:jc w:val="left"/>
            </w:pPr>
            <w:r>
              <w:t xml:space="preserve">Nombre y ciudad</w:t>
            </w:r>
          </w:p>
        </w:tc>
      </w:tr>
      <w:tr>
        <w:tc>
          <w:tcPr/>
          <w:p>
            <w:pPr>
              <w:pStyle w:val="Compact"/>
              <w:jc w:val="left"/>
            </w:pPr>
            <w:r>
              <w:rPr>
                <w:rStyle w:val="VerbatimChar"/>
              </w:rPr>
              <w:t xml:space="preserve">dim_serie</w:t>
            </w:r>
          </w:p>
        </w:tc>
        <w:tc>
          <w:tcPr/>
          <w:p>
            <w:pPr>
              <w:pStyle w:val="Compact"/>
              <w:jc w:val="left"/>
            </w:pPr>
            <w:r>
              <w:t xml:space="preserve">dimensión</w:t>
            </w:r>
          </w:p>
        </w:tc>
        <w:tc>
          <w:tcPr/>
          <w:p>
            <w:pPr>
              <w:pStyle w:val="Compact"/>
              <w:jc w:val="left"/>
            </w:pPr>
            <w:r>
              <w:t xml:space="preserve">30.490</w:t>
            </w:r>
          </w:p>
        </w:tc>
        <w:tc>
          <w:tcPr/>
          <w:p>
            <w:pPr>
              <w:pStyle w:val="Compact"/>
              <w:jc w:val="left"/>
            </w:pPr>
            <w:r>
              <w:t xml:space="preserve">Estadísticos de la serie y clases ABC/XYZ</w:t>
            </w:r>
          </w:p>
        </w:tc>
      </w:tr>
      <w:tr>
        <w:tc>
          <w:tcPr/>
          <w:p>
            <w:pPr>
              <w:pStyle w:val="Compact"/>
              <w:jc w:val="left"/>
            </w:pPr>
            <w:r>
              <w:rPr>
                <w:rStyle w:val="VerbatimChar"/>
              </w:rPr>
              <w:t xml:space="preserve">fact_ventas</w:t>
            </w:r>
          </w:p>
        </w:tc>
        <w:tc>
          <w:tcPr/>
          <w:p>
            <w:pPr>
              <w:pStyle w:val="Compact"/>
              <w:jc w:val="left"/>
            </w:pPr>
            <w:r>
              <w:t xml:space="preserve">hecho</w:t>
            </w:r>
          </w:p>
        </w:tc>
        <w:tc>
          <w:tcPr/>
          <w:p>
            <w:pPr>
              <w:pStyle w:val="Compact"/>
              <w:jc w:val="left"/>
            </w:pPr>
            <w:r>
              <w:t xml:space="preserve">58.327.370</w:t>
            </w:r>
          </w:p>
        </w:tc>
        <w:tc>
          <w:tcPr/>
          <w:p>
            <w:pPr>
              <w:pStyle w:val="Compact"/>
              <w:jc w:val="left"/>
            </w:pPr>
            <w:r>
              <w:t xml:space="preserve">Unidades, precio e importe por día</w:t>
            </w:r>
          </w:p>
        </w:tc>
      </w:tr>
      <w:tr>
        <w:tc>
          <w:tcPr/>
          <w:p>
            <w:pPr>
              <w:pStyle w:val="Compact"/>
              <w:jc w:val="left"/>
            </w:pPr>
            <w:r>
              <w:rPr>
                <w:rStyle w:val="VerbatimChar"/>
              </w:rPr>
              <w:t xml:space="preserve">fact_predicciones</w:t>
            </w:r>
          </w:p>
        </w:tc>
        <w:tc>
          <w:tcPr/>
          <w:p>
            <w:pPr>
              <w:pStyle w:val="Compact"/>
              <w:jc w:val="left"/>
            </w:pPr>
            <w:r>
              <w:t xml:space="preserve">hecho</w:t>
            </w:r>
          </w:p>
        </w:tc>
        <w:tc>
          <w:tcPr/>
          <w:p>
            <w:pPr>
              <w:pStyle w:val="Compact"/>
              <w:jc w:val="left"/>
            </w:pPr>
            <w:r>
              <w:t xml:space="preserve">853.720</w:t>
            </w:r>
          </w:p>
        </w:tc>
        <w:tc>
          <w:tcPr/>
          <w:p>
            <w:pPr>
              <w:pStyle w:val="Compact"/>
              <w:jc w:val="left"/>
            </w:pPr>
            <w:r>
              <w:t xml:space="preserve">Previsión media y percentil 90 a 28 días</w:t>
            </w:r>
          </w:p>
        </w:tc>
      </w:tr>
      <w:tr>
        <w:tc>
          <w:tcPr/>
          <w:p>
            <w:pPr>
              <w:pStyle w:val="Compact"/>
              <w:jc w:val="left"/>
            </w:pPr>
            <w:r>
              <w:rPr>
                <w:rStyle w:val="VerbatimChar"/>
              </w:rPr>
              <w:t xml:space="preserve">fact_reposicion</w:t>
            </w:r>
          </w:p>
        </w:tc>
        <w:tc>
          <w:tcPr/>
          <w:p>
            <w:pPr>
              <w:pStyle w:val="Compact"/>
              <w:jc w:val="left"/>
            </w:pPr>
            <w:r>
              <w:t xml:space="preserve">hecho</w:t>
            </w:r>
          </w:p>
        </w:tc>
        <w:tc>
          <w:tcPr/>
          <w:p>
            <w:pPr>
              <w:pStyle w:val="Compact"/>
              <w:jc w:val="left"/>
            </w:pPr>
            <w:r>
              <w:t xml:space="preserve">121.960</w:t>
            </w:r>
          </w:p>
        </w:tc>
        <w:tc>
          <w:tcPr/>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57" name="Picture"/>
            <a:graphic>
              <a:graphicData uri="http://schemas.openxmlformats.org/drawingml/2006/picture">
                <pic:pic>
                  <pic:nvPicPr>
                    <pic:cNvPr descr="figuras/fig_6_2.png" id="58"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Modelo dimensional de la capa de consumo (esquema en estrella).</w:t>
      </w:r>
      <w:r>
        <w:t xml:space="preserve"> </w:t>
      </w:r>
      <w:r>
        <w:rPr>
          <w:iCs/>
          <w:i/>
        </w:rPr>
        <w:t xml:space="preserve">Fuente: elaboración propia.</w:t>
      </w:r>
    </w:p>
    <w:bookmarkEnd w:id="59"/>
    <w:bookmarkStart w:id="60" w:name="motor-y-decisiones-de-implementación"/>
    <w:p>
      <w:pPr>
        <w:pStyle w:val="Heading3"/>
      </w:pPr>
      <w:r>
        <w:t xml:space="preserve">6.3.3. Motor y decisiones de implementación</w:t>
      </w:r>
    </w:p>
    <w:p>
      <w:pPr>
        <w:pStyle w:val="FirstParagraph"/>
      </w:pPr>
      <w:r>
        <w:t xml:space="preserve">El almacén se implementó sobre</w:t>
      </w:r>
      <w:r>
        <w:t xml:space="preserve"> </w:t>
      </w:r>
      <w:r>
        <w:rPr>
          <w:bCs/>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Cs/>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bookmarkEnd w:id="60"/>
    <w:bookmarkStart w:id="61" w:name="la-trampa-del-abanico"/>
    <w:p>
      <w:pPr>
        <w:pStyle w:val="Heading3"/>
      </w:pPr>
      <w:r>
        <w:t xml:space="preserve">6.3.4. La trampa del abanico</w:t>
      </w:r>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bookmarkEnd w:id="61"/>
    <w:bookmarkEnd w:id="62"/>
    <w:bookmarkStart w:id="67" w:name="ingeniería-de-variables"/>
    <w:p>
      <w:pPr>
        <w:pStyle w:val="Heading2"/>
      </w:pPr>
      <w:r>
        <w:t xml:space="preserve">6.4. Ingeniería de variables</w:t>
      </w:r>
    </w:p>
    <w:bookmarkStart w:id="63" w:name="variables-construidas"/>
    <w:p>
      <w:pPr>
        <w:pStyle w:val="Heading3"/>
      </w:pPr>
      <w:r>
        <w:t xml:space="preserve">6.4.1. Variables construidas</w:t>
      </w:r>
    </w:p>
    <w:p>
      <w:pPr>
        <w:pStyle w:val="FirstParagraph"/>
      </w:pPr>
      <w:r>
        <w:t xml:space="preserve">El conjunto de variables predictoras se organiza en seis bloques:</w:t>
      </w:r>
    </w:p>
    <w:p>
      <w:pPr>
        <w:numPr>
          <w:ilvl w:val="0"/>
          <w:numId w:val="1004"/>
        </w:numPr>
        <w:pStyle w:val="Compact"/>
      </w:pPr>
      <w:r>
        <w:rPr>
          <w:bCs/>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Cs/>
          <w:b/>
        </w:rPr>
        <w:t xml:space="preserve">Medias móviles.</w:t>
      </w:r>
      <w:r>
        <w:t xml:space="preserve"> </w:t>
      </w:r>
      <w:r>
        <w:t xml:space="preserve">Promedios de la serie sobre ventanas de 7, 28, 91 y 364 días.</w:t>
      </w:r>
    </w:p>
    <w:p>
      <w:pPr>
        <w:numPr>
          <w:ilvl w:val="0"/>
          <w:numId w:val="1004"/>
        </w:numPr>
        <w:pStyle w:val="Compact"/>
      </w:pPr>
      <w:r>
        <w:rPr>
          <w:bCs/>
          <w:b/>
        </w:rPr>
        <w:t xml:space="preserve">Dispersión.</w:t>
      </w:r>
      <w:r>
        <w:t xml:space="preserve"> </w:t>
      </w:r>
      <w:r>
        <w:t xml:space="preserve">Desviación típica y proporción de días sin venta de los últimos 28 días.</w:t>
      </w:r>
    </w:p>
    <w:p>
      <w:pPr>
        <w:numPr>
          <w:ilvl w:val="0"/>
          <w:numId w:val="1004"/>
        </w:numPr>
        <w:pStyle w:val="Compact"/>
      </w:pPr>
      <w:r>
        <w:rPr>
          <w:bCs/>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Cs/>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Cs/>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bookmarkEnd w:id="63"/>
    <w:bookmarkStart w:id="64" w:name="la-restricción-de-retardo-mínimo"/>
    <w:p>
      <w:pPr>
        <w:pStyle w:val="Heading3"/>
      </w:pPr>
      <w:r>
        <w:t xml:space="preserve">6.4.2. La restricción de retardo mínimo</w:t>
      </w:r>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Cs/>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bookmarkEnd w:id="64"/>
    <w:bookmarkStart w:id="65" w:name="función-de-pérdida"/>
    <w:p>
      <w:pPr>
        <w:pStyle w:val="Heading3"/>
      </w:pPr>
      <w:r>
        <w:t xml:space="preserve">6.4.3. Función de pérdida</w:t>
      </w:r>
    </w:p>
    <w:p>
      <w:pPr>
        <w:pStyle w:val="FirstParagraph"/>
      </w:pPr>
      <w:r>
        <w:t xml:space="preserve">Los modelos de aprendizaje automático se entrenaron con la función de pérdida</w:t>
      </w:r>
      <w:r>
        <w:t xml:space="preserve"> </w:t>
      </w:r>
      <w:r>
        <w:rPr>
          <w:bCs/>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bookmarkEnd w:id="65"/>
    <w:bookmarkStart w:id="66" w:name="precisión-numérica"/>
    <w:p>
      <w:pPr>
        <w:pStyle w:val="Heading3"/>
      </w:pPr>
      <w:r>
        <w:t xml:space="preserve">6.4.4. Precisión numérica</w:t>
      </w:r>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bookmarkEnd w:id="66"/>
    <w:bookmarkEnd w:id="67"/>
    <w:bookmarkStart w:id="74" w:name="protocolo-de-validación"/>
    <w:p>
      <w:pPr>
        <w:pStyle w:val="Heading2"/>
      </w:pPr>
      <w:r>
        <w:t xml:space="preserve">6.5. Protocolo de validación</w:t>
      </w:r>
    </w:p>
    <w:bookmarkStart w:id="71" w:name="validación-temporal-por-avance"/>
    <w:p>
      <w:pPr>
        <w:pStyle w:val="Heading3"/>
      </w:pPr>
      <w:r>
        <w:t xml:space="preserve">6.5.1. Validación temporal por avance</w:t>
      </w:r>
    </w:p>
    <w:p>
      <w:pPr>
        <w:pStyle w:val="FirstParagraph"/>
      </w:pPr>
      <w:r>
        <w:t xml:space="preserve">Toda la evaluación de modelos de predicción emplea</w:t>
      </w:r>
      <w:r>
        <w:t xml:space="preserve"> </w:t>
      </w:r>
      <w:r>
        <w:rPr>
          <w:bCs/>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69" name="Picture"/>
            <a:graphic>
              <a:graphicData uri="http://schemas.openxmlformats.org/drawingml/2006/picture">
                <pic:pic>
                  <pic:nvPicPr>
                    <pic:cNvPr descr="figuras/fig_6_3.png" id="70" name="Picture"/>
                    <pic:cNvPicPr>
                      <a:picLocks noChangeArrowheads="1" noChangeAspect="1"/>
                    </pic:cNvPicPr>
                  </pic:nvPicPr>
                  <pic:blipFill>
                    <a:blip r:embed="rId68"/>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Esquema de la validación temporal por avance.</w:t>
      </w:r>
      <w:r>
        <w:t xml:space="preserve"> </w:t>
      </w:r>
      <w:r>
        <w:rPr>
          <w:iCs/>
          <w:i/>
        </w:rPr>
        <w:t xml:space="preserve">Fuente: elaboración propia.</w:t>
      </w:r>
    </w:p>
    <w:bookmarkEnd w:id="71"/>
    <w:bookmarkStart w:id="72" w:name="ventana-de-entrenamiento"/>
    <w:p>
      <w:pPr>
        <w:pStyle w:val="Heading3"/>
      </w:pPr>
      <w:r>
        <w:t xml:space="preserve">6.5.2. Ventana de entrenamiento</w:t>
      </w:r>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Cs/>
          <w:b/>
        </w:rPr>
        <w:t xml:space="preserve">400 días</w:t>
      </w:r>
      <w:r>
        <w:t xml:space="preserve">, que incluyen el año anterior completo: el error mejora un 5,7 % en diciembre y un 3,3 % en noviembre sin empeorar el resto del año. El</w:t>
      </w:r>
      <w:r>
        <w:t xml:space="preserve"> </w:t>
      </w:r>
      <w:r>
        <w:rPr>
          <w:bCs/>
          <w:b/>
        </w:rPr>
        <w:t xml:space="preserve">modelo final se entrena con 400 días</w:t>
      </w:r>
      <w:r>
        <w:t xml:space="preserve">;</w:t>
      </w:r>
      <w:r>
        <w:t xml:space="preserve"> </w:t>
      </w:r>
      <w:r>
        <w:t xml:space="preserve">el coste es un tiempo de entrenamiento algo más del doble.</w:t>
      </w:r>
    </w:p>
    <w:bookmarkEnd w:id="72"/>
    <w:bookmarkStart w:id="73" w:name="validación-de-la-segmentación"/>
    <w:p>
      <w:pPr>
        <w:pStyle w:val="Heading3"/>
      </w:pPr>
      <w:r>
        <w:t xml:space="preserve">6.5.3. Validación de la segmentación</w:t>
      </w:r>
    </w:p>
    <w:p>
      <w:pPr>
        <w:pStyle w:val="FirstParagraph"/>
      </w:pPr>
      <w:r>
        <w:t xml:space="preserve">La segmentación de productos se validó en tres pasos. Las</w:t>
      </w:r>
      <w:r>
        <w:t xml:space="preserve"> </w:t>
      </w:r>
      <w:r>
        <w:rPr>
          <w:bCs/>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Cs/>
          <w:b/>
        </w:rPr>
        <w:t xml:space="preserve">número de grupos</w:t>
      </w:r>
      <w:r>
        <w:t xml:space="preserve"> </w:t>
      </w:r>
      <w:r>
        <w:t xml:space="preserve">se</w:t>
      </w:r>
      <w:r>
        <w:t xml:space="preserve"> </w:t>
      </w:r>
      <w:r>
        <w:t xml:space="preserve">eligió con el método del codo —</w:t>
      </w:r>
      <w:r>
        <w:rPr>
          <w:iCs/>
          <w:i/>
        </w:rPr>
        <w:t xml:space="preserve">k</w:t>
      </w:r>
      <w:r>
        <w:t xml:space="preserve">-medias con</w:t>
      </w:r>
      <w:r>
        <w:t xml:space="preserve"> </w:t>
      </w:r>
      <w:r>
        <w:rPr>
          <w:iCs/>
          <w:i/>
        </w:rPr>
        <w:t xml:space="preserve">K</w:t>
      </w:r>
      <w:r>
        <w:t xml:space="preserve"> </w:t>
      </w:r>
      <w:r>
        <w:t xml:space="preserve">de 2 a 14— y el coeficiente de silueta. La</w:t>
      </w:r>
      <w:r>
        <w:t xml:space="preserve"> </w:t>
      </w:r>
      <w:r>
        <w:rPr>
          <w:bCs/>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bookmarkEnd w:id="73"/>
    <w:bookmarkEnd w:id="74"/>
    <w:bookmarkStart w:id="78" w:name="métricas"/>
    <w:p>
      <w:pPr>
        <w:pStyle w:val="Heading2"/>
      </w:pPr>
      <w:r>
        <w:t xml:space="preserve">6.6. Métricas</w:t>
      </w:r>
    </w:p>
    <w:bookmarkStart w:id="75" w:name="error-de-predicción"/>
    <w:p>
      <w:pPr>
        <w:pStyle w:val="Heading3"/>
      </w:pPr>
      <w:r>
        <w:t xml:space="preserve">6.6.1. Error de predicción</w:t>
      </w:r>
    </w:p>
    <w:p>
      <w:pPr>
        <w:pStyle w:val="FirstParagraph"/>
      </w:pPr>
      <w:r>
        <w:t xml:space="preserve">Se emplean varias métricas, cada una para un propósito distinto.</w:t>
      </w:r>
    </w:p>
    <w:p>
      <w:pPr>
        <w:pStyle w:val="BodyText"/>
      </w:pPr>
      <w:r>
        <w:rPr>
          <w:bCs/>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Cs/>
          <w:b/>
        </w:rPr>
        <w:t xml:space="preserve">RMSSE</w:t>
      </w:r>
      <w:r>
        <w:t xml:space="preserve"> </w:t>
      </w:r>
      <w:r>
        <w:t xml:space="preserve">(</w:t>
      </w:r>
      <w:r>
        <w:rPr>
          <w:iCs/>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rPr>
              <m:sty m:val="p"/>
            </m:rPr>
            <m:t>=</m:t>
          </m:r>
          <m:rad>
            <m:radPr>
              <m:degHide m:val="on"/>
            </m:radPr>
            <m:deg/>
            <m:e>
              <m:f>
                <m:fPr>
                  <m:type m:val="bar"/>
                </m:fPr>
                <m:num>
                  <m:f>
                    <m:fPr>
                      <m:type m:val="bar"/>
                    </m:fPr>
                    <m:num>
                      <m:r>
                        <m:t>1</m:t>
                      </m:r>
                    </m:num>
                    <m:den>
                      <m:r>
                        <m:t>h</m:t>
                      </m:r>
                    </m:den>
                  </m:f>
                  <m:nary>
                    <m:naryPr>
                      <m:chr m:val="∑"/>
                      <m:limLoc m:val="undOvr"/>
                      <m:subHide m:val="off"/>
                      <m:supHide m:val="off"/>
                    </m:naryPr>
                    <m:sub>
                      <m:r>
                        <m:t>t</m:t>
                      </m:r>
                      <m:r>
                        <m:rPr>
                          <m:sty m:val="p"/>
                        </m:rPr>
                        <m:t>=</m:t>
                      </m:r>
                      <m:r>
                        <m:t>n</m:t>
                      </m:r>
                      <m:r>
                        <m:rPr>
                          <m:sty m:val="p"/>
                        </m:rPr>
                        <m:t>+</m:t>
                      </m:r>
                      <m:r>
                        <m:t>1</m:t>
                      </m:r>
                    </m:sub>
                    <m:sup>
                      <m:r>
                        <m:t>n</m:t>
                      </m:r>
                      <m:r>
                        <m:rPr>
                          <m:sty m:val="p"/>
                        </m:rPr>
                        <m:t>+</m:t>
                      </m:r>
                      <m:r>
                        <m:t>h</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num>
                <m:den>
                  <m:f>
                    <m:fPr>
                      <m:type m:val="bar"/>
                    </m:fPr>
                    <m:num>
                      <m:r>
                        <m:t>1</m:t>
                      </m:r>
                    </m:num>
                    <m:den>
                      <m:r>
                        <m:t>n</m:t>
                      </m:r>
                      <m:r>
                        <m:rPr>
                          <m:sty m:val="p"/>
                        </m:rPr>
                        <m:t>−</m:t>
                      </m:r>
                      <m:r>
                        <m:t>1</m:t>
                      </m:r>
                    </m:den>
                  </m:f>
                  <m:nary>
                    <m:naryPr>
                      <m:chr m:val="∑"/>
                      <m:limLoc m:val="undOvr"/>
                      <m:subHide m:val="off"/>
                      <m:supHide m:val="off"/>
                    </m:naryPr>
                    <m:sub>
                      <m:r>
                        <m:t>t</m:t>
                      </m:r>
                      <m:r>
                        <m:rPr>
                          <m:sty m:val="p"/>
                        </m:rPr>
                        <m:t>=</m:t>
                      </m:r>
                      <m:r>
                        <m:t>2</m:t>
                      </m:r>
                    </m:sub>
                    <m:sup>
                      <m:r>
                        <m:t>n</m:t>
                      </m:r>
                    </m:sup>
                    <m:e>
                      <m:sSup>
                        <m:e>
                          <m:d>
                            <m:dPr>
                              <m:begChr m:val="("/>
                              <m:endChr m:val=")"/>
                              <m:sepChr m:val=""/>
                              <m:grow/>
                            </m:dPr>
                            <m:e>
                              <m:sSub>
                                <m:e>
                                  <m:r>
                                    <m:t>y</m:t>
                                  </m:r>
                                </m:e>
                                <m:sub>
                                  <m:r>
                                    <m:t>t</m:t>
                                  </m:r>
                                </m:sub>
                              </m:sSub>
                              <m:r>
                                <m:rPr>
                                  <m:sty m:val="p"/>
                                </m:rPr>
                                <m:t>−</m:t>
                              </m:r>
                              <m:sSub>
                                <m:e>
                                  <m:r>
                                    <m:t>y</m:t>
                                  </m:r>
                                </m:e>
                                <m:sub>
                                  <m:r>
                                    <m:t>t</m:t>
                                  </m:r>
                                  <m:r>
                                    <m:rPr>
                                      <m:sty m:val="p"/>
                                    </m:rPr>
                                    <m:t>−</m:t>
                                  </m:r>
                                  <m:r>
                                    <m:t>1</m:t>
                                  </m:r>
                                </m:sub>
                              </m:sSub>
                            </m:e>
                          </m:d>
                        </m:e>
                        <m:sup>
                          <m:r>
                            <m:t>2</m:t>
                          </m:r>
                        </m:sup>
                      </m:sSup>
                    </m:e>
                  </m:nary>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Cs/>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Cs/>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Cs/>
          <w:b/>
        </w:rPr>
        <w:t xml:space="preserve">WAPE semanal</w:t>
      </w:r>
      <w:r>
        <w:t xml:space="preserve"> </w:t>
      </w:r>
      <w:r>
        <w:t xml:space="preserve">(</w:t>
      </w:r>
      <w:r>
        <w:rPr>
          <w:iCs/>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rPr>
              <m:sty m:val="p"/>
            </m:rPr>
            <m:t>=</m:t>
          </m:r>
          <m:f>
            <m:fPr>
              <m:type m:val="bar"/>
            </m:fPr>
            <m:num>
              <m:r>
                <m:rPr>
                  <m:sty m:val="p"/>
                </m:rPr>
                <m:t>∑</m:t>
              </m:r>
              <m:d>
                <m:dPr>
                  <m:begChr m:val="|"/>
                  <m:endChr m:val="|"/>
                  <m:sepChr m:val=""/>
                  <m:grow/>
                </m:dPr>
                <m:e>
                  <m:acc>
                    <m:accPr>
                      <m:chr m:val="̂"/>
                    </m:accPr>
                    <m:e>
                      <m:r>
                        <m:t>y</m:t>
                      </m:r>
                    </m:e>
                  </m:acc>
                  <m:r>
                    <m:rPr>
                      <m:sty m:val="p"/>
                    </m:rPr>
                    <m:t>−</m:t>
                  </m:r>
                  <m:r>
                    <m:t>y</m:t>
                  </m:r>
                </m:e>
              </m:d>
            </m:num>
            <m:den>
              <m:r>
                <m:rPr>
                  <m:sty m:val="p"/>
                </m:rPr>
                <m:t>∑</m:t>
              </m:r>
              <m:r>
                <m:t>y</m:t>
              </m:r>
            </m:den>
          </m:f>
          <m:r>
            <m:rPr>
              <m:sty m:val="p"/>
            </m:rP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Cs/>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rPr>
            <m:sty m:val="p"/>
          </m:rPr>
          <m:t>=</m:t>
        </m:r>
        <m:r>
          <m:t>y</m:t>
        </m:r>
        <m:r>
          <m:rPr>
            <m:sty m:val="p"/>
          </m:rP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r>
                <m:t> </m:t>
              </m:r>
              <m:d>
                <m:dPr>
                  <m:begChr m:val="("/>
                  <m:endChr m:val=")"/>
                  <m:sepChr m:val=""/>
                  <m:grow/>
                </m:dPr>
                <m:e>
                  <m:r>
                    <m:t>τ</m:t>
                  </m:r>
                  <m:r>
                    <m:rPr>
                      <m:sty m:val="p"/>
                    </m:rPr>
                    <m:t>−</m:t>
                  </m:r>
                  <m:r>
                    <m:t>1</m:t>
                  </m:r>
                </m:e>
              </m:d>
              <m:r>
                <m:t>e</m:t>
              </m:r>
            </m:e>
          </m:d>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rPr>
            <m:sty m:val="p"/>
          </m:rPr>
          <m:t>=</m:t>
        </m:r>
        <m:r>
          <m:t>0</m:t>
        </m:r>
        <m:r>
          <m:rPr>
            <m:sty m:val="p"/>
          </m:rPr>
          <m:t>,</m:t>
        </m:r>
        <m:r>
          <m:t>9</m:t>
        </m:r>
      </m:oMath>
      <w:r>
        <w:t xml:space="preserve">, quedarse corto penaliza nueve veces más que pasarse.</w:t>
      </w:r>
    </w:p>
    <w:p>
      <w:pPr>
        <w:pStyle w:val="BodyText"/>
      </w:pPr>
      <w:r>
        <w:t xml:space="preserve">Se acompaña de la</w:t>
      </w:r>
      <w:r>
        <w:t xml:space="preserve"> </w:t>
      </w:r>
      <w:r>
        <w:rPr>
          <w:bCs/>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bookmarkEnd w:id="75"/>
    <w:bookmarkStart w:id="76" w:name="métricas-de-segmentación"/>
    <w:p>
      <w:pPr>
        <w:pStyle w:val="Heading3"/>
      </w:pPr>
      <w:r>
        <w:t xml:space="preserve">6.6.2. Métricas de segmentación</w:t>
      </w:r>
    </w:p>
    <w:p>
      <w:pPr>
        <w:pStyle w:val="FirstParagraph"/>
      </w:pPr>
      <w:r>
        <w:t xml:space="preserve">La</w:t>
      </w:r>
      <w:r>
        <w:t xml:space="preserve"> </w:t>
      </w:r>
      <w:r>
        <w:rPr>
          <w:bCs/>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Cs/>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Cs/>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d>
          <m:dPr>
            <m:begChr m:val="["/>
            <m:endChr m:val="]"/>
            <m:sepChr m:val=""/>
            <m:grow/>
          </m:dPr>
          <m:e>
            <m:r>
              <m:rPr>
                <m:sty m:val="p"/>
              </m:rPr>
              <m:t>−</m:t>
            </m:r>
            <m:r>
              <m:t>1</m:t>
            </m:r>
            <m:r>
              <m:rPr>
                <m:sty m:val="p"/>
              </m:rPr>
              <m:t>,</m:t>
            </m:r>
            <m:r>
              <m:t>1</m:t>
            </m:r>
          </m:e>
        </m:d>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Cs/>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bookmarkEnd w:id="76"/>
    <w:bookmarkStart w:id="77" w:name="métricas-económicas"/>
    <w:p>
      <w:pPr>
        <w:pStyle w:val="Heading3"/>
      </w:pPr>
      <w:r>
        <w:t xml:space="preserve">6.6.3. Métricas económicas</w:t>
      </w:r>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Cs/>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Cs/>
          <w:b/>
        </w:rPr>
        <w:t xml:space="preserve">Coste de mantenimiento</w:t>
      </w:r>
      <w:r>
        <w:t xml:space="preserve">, proporcional al inventario medio inmovilizado.</w:t>
      </w:r>
    </w:p>
    <w:p>
      <w:pPr>
        <w:numPr>
          <w:ilvl w:val="0"/>
          <w:numId w:val="1005"/>
        </w:numPr>
        <w:pStyle w:val="Compact"/>
      </w:pPr>
      <w:r>
        <w:rPr>
          <w:bCs/>
          <w:b/>
        </w:rPr>
        <w:t xml:space="preserve">Merma</w:t>
      </w:r>
      <w:r>
        <w:t xml:space="preserve">, proporcional al remanente no vendido al final del ciclo.</w:t>
      </w:r>
    </w:p>
    <w:p>
      <w:pPr>
        <w:pStyle w:val="FirstParagraph"/>
      </w:pPr>
      <w:r>
        <w:t xml:space="preserve">El</w:t>
      </w:r>
      <w:r>
        <w:t xml:space="preserve"> </w:t>
      </w:r>
      <w:r>
        <w:rPr>
          <w:bCs/>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bookmarkEnd w:id="77"/>
    <w:bookmarkEnd w:id="78"/>
    <w:bookmarkStart w:id="79" w:name="muestreo-y-organización-del-trabajo"/>
    <w:p>
      <w:pPr>
        <w:pStyle w:val="Heading2"/>
      </w:pPr>
      <w:r>
        <w:t xml:space="preserve">6.7. Muestreo y organización del trabajo</w:t>
      </w:r>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bookmarkEnd w:id="79"/>
    <w:bookmarkStart w:id="80" w:name="reproducibilidad"/>
    <w:p>
      <w:pPr>
        <w:pStyle w:val="Heading2"/>
      </w:pPr>
      <w:r>
        <w:t xml:space="preserve">6.8. Reproducibilidad</w:t>
      </w:r>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bookmarkEnd w:id="80"/>
    <w:bookmarkEnd w:id="81"/>
    <w:bookmarkStart w:id="231" w:name="resultados-y-conclusiones"/>
    <w:p>
      <w:pPr>
        <w:pStyle w:val="Heading1"/>
      </w:pPr>
      <w:r>
        <w:t xml:space="preserve">7. Resultados y conclusiones</w:t>
      </w:r>
    </w:p>
    <w:bookmarkStart w:id="99" w:name="qué-está-pasando-en-las-tiendas"/>
    <w:p>
      <w:pPr>
        <w:pStyle w:val="Heading2"/>
      </w:pPr>
      <w:r>
        <w:t xml:space="preserve">7.1. Qué está pasando en las tiendas</w:t>
      </w:r>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Cs/>
          <w:b/>
        </w:rPr>
        <w:t xml:space="preserve">¿hasta qué punto se parecen entre sí las diez tiendas?</w:t>
      </w:r>
    </w:p>
    <w:bookmarkStart w:id="85" w:name="la-estructura-temporal"/>
    <w:p>
      <w:pPr>
        <w:pStyle w:val="Heading3"/>
      </w:pPr>
      <w:r>
        <w:t xml:space="preserve">7.1.1. La estructura temporal</w:t>
      </w:r>
    </w:p>
    <w:p>
      <w:pPr>
        <w:pStyle w:val="FirstParagraph"/>
      </w:pPr>
      <w:r>
        <w:t xml:space="preserve">La serie agregada de la cadena muestra los tres componentes esperables en un minorista de</w:t>
      </w:r>
      <w:r>
        <w:t xml:space="preserve"> </w:t>
      </w:r>
      <w:r>
        <w:t xml:space="preserve">gran consumo. Una</w:t>
      </w:r>
      <w:r>
        <w:t xml:space="preserve"> </w:t>
      </w:r>
      <w:r>
        <w:rPr>
          <w:bCs/>
          <w:b/>
        </w:rPr>
        <w:t xml:space="preserve">tendencia</w:t>
      </w:r>
      <w:r>
        <w:t xml:space="preserve"> </w:t>
      </w:r>
      <w:r>
        <w:t xml:space="preserve">suavemente creciente a lo largo de los cinco años. Una</w:t>
      </w:r>
      <w:r>
        <w:t xml:space="preserve"> </w:t>
      </w:r>
      <w:r>
        <w:rPr>
          <w:bCs/>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Cs/>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83" name="Picture"/>
            <a:graphic>
              <a:graphicData uri="http://schemas.openxmlformats.org/drawingml/2006/picture">
                <pic:pic>
                  <pic:nvPicPr>
                    <pic:cNvPr descr="figuras/fig_7_1.png" id="84" name="Picture"/>
                    <pic:cNvPicPr>
                      <a:picLocks noChangeArrowheads="1" noChangeAspect="1"/>
                    </pic:cNvPicPr>
                  </pic:nvPicPr>
                  <pic:blipFill>
                    <a:blip r:embed="rId82"/>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Cs/>
          <w:b/>
        </w:rPr>
        <w:t xml:space="preserve">Figura 7.1.</w:t>
      </w:r>
      <w:r>
        <w:t xml:space="preserve"> </w:t>
      </w:r>
      <w:r>
        <w:t xml:space="preserve">Serie agregada de ventas diarias, con su tendencia y sus perfiles semanal y anual.</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5"/>
    <w:bookmarkStart w:id="89" w:name="los-eventos-que-importan-y-el-que-no"/>
    <w:p>
      <w:pPr>
        <w:pStyle w:val="Heading3"/>
      </w:pPr>
      <w:r>
        <w:t xml:space="preserve">7.1.2. Los eventos que importan y el que no</w:t>
      </w:r>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Cs/>
          <w:b/>
        </w:rPr>
        <w:t xml:space="preserve">Labor Day</w:t>
      </w:r>
      <w:r>
        <w:t xml:space="preserve">, que vende un</w:t>
      </w:r>
      <w:r>
        <w:t xml:space="preserve"> </w:t>
      </w:r>
      <w:r>
        <w:rPr>
          <w:bCs/>
          <w:b/>
        </w:rPr>
        <w:t xml:space="preserve">28 % más</w:t>
      </w:r>
      <w:r>
        <w:t xml:space="preserve"> </w:t>
      </w:r>
      <w:r>
        <w:t xml:space="preserve">que un lunes normal en los cinco</w:t>
      </w:r>
      <w:r>
        <w:t xml:space="preserve"> </w:t>
      </w:r>
      <w:r>
        <w:t xml:space="preserve">años.</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Cs/>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87" name="Picture"/>
            <a:graphic>
              <a:graphicData uri="http://schemas.openxmlformats.org/drawingml/2006/picture">
                <pic:pic>
                  <pic:nvPicPr>
                    <pic:cNvPr descr="figuras/fig_7_2.png" id="88" name="Picture"/>
                    <pic:cNvPicPr>
                      <a:picLocks noChangeArrowheads="1" noChangeAspect="1"/>
                    </pic:cNvPicPr>
                  </pic:nvPicPr>
                  <pic:blipFill>
                    <a:blip r:embed="rId86"/>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Cs/>
          <w:b/>
        </w:rPr>
        <w:t xml:space="preserve">Figura 7.2.</w:t>
      </w:r>
      <w:r>
        <w:t xml:space="preserve"> </w:t>
      </w:r>
      <w:r>
        <w:t xml:space="preserve">Coeficiente de elevación por evento del calendario, con Black Friday señalado.</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9"/>
    <w:bookmarkStart w:id="93" w:name="las-tiendas-no-son-intercambiables"/>
    <w:p>
      <w:pPr>
        <w:pStyle w:val="Heading3"/>
      </w:pPr>
      <w:r>
        <w:t xml:space="preserve">7.1.3. Las tiendas no son intercambiables</w:t>
      </w:r>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Cs/>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Ciudad</w:t>
            </w:r>
          </w:p>
        </w:tc>
        <w:tc>
          <w:tcPr/>
          <w:p>
            <w:pPr>
              <w:pStyle w:val="Compact"/>
              <w:jc w:val="left"/>
            </w:pPr>
            <w:r>
              <w:t xml:space="preserve">Productos del top 15 comunes a todas las tiendas de la ciudad</w:t>
            </w:r>
          </w:p>
        </w:tc>
      </w:tr>
      <w:tr>
        <w:tc>
          <w:tcPr/>
          <w:p>
            <w:pPr>
              <w:pStyle w:val="Compact"/>
              <w:jc w:val="left"/>
            </w:pPr>
            <w:r>
              <w:t xml:space="preserve">Boston</w:t>
            </w:r>
          </w:p>
        </w:tc>
        <w:tc>
          <w:tcPr/>
          <w:p>
            <w:pPr>
              <w:pStyle w:val="Compact"/>
              <w:jc w:val="left"/>
            </w:pPr>
            <w:r>
              <w:t xml:space="preserve">10 de 15 (67 %)</w:t>
            </w:r>
          </w:p>
        </w:tc>
      </w:tr>
      <w:tr>
        <w:tc>
          <w:tcPr/>
          <w:p>
            <w:pPr>
              <w:pStyle w:val="Compact"/>
              <w:jc w:val="left"/>
            </w:pPr>
            <w:r>
              <w:t xml:space="preserve">Nueva York</w:t>
            </w:r>
          </w:p>
        </w:tc>
        <w:tc>
          <w:tcPr/>
          <w:p>
            <w:pPr>
              <w:pStyle w:val="Compact"/>
              <w:jc w:val="left"/>
            </w:pPr>
            <w:r>
              <w:t xml:space="preserve">8 de 15 (53 %)</w:t>
            </w:r>
          </w:p>
        </w:tc>
      </w:tr>
      <w:tr>
        <w:tc>
          <w:tcPr/>
          <w:p>
            <w:pPr>
              <w:pStyle w:val="Compact"/>
              <w:jc w:val="left"/>
            </w:pPr>
            <w:r>
              <w:rPr>
                <w:bCs/>
                <w:b/>
              </w:rPr>
              <w:t xml:space="preserve">Filadelfia</w:t>
            </w:r>
          </w:p>
        </w:tc>
        <w:tc>
          <w:tcPr/>
          <w:p>
            <w:pPr>
              <w:pStyle w:val="Compact"/>
              <w:jc w:val="left"/>
            </w:pPr>
            <w:r>
              <w:rPr>
                <w:bCs/>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91" name="Picture"/>
            <a:graphic>
              <a:graphicData uri="http://schemas.openxmlformats.org/drawingml/2006/picture">
                <pic:pic>
                  <pic:nvPicPr>
                    <pic:cNvPr descr="figuras/fig_7_3.png" id="92" name="Picture"/>
                    <pic:cNvPicPr>
                      <a:picLocks noChangeArrowheads="1" noChangeAspect="1"/>
                    </pic:cNvPicPr>
                  </pic:nvPicPr>
                  <pic:blipFill>
                    <a:blip r:embed="rId9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Cs/>
          <w:b/>
        </w:rPr>
        <w:t xml:space="preserve">Figura 7.3.</w:t>
      </w:r>
      <w:r>
        <w:t xml:space="preserve"> </w:t>
      </w:r>
      <w:r>
        <w:t xml:space="preserve">Solapamiento de los quince productos más vendidos entre las tres ciudades.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93"/>
    <w:bookmarkStart w:id="97" w:name="el-precio-y-un-resultado-contraintuitivo"/>
    <w:p>
      <w:pPr>
        <w:pStyle w:val="Heading3"/>
      </w:pPr>
      <w:r>
        <w:t xml:space="preserve">7.1.4. El precio, y un resultado contraintuitivo</w:t>
      </w:r>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Cs/>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95" name="Picture"/>
            <a:graphic>
              <a:graphicData uri="http://schemas.openxmlformats.org/drawingml/2006/picture">
                <pic:pic>
                  <pic:nvPicPr>
                    <pic:cNvPr descr="figuras/fig_7_4.png" id="96" name="Picture"/>
                    <pic:cNvPicPr>
                      <a:picLocks noChangeArrowheads="1" noChangeAspect="1"/>
                    </pic:cNvPicPr>
                  </pic:nvPicPr>
                  <pic:blipFill>
                    <a:blip r:embed="rId94"/>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Cs/>
          <w:b/>
        </w:rPr>
        <w:t xml:space="preserve">Figura 7.4.</w:t>
      </w:r>
      <w:r>
        <w:t xml:space="preserve"> </w:t>
      </w:r>
      <w:r>
        <w:t xml:space="preserve">Dispersión relativa de precios entre tiendas, por categoría.</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bookmarkEnd w:id="97"/>
    <w:bookmarkStart w:id="98" w:name="qué-abre-el-capítulo-siguiente"/>
    <w:p>
      <w:pPr>
        <w:pStyle w:val="Heading3"/>
      </w:pPr>
      <w:r>
        <w:t xml:space="preserve">7.1.5. Qué abre el capítulo siguiente</w:t>
      </w:r>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bookmarkEnd w:id="98"/>
    <w:bookmarkEnd w:id="99"/>
    <w:bookmarkStart w:id="122" w:name="Xb749c98a46b9ddd1e3f7ce1a269968ec7cf3c94"/>
    <w:p>
      <w:pPr>
        <w:pStyle w:val="Heading2"/>
      </w:pPr>
      <w:r>
        <w:t xml:space="preserve">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bookmarkStart w:id="100" w:name="qué-se-agrupa-y-con-qué-variables"/>
    <w:p>
      <w:pPr>
        <w:pStyle w:val="Heading3"/>
      </w:pPr>
      <w:r>
        <w:t xml:space="preserve">7.2.1. Qué se agrupa y con qué variables</w:t>
      </w:r>
    </w:p>
    <w:p>
      <w:pPr>
        <w:pStyle w:val="FirstParagraph"/>
      </w:pPr>
      <w:r>
        <w:t xml:space="preserve">La segmentación se realiza sobre el</w:t>
      </w:r>
      <w:r>
        <w:t xml:space="preserve"> </w:t>
      </w:r>
      <w:r>
        <w:rPr>
          <w:bCs/>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Cs/>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Cs/>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Cs/>
          <w:b/>
        </w:rPr>
        <w:t xml:space="preserve">seis</w:t>
      </w:r>
      <w:r>
        <w:rPr>
          <w:bCs/>
          <w:b/>
        </w:rPr>
        <w:t xml:space="preserve"> </w:t>
      </w:r>
      <w:r>
        <w:rPr>
          <w:bCs/>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Cs/>
          <w:i/>
        </w:rPr>
        <w:t xml:space="preserve">k</w:t>
      </w:r>
      <w:r>
        <w:t xml:space="preserve">-medias</w:t>
      </w:r>
      <w:r>
        <w:t xml:space="preserve"> </w:t>
      </w:r>
      <w:r>
        <w:t xml:space="preserve">los aísla en grupos de un solo producto.</w:t>
      </w:r>
    </w:p>
    <w:bookmarkEnd w:id="100"/>
    <w:bookmarkStart w:id="104" w:name="elección-del-número-de-grupos"/>
    <w:p>
      <w:pPr>
        <w:pStyle w:val="Heading3"/>
      </w:pPr>
      <w:r>
        <w:t xml:space="preserve">7.2.2. Elección del número de grupos</w:t>
      </w:r>
    </w:p>
    <w:p>
      <w:pPr>
        <w:pStyle w:val="FirstParagraph"/>
      </w:pPr>
      <w:r>
        <w:t xml:space="preserve">El número de grupos se eligió con el</w:t>
      </w:r>
      <w:r>
        <w:t xml:space="preserve"> </w:t>
      </w:r>
      <w:r>
        <w:rPr>
          <w:bCs/>
          <w:b/>
        </w:rPr>
        <w:t xml:space="preserve">método del codo</w:t>
      </w:r>
      <w:r>
        <w:t xml:space="preserve">: se entrenó</w:t>
      </w:r>
      <w:r>
        <w:t xml:space="preserve"> </w:t>
      </w:r>
      <w:r>
        <w:rPr>
          <w:iCs/>
          <w:i/>
        </w:rPr>
        <w:t xml:space="preserve">k</w:t>
      </w:r>
      <w:r>
        <w:t xml:space="preserve">-medias con</w:t>
      </w:r>
      <w:r>
        <w:t xml:space="preserve"> </w:t>
      </w:r>
      <w:r>
        <w:rPr>
          <w:iCs/>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Cs/>
          <w:b/>
        </w:rPr>
        <w:t xml:space="preserve">6 a 8 grupos</w:t>
      </w:r>
      <w:r>
        <w:t xml:space="preserve">, y dentro de ella</w:t>
      </w:r>
      <w:r>
        <w:t xml:space="preserve"> </w:t>
      </w:r>
      <w:r>
        <w:rPr>
          <w:bCs/>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Cs/>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02" name="Picture"/>
            <a:graphic>
              <a:graphicData uri="http://schemas.openxmlformats.org/drawingml/2006/picture">
                <pic:pic>
                  <pic:nvPicPr>
                    <pic:cNvPr descr="figuras/fig_7_5.png" id="103" name="Picture"/>
                    <pic:cNvPicPr>
                      <a:picLocks noChangeArrowheads="1" noChangeAspect="1"/>
                    </pic:cNvPicPr>
                  </pic:nvPicPr>
                  <pic:blipFill>
                    <a:blip r:embed="rId101"/>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Cs/>
          <w:b/>
        </w:rPr>
        <w:t xml:space="preserve">Figura 7.5.</w:t>
      </w:r>
      <w:r>
        <w:t xml:space="preserve"> </w:t>
      </w:r>
      <w:r>
        <w:t xml:space="preserve">Método del codo: inercia y silueta frente al número de grupos, con la zona del codo y K = 6 señalados.</w:t>
      </w:r>
      <w:r>
        <w:t xml:space="preserve"> </w:t>
      </w:r>
      <w:r>
        <w:rPr>
          <w:iCs/>
          <w:i/>
        </w:rPr>
        <w:t xml:space="preserve">Fuente: elaboración propia.</w:t>
      </w:r>
    </w:p>
    <w:p>
      <w:pPr>
        <w:pStyle w:val="BodyText"/>
      </w:pPr>
      <w:r>
        <w:rPr>
          <w:bCs/>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bookmarkEnd w:id="104"/>
    <w:bookmarkStart w:id="111" w:name="los-seis-grupos-de-producto"/>
    <w:p>
      <w:pPr>
        <w:pStyle w:val="Heading3"/>
      </w:pPr>
      <w:r>
        <w:t xml:space="preserve">7.2.3. Los seis grupos de producto</w:t>
      </w:r>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Productos</w:t>
            </w:r>
          </w:p>
        </w:tc>
        <w:tc>
          <w:tcPr/>
          <w:p>
            <w:pPr>
              <w:pStyle w:val="Compact"/>
              <w:jc w:val="left"/>
            </w:pPr>
            <w:r>
              <w:t xml:space="preserve">% facturación</w:t>
            </w:r>
          </w:p>
        </w:tc>
        <w:tc>
          <w:tcPr/>
          <w:p>
            <w:pPr>
              <w:pStyle w:val="Compact"/>
              <w:jc w:val="left"/>
            </w:pPr>
            <w:r>
              <w:t xml:space="preserve">Rasgo que lo define</w:t>
            </w:r>
          </w:p>
        </w:tc>
      </w:tr>
      <w:tr>
        <w:tc>
          <w:tcPr/>
          <w:p>
            <w:pPr>
              <w:pStyle w:val="Compact"/>
              <w:jc w:val="left"/>
            </w:pPr>
            <w:r>
              <w:rPr>
                <w:bCs/>
                <w:b/>
              </w:rPr>
              <w:t xml:space="preserve">Alta rotación diaria</w:t>
            </w:r>
          </w:p>
        </w:tc>
        <w:tc>
          <w:tcPr/>
          <w:p>
            <w:pPr>
              <w:pStyle w:val="Compact"/>
              <w:jc w:val="left"/>
            </w:pPr>
            <w:r>
              <w:t xml:space="preserve">679</w:t>
            </w:r>
          </w:p>
        </w:tc>
        <w:tc>
          <w:tcPr/>
          <w:p>
            <w:pPr>
              <w:pStyle w:val="Compact"/>
              <w:jc w:val="left"/>
            </w:pPr>
            <w:r>
              <w:t xml:space="preserve">42,4 %</w:t>
            </w:r>
          </w:p>
        </w:tc>
        <w:tc>
          <w:tcPr/>
          <w:p>
            <w:pPr>
              <w:pStyle w:val="Compact"/>
              <w:jc w:val="left"/>
            </w:pPr>
            <w:r>
              <w:t xml:space="preserve">72 % supermercado, el precio más bajo (2,6 $). Venta muy alta (37 unidades al día entre las diez tiendas) y casi diaria: 5 % de días sin venta.</w:t>
            </w:r>
          </w:p>
        </w:tc>
      </w:tr>
      <w:tr>
        <w:tc>
          <w:tcPr/>
          <w:p>
            <w:pPr>
              <w:pStyle w:val="Compact"/>
              <w:jc w:val="left"/>
            </w:pPr>
            <w:r>
              <w:rPr>
                <w:bCs/>
                <w:b/>
              </w:rPr>
              <w:t xml:space="preserve">Pico de fin de semana</w:t>
            </w:r>
          </w:p>
        </w:tc>
        <w:tc>
          <w:tcPr/>
          <w:p>
            <w:pPr>
              <w:pStyle w:val="Compact"/>
              <w:jc w:val="left"/>
            </w:pPr>
            <w:r>
              <w:t xml:space="preserve">882</w:t>
            </w:r>
          </w:p>
        </w:tc>
        <w:tc>
          <w:tcPr/>
          <w:p>
            <w:pPr>
              <w:pStyle w:val="Compact"/>
              <w:jc w:val="left"/>
            </w:pPr>
            <w:r>
              <w:t xml:space="preserve">25,4 %</w:t>
            </w:r>
          </w:p>
        </w:tc>
        <w:tc>
          <w:tcPr/>
          <w:p>
            <w:pPr>
              <w:pStyle w:val="Compact"/>
              <w:jc w:val="left"/>
            </w:pPr>
            <w:r>
              <w:t xml:space="preserve">45 % hogar y jardín. La mayor elevación en fin de semana (+42 %), y también sube en los eventos.</w:t>
            </w:r>
          </w:p>
        </w:tc>
      </w:tr>
      <w:tr>
        <w:tc>
          <w:tcPr/>
          <w:p>
            <w:pPr>
              <w:pStyle w:val="Compact"/>
              <w:jc w:val="left"/>
            </w:pPr>
            <w:r>
              <w:rPr>
                <w:bCs/>
                <w:b/>
              </w:rPr>
              <w:t xml:space="preserve">Rotación baja sin picos</w:t>
            </w:r>
          </w:p>
        </w:tc>
        <w:tc>
          <w:tcPr/>
          <w:p>
            <w:pPr>
              <w:pStyle w:val="Compact"/>
              <w:jc w:val="left"/>
            </w:pPr>
            <w:r>
              <w:t xml:space="preserve">745</w:t>
            </w:r>
          </w:p>
        </w:tc>
        <w:tc>
          <w:tcPr/>
          <w:p>
            <w:pPr>
              <w:pStyle w:val="Compact"/>
              <w:jc w:val="left"/>
            </w:pPr>
            <w:r>
              <w:t xml:space="preserve">14,7 %</w:t>
            </w:r>
          </w:p>
        </w:tc>
        <w:tc>
          <w:tcPr/>
          <w:p>
            <w:pPr>
              <w:pStyle w:val="Compact"/>
              <w:jc w:val="left"/>
            </w:pPr>
            <w:r>
              <w:t xml:space="preserve">Mixto. Venta baja (6 unidades al día) y sin picos: los que menos reaccionan al fin de semana, a diciembre y a los eventos.</w:t>
            </w:r>
          </w:p>
        </w:tc>
      </w:tr>
      <w:tr>
        <w:tc>
          <w:tcPr/>
          <w:p>
            <w:pPr>
              <w:pStyle w:val="Compact"/>
              <w:jc w:val="left"/>
            </w:pPr>
            <w:r>
              <w:rPr>
                <w:bCs/>
                <w:b/>
              </w:rPr>
              <w:t xml:space="preserve">Precio alto, pocas unidades</w:t>
            </w:r>
          </w:p>
        </w:tc>
        <w:tc>
          <w:tcPr/>
          <w:p>
            <w:pPr>
              <w:pStyle w:val="Compact"/>
              <w:jc w:val="left"/>
            </w:pPr>
            <w:r>
              <w:t xml:space="preserve">218</w:t>
            </w:r>
          </w:p>
        </w:tc>
        <w:tc>
          <w:tcPr/>
          <w:p>
            <w:pPr>
              <w:pStyle w:val="Compact"/>
              <w:jc w:val="left"/>
            </w:pPr>
            <w:r>
              <w:t xml:space="preserve">11,1 %</w:t>
            </w:r>
          </w:p>
        </w:tc>
        <w:tc>
          <w:tcPr/>
          <w:p>
            <w:pPr>
              <w:pStyle w:val="Compact"/>
              <w:jc w:val="left"/>
            </w:pPr>
            <w:r>
              <w:t xml:space="preserve">48 % accesorios y 43 % hogar. Precio medio de 17,4 $, más del triple que el resto.</w:t>
            </w:r>
          </w:p>
        </w:tc>
      </w:tr>
      <w:tr>
        <w:tc>
          <w:tcPr/>
          <w:p>
            <w:pPr>
              <w:pStyle w:val="Compact"/>
              <w:jc w:val="left"/>
            </w:pPr>
            <w:r>
              <w:rPr>
                <w:bCs/>
                <w:b/>
              </w:rPr>
              <w:t xml:space="preserve">Venta esporádica con pico en eventos</w:t>
            </w:r>
          </w:p>
        </w:tc>
        <w:tc>
          <w:tcPr/>
          <w:p>
            <w:pPr>
              <w:pStyle w:val="Compact"/>
              <w:jc w:val="left"/>
            </w:pPr>
            <w:r>
              <w:t xml:space="preserve">405</w:t>
            </w:r>
          </w:p>
        </w:tc>
        <w:tc>
          <w:tcPr/>
          <w:p>
            <w:pPr>
              <w:pStyle w:val="Compact"/>
              <w:jc w:val="left"/>
            </w:pPr>
            <w:r>
              <w:t xml:space="preserve">4,2 %</w:t>
            </w:r>
          </w:p>
        </w:tc>
        <w:tc>
          <w:tcPr/>
          <w:p>
            <w:pPr>
              <w:pStyle w:val="Compact"/>
              <w:jc w:val="left"/>
            </w:pPr>
            <w:r>
              <w:t xml:space="preserve">Mixto. No venden nada en el 39 % de los días en que están a la venta, pero venden un 26 % más en los días de evento.</w:t>
            </w:r>
          </w:p>
        </w:tc>
      </w:tr>
      <w:tr>
        <w:tc>
          <w:tcPr/>
          <w:p>
            <w:pPr>
              <w:pStyle w:val="Compact"/>
              <w:jc w:val="left"/>
            </w:pPr>
            <w:r>
              <w:rPr>
                <w:bCs/>
                <w:b/>
              </w:rPr>
              <w:t xml:space="preserve">Pico de diciembre</w:t>
            </w:r>
          </w:p>
        </w:tc>
        <w:tc>
          <w:tcPr/>
          <w:p>
            <w:pPr>
              <w:pStyle w:val="Compact"/>
              <w:jc w:val="left"/>
            </w:pPr>
            <w:r>
              <w:t xml:space="preserve">120</w:t>
            </w:r>
          </w:p>
        </w:tc>
        <w:tc>
          <w:tcPr/>
          <w:p>
            <w:pPr>
              <w:pStyle w:val="Compact"/>
              <w:jc w:val="left"/>
            </w:pPr>
            <w:r>
              <w:t xml:space="preserve">2,1 %</w:t>
            </w:r>
          </w:p>
        </w:tc>
        <w:tc>
          <w:tcPr/>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06" name="Picture"/>
            <a:graphic>
              <a:graphicData uri="http://schemas.openxmlformats.org/drawingml/2006/picture">
                <pic:pic>
                  <pic:nvPicPr>
                    <pic:cNvPr descr="figuras/fig_7_6.png" id="107" name="Picture"/>
                    <pic:cNvPicPr>
                      <a:picLocks noChangeArrowheads="1" noChangeAspect="1"/>
                    </pic:cNvPicPr>
                  </pic:nvPicPr>
                  <pic:blipFill>
                    <a:blip r:embed="rId105"/>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Cs/>
          <w:b/>
        </w:rPr>
        <w:t xml:space="preserve">Figura 7.6.</w:t>
      </w:r>
      <w:r>
        <w:t xml:space="preserve"> </w:t>
      </w:r>
      <w:r>
        <w:t xml:space="preserve">Proyección PCA de los productos coloreados por grupo, y peso de cada grupo en el catálogo y en la facturación.</w:t>
      </w:r>
      <w:r>
        <w:t xml:space="preserve"> </w:t>
      </w:r>
      <w:r>
        <w:rPr>
          <w:iCs/>
          <w:i/>
        </w:rPr>
        <w:t xml:space="preserve">Fuente: elaboración propia.</w:t>
      </w:r>
    </w:p>
    <w:p>
      <w:pPr>
        <w:pStyle w:val="BodyText"/>
      </w:pPr>
      <w:r>
        <w:t xml:space="preserve">Dentro del grupo «Pico de diciembre» destaca</w:t>
      </w:r>
      <w:r>
        <w:t xml:space="preserve"> </w:t>
      </w:r>
      <w:r>
        <w:rPr>
          <w:rStyle w:val="VerbatimChar"/>
          <w:bCs/>
          <w:b/>
        </w:rPr>
        <w:t xml:space="preserve">SUPERMARKET_3_069</w:t>
      </w:r>
      <w:r>
        <w:t xml:space="preserve">, con una elevación en diciembre de</w:t>
      </w:r>
      <w:r>
        <w:t xml:space="preserve"> </w:t>
      </w:r>
      <w:r>
        <w:rPr>
          <w:bCs/>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09" name="Picture"/>
            <a:graphic>
              <a:graphicData uri="http://schemas.openxmlformats.org/drawingml/2006/picture">
                <pic:pic>
                  <pic:nvPicPr>
                    <pic:cNvPr descr="figuras/fig_7_7.png" id="110" name="Picture"/>
                    <pic:cNvPicPr>
                      <a:picLocks noChangeArrowheads="1" noChangeAspect="1"/>
                    </pic:cNvPicPr>
                  </pic:nvPicPr>
                  <pic:blipFill>
                    <a:blip r:embed="rId108"/>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Cs/>
          <w:b/>
        </w:rPr>
        <w:t xml:space="preserve">Figura 7.7.</w:t>
      </w:r>
      <w:r>
        <w:t xml:space="preserve"> </w:t>
      </w:r>
      <w:r>
        <w:t xml:space="preserve">Serie diaria de SUPERMARKET_3_069 con sus mejores días señalados.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111"/>
    <w:bookmarkStart w:id="115" w:name="X89eb7c528f5f5f2ec9f45676de4f884450bb7ac"/>
    <w:p>
      <w:pPr>
        <w:pStyle w:val="Heading3"/>
      </w:pPr>
      <w:r>
        <w:t xml:space="preserve">7.2.4. Las tiendas: comparación directa en lugar de agrupamiento</w:t>
      </w:r>
    </w:p>
    <w:p>
      <w:pPr>
        <w:pStyle w:val="FirstParagraph"/>
      </w:pPr>
      <w:r>
        <w:t xml:space="preserve">El encargo preguntaba también si tendría sentido agrupar las tiendas.</w:t>
      </w:r>
      <w:r>
        <w:t xml:space="preserve"> </w:t>
      </w:r>
      <w:r>
        <w:rPr>
          <w:bCs/>
          <w:b/>
        </w:rPr>
        <w:t xml:space="preserve">Con estos datos, no</w:t>
      </w:r>
      <w:r>
        <w:rPr>
          <w:bCs/>
          <w:b/>
        </w:rPr>
        <w:t xml:space="preserve"> </w:t>
      </w:r>
      <w:r>
        <w:rPr>
          <w:bCs/>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Cs/>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Cs/>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Cs/>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13" name="Picture"/>
            <a:graphic>
              <a:graphicData uri="http://schemas.openxmlformats.org/drawingml/2006/picture">
                <pic:pic>
                  <pic:nvPicPr>
                    <pic:cNvPr descr="figuras/fig_7_8.png" id="114" name="Picture"/>
                    <pic:cNvPicPr>
                      <a:picLocks noChangeArrowheads="1" noChangeAspect="1"/>
                    </pic:cNvPicPr>
                  </pic:nvPicPr>
                  <pic:blipFill>
                    <a:blip r:embed="rId112"/>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Cs/>
          <w:b/>
        </w:rPr>
        <w:t xml:space="preserve">Figura 7.8.</w:t>
      </w:r>
      <w:r>
        <w:t xml:space="preserve"> </w:t>
      </w:r>
      <w:r>
        <w:t xml:space="preserve">Perfil de cada tienda respecto a la media y matriz de parecido entre tiendas.</w:t>
      </w:r>
      <w:r>
        <w:t xml:space="preserve"> </w:t>
      </w:r>
      <w:r>
        <w:rPr>
          <w:iCs/>
          <w:i/>
        </w:rPr>
        <w:t xml:space="preserve">Fuente: elaboración propia.</w:t>
      </w:r>
    </w:p>
    <w:bookmarkEnd w:id="115"/>
    <w:bookmarkStart w:id="119" w:name="segmentación-operativa-abcxyz"/>
    <w:p>
      <w:pPr>
        <w:pStyle w:val="Heading3"/>
      </w:pPr>
      <w:r>
        <w:t xml:space="preserve">7.2.5. Segmentación operativa ABC/XYZ</w:t>
      </w:r>
    </w:p>
    <w:p>
      <w:pPr>
        <w:pStyle w:val="FirstParagraph"/>
      </w:pPr>
      <w:r>
        <w:t xml:space="preserve">Además de la segmentación por comportamiento, se construyó la clasificación</w:t>
      </w:r>
      <w:r>
        <w:t xml:space="preserve"> </w:t>
      </w:r>
      <w:r>
        <w:rPr>
          <w:bCs/>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Cs/>
          <w:b/>
        </w:rPr>
        <w:t xml:space="preserve">AX</w:t>
      </w:r>
      <w:r>
        <w:t xml:space="preserve"> </w:t>
      </w:r>
      <w:r>
        <w:t xml:space="preserve">—alta facturación, demanda estable— reúne alrededor del</w:t>
      </w:r>
      <w:r>
        <w:t xml:space="preserve"> </w:t>
      </w:r>
      <w:r>
        <w:rPr>
          <w:bCs/>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Cs/>
          <w:b/>
        </w:rPr>
        <w:t xml:space="preserve">CZ</w:t>
      </w:r>
      <w:r>
        <w:t xml:space="preserve"> </w:t>
      </w:r>
      <w:r>
        <w:t xml:space="preserve">representa cerca del</w:t>
      </w:r>
      <w:r>
        <w:t xml:space="preserve"> </w:t>
      </w:r>
      <w:r>
        <w:rPr>
          <w:bCs/>
          <w:b/>
        </w:rPr>
        <w:t xml:space="preserve">28 % del catálogo</w:t>
      </w:r>
      <w:r>
        <w:t xml:space="preserve"> </w:t>
      </w:r>
      <w:r>
        <w:t xml:space="preserve">por apenas el</w:t>
      </w:r>
      <w:r>
        <w:t xml:space="preserve"> </w:t>
      </w:r>
      <w:r>
        <w:rPr>
          <w:bCs/>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Cs/>
          <w:i/>
        </w:rPr>
        <w:t xml:space="preserve">cómo</w:t>
      </w:r>
      <w:r>
        <w:t xml:space="preserve"> </w:t>
      </w:r>
      <w:r>
        <w:t xml:space="preserve">se vende un producto (diario, fin de semana, Navidad, eventos), y la</w:t>
      </w:r>
      <w:r>
        <w:t xml:space="preserve"> </w:t>
      </w:r>
      <w:r>
        <w:t xml:space="preserve">clase XYZ dice</w:t>
      </w:r>
      <w:r>
        <w:t xml:space="preserve"> </w:t>
      </w:r>
      <w:r>
        <w:rPr>
          <w:iCs/>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17" name="Picture"/>
            <a:graphic>
              <a:graphicData uri="http://schemas.openxmlformats.org/drawingml/2006/picture">
                <pic:pic>
                  <pic:nvPicPr>
                    <pic:cNvPr descr="figuras/fig_7_9.png" id="118" name="Picture"/>
                    <pic:cNvPicPr>
                      <a:picLocks noChangeArrowheads="1" noChangeAspect="1"/>
                    </pic:cNvPicPr>
                  </pic:nvPicPr>
                  <pic:blipFill>
                    <a:blip r:embed="rId116"/>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Cs/>
          <w:b/>
        </w:rPr>
        <w:t xml:space="preserve">Figura 7.9.</w:t>
      </w:r>
      <w:r>
        <w:t xml:space="preserve"> </w:t>
      </w:r>
      <w:r>
        <w:t xml:space="preserve">Matriz ABC/XYZ de las series producto-tienda.</w:t>
      </w:r>
      <w:r>
        <w:t xml:space="preserve"> </w:t>
      </w:r>
      <w:r>
        <w:rPr>
          <w:iCs/>
          <w:i/>
        </w:rPr>
        <w:t xml:space="preserve">Fuente: elaboración propia a partir de</w:t>
      </w:r>
      <w:r>
        <w:rPr>
          <w:iCs/>
          <w:i/>
        </w:rPr>
        <w:t xml:space="preserve"> </w:t>
      </w:r>
      <w:r>
        <w:rPr>
          <w:rStyle w:val="VerbatimChar"/>
          <w:iCs/>
          <w:i/>
        </w:rPr>
        <w:t xml:space="preserve">dim_serie</w:t>
      </w:r>
      <w:r>
        <w:rPr>
          <w:iCs/>
          <w:i/>
        </w:rPr>
        <w:t xml:space="preserve">.</w:t>
      </w:r>
    </w:p>
    <w:bookmarkEnd w:id="119"/>
    <w:bookmarkStart w:id="120" w:name="Xb651ec15533c09830763e8767bbd252ab7f0aed"/>
    <w:p>
      <w:pPr>
        <w:pStyle w:val="Heading3"/>
      </w:pPr>
      <w:r>
        <w:t xml:space="preserve">7.2.6. Una hipótesis que no sobrevivió: la afinidad entre productos</w:t>
      </w:r>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Cs/>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Cs/>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Cs/>
          <w:b/>
        </w:rPr>
        <w:t xml:space="preserve">+0,041 a +0,001</w:t>
      </w:r>
      <w:r>
        <w:t xml:space="preserve">, y la</w:t>
      </w:r>
      <w:r>
        <w:t xml:space="preserve"> </w:t>
      </w:r>
      <w:r>
        <w:t xml:space="preserve">proporción de pares con correlación superior a 0,30 pasa del</w:t>
      </w:r>
      <w:r>
        <w:t xml:space="preserve"> </w:t>
      </w:r>
      <w:r>
        <w:rPr>
          <w:bCs/>
          <w:b/>
        </w:rPr>
        <w:t xml:space="preserve">5,17 % al 2,55 %</w:t>
      </w:r>
      <w:r>
        <w:t xml:space="preserve">. Buena parte de</w:t>
      </w:r>
      <w:r>
        <w:t xml:space="preserve"> </w:t>
      </w:r>
      <w:r>
        <w:t xml:space="preserve">la asociación aparente era, en efecto, calendario.</w:t>
      </w:r>
    </w:p>
    <w:p>
      <w:pPr>
        <w:pStyle w:val="BodyText"/>
      </w:pPr>
      <w:r>
        <w:rPr>
          <w:bCs/>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Cs/>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Cs/>
          <w:b/>
        </w:rPr>
        <w:t xml:space="preserve">1,27 %</w:t>
      </w:r>
      <w:r>
        <w:t xml:space="preserve"> </w:t>
      </w:r>
      <w:r>
        <w:t xml:space="preserve">supera ese umbral, frente al</w:t>
      </w:r>
      <w:r>
        <w:t xml:space="preserve"> </w:t>
      </w:r>
      <w:r>
        <w:t xml:space="preserve">1,00 % esperable por azar.</w:t>
      </w:r>
    </w:p>
    <w:p>
      <w:pPr>
        <w:pStyle w:val="BodyText"/>
      </w:pPr>
      <w:r>
        <w:rPr>
          <w:bCs/>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Cs/>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bookmarkEnd w:id="120"/>
    <w:bookmarkStart w:id="121" w:name="qué-abre-el-capítulo-siguiente-1"/>
    <w:p>
      <w:pPr>
        <w:pStyle w:val="Heading3"/>
      </w:pPr>
      <w:r>
        <w:t xml:space="preserve">7.2.7. Qué abre el capítulo siguiente</w:t>
      </w:r>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bookmarkEnd w:id="121"/>
    <w:bookmarkEnd w:id="122"/>
    <w:bookmarkStart w:id="157" w:name="cuánto-vamos-a-vender"/>
    <w:p>
      <w:pPr>
        <w:pStyle w:val="Heading2"/>
      </w:pPr>
      <w:r>
        <w:t xml:space="preserve">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bookmarkStart w:id="123" w:name="diseño-de-la-comparación"/>
    <w:p>
      <w:pPr>
        <w:pStyle w:val="Heading3"/>
      </w:pPr>
      <w:r>
        <w:t xml:space="preserve">7.3.1. Diseño de la comparación</w:t>
      </w:r>
    </w:p>
    <w:p>
      <w:pPr>
        <w:pStyle w:val="FirstParagraph"/>
      </w:pPr>
      <w:r>
        <w:t xml:space="preserve">Se compararon varias familias de modelos bajo el protocolo único descrito en §6.5: validación</w:t>
      </w:r>
      <w:r>
        <w:t xml:space="preserve"> </w:t>
      </w:r>
      <w:r>
        <w:rPr>
          <w:iCs/>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Cs/>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Cs/>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7"/>
        </w:numPr>
        <w:pStyle w:val="Compact"/>
      </w:pPr>
      <w:r>
        <w:rPr>
          <w:bCs/>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Cs/>
          <w:b/>
        </w:rPr>
        <w:t xml:space="preserve">globales</w:t>
      </w:r>
      <w:r>
        <w:t xml:space="preserve"> </w:t>
      </w:r>
      <w:r>
        <w:t xml:space="preserve">y</w:t>
      </w:r>
      <w:r>
        <w:t xml:space="preserve"> </w:t>
      </w:r>
      <w:r>
        <w:rPr>
          <w:bCs/>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bookmarkEnd w:id="123"/>
    <w:bookmarkStart w:id="124" w:name="el-resultado-incómodo"/>
    <w:p>
      <w:pPr>
        <w:pStyle w:val="Heading3"/>
      </w:pPr>
      <w:r>
        <w:t xml:space="preserve">7.3.2. El resultado incómodo</w:t>
      </w:r>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Cs/>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bookmarkEnd w:id="124"/>
    <w:bookmarkStart w:id="131" w:name="Xcbe6d525a62b1e18c11a4688a0e3f64f6595429"/>
    <w:p>
      <w:pPr>
        <w:pStyle w:val="Heading3"/>
      </w:pPr>
      <w:r>
        <w:t xml:space="preserve">7.3.3. La estrategia de horizonte, que es lo que cambia el resultado</w:t>
      </w:r>
    </w:p>
    <w:p>
      <w:pPr>
        <w:pStyle w:val="FirstParagraph"/>
      </w:pPr>
      <w:r>
        <w:t xml:space="preserve">Con la</w:t>
      </w:r>
      <w:r>
        <w:t xml:space="preserve"> </w:t>
      </w:r>
      <w:r>
        <w:rPr>
          <w:bCs/>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Modelo (media de los tres pliegues)</w:t>
            </w:r>
          </w:p>
        </w:tc>
        <w:tc>
          <w:tcPr/>
          <w:p>
            <w:pPr>
              <w:pStyle w:val="Compact"/>
              <w:jc w:val="left"/>
            </w:pPr>
            <w:r>
              <w:t xml:space="preserve">WRMSSE</w:t>
            </w:r>
          </w:p>
        </w:tc>
      </w:tr>
      <w:tr>
        <w:tc>
          <w:tcPr/>
          <w:p>
            <w:pPr>
              <w:pStyle w:val="Compact"/>
              <w:jc w:val="left"/>
            </w:pPr>
            <w:r>
              <w:rPr>
                <w:bCs/>
                <w:b/>
              </w:rPr>
              <w:t xml:space="preserve">LightGBM, bloques semanales</w:t>
            </w:r>
          </w:p>
        </w:tc>
        <w:tc>
          <w:tcPr/>
          <w:p>
            <w:pPr>
              <w:pStyle w:val="Compact"/>
              <w:jc w:val="left"/>
            </w:pPr>
            <w:r>
              <w:rPr>
                <w:bCs/>
                <w:b/>
              </w:rPr>
              <w:t xml:space="preserve">1,0407</w:t>
            </w:r>
          </w:p>
        </w:tc>
      </w:tr>
      <w:tr>
        <w:tc>
          <w:tcPr/>
          <w:p>
            <w:pPr>
              <w:pStyle w:val="Compact"/>
              <w:jc w:val="left"/>
            </w:pPr>
            <w:r>
              <w:t xml:space="preserve">XGBoost, bloques semanales</w:t>
            </w:r>
          </w:p>
        </w:tc>
        <w:tc>
          <w:tcPr/>
          <w:p>
            <w:pPr>
              <w:pStyle w:val="Compact"/>
              <w:jc w:val="left"/>
            </w:pPr>
            <w:r>
              <w:t xml:space="preserve">1,0430</w:t>
            </w:r>
          </w:p>
        </w:tc>
      </w:tr>
      <w:tr>
        <w:tc>
          <w:tcPr/>
          <w:p>
            <w:pPr>
              <w:pStyle w:val="Compact"/>
              <w:jc w:val="left"/>
            </w:pPr>
            <w:r>
              <w:t xml:space="preserve">LightGBM, modelo único</w:t>
            </w:r>
          </w:p>
        </w:tc>
        <w:tc>
          <w:tcPr/>
          <w:p>
            <w:pPr>
              <w:pStyle w:val="Compact"/>
              <w:jc w:val="left"/>
            </w:pPr>
            <w:r>
              <w:t xml:space="preserve">1,0626</w:t>
            </w:r>
          </w:p>
        </w:tc>
      </w:tr>
      <w:tr>
        <w:tc>
          <w:tcPr/>
          <w:p>
            <w:pPr>
              <w:pStyle w:val="Compact"/>
              <w:jc w:val="left"/>
            </w:pPr>
            <w:r>
              <w:t xml:space="preserve">XGBoost, modelo único</w:t>
            </w:r>
          </w:p>
        </w:tc>
        <w:tc>
          <w:tcPr/>
          <w:p>
            <w:pPr>
              <w:pStyle w:val="Compact"/>
              <w:jc w:val="left"/>
            </w:pPr>
            <w:r>
              <w:t xml:space="preserve">1,0631</w:t>
            </w:r>
          </w:p>
        </w:tc>
      </w:tr>
      <w:tr>
        <w:tc>
          <w:tcPr/>
          <w:p>
            <w:pPr>
              <w:pStyle w:val="Compact"/>
              <w:jc w:val="left"/>
            </w:pPr>
            <w:r>
              <w:t xml:space="preserve">Media móvil de 28 días</w:t>
            </w:r>
          </w:p>
        </w:tc>
        <w:tc>
          <w:tcPr/>
          <w:p>
            <w:pPr>
              <w:pStyle w:val="Compact"/>
              <w:jc w:val="left"/>
            </w:pPr>
            <w:r>
              <w:t xml:space="preserve">1,0657</w:t>
            </w:r>
          </w:p>
        </w:tc>
      </w:tr>
      <w:tr>
        <w:tc>
          <w:tcPr/>
          <w:p>
            <w:pPr>
              <w:pStyle w:val="Compact"/>
              <w:jc w:val="left"/>
            </w:pPr>
            <w:r>
              <w:t xml:space="preserve">Media por día de la semana</w:t>
            </w:r>
          </w:p>
        </w:tc>
        <w:tc>
          <w:tcPr/>
          <w:p>
            <w:pPr>
              <w:pStyle w:val="Compact"/>
              <w:jc w:val="left"/>
            </w:pPr>
            <w:r>
              <w:t xml:space="preserve">1,0855</w:t>
            </w:r>
          </w:p>
        </w:tc>
      </w:tr>
      <w:tr>
        <w:tc>
          <w:tcPr/>
          <w:p>
            <w:pPr>
              <w:pStyle w:val="Compact"/>
              <w:jc w:val="left"/>
            </w:pPr>
            <w:r>
              <w:t xml:space="preserve">Naive estacional</w:t>
            </w:r>
          </w:p>
        </w:tc>
        <w:tc>
          <w:tcPr/>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26" name="Picture"/>
            <a:graphic>
              <a:graphicData uri="http://schemas.openxmlformats.org/drawingml/2006/picture">
                <pic:pic>
                  <pic:nvPicPr>
                    <pic:cNvPr descr="figuras/fig_7_10.png" id="127" name="Picture"/>
                    <pic:cNvPicPr>
                      <a:picLocks noChangeArrowheads="1" noChangeAspect="1"/>
                    </pic:cNvPicPr>
                  </pic:nvPicPr>
                  <pic:blipFill>
                    <a:blip r:embed="rId125"/>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Cs/>
          <w:b/>
        </w:rPr>
        <w:t xml:space="preserve">Figura 7.10.</w:t>
      </w:r>
      <w:r>
        <w:t xml:space="preserve"> </w:t>
      </w:r>
      <w:r>
        <w:t xml:space="preserve">Estrategia de predicción por bloques semanales.</w:t>
      </w:r>
      <w:r>
        <w:t xml:space="preserve"> </w:t>
      </w:r>
      <w:r>
        <w:rPr>
          <w:iCs/>
          <w:i/>
        </w:rPr>
        <w:t xml:space="preserve">Fuente: elaboración propia.</w:t>
      </w:r>
    </w:p>
    <w:p>
      <w:pPr>
        <w:pStyle w:val="BodyText"/>
      </w:pPr>
      <w:r>
        <w:t xml:space="preserve">El hallazgo metodológico es la magnitud relativa de los dos efectos:</w:t>
      </w:r>
      <w:r>
        <w:t xml:space="preserve"> </w:t>
      </w:r>
      <w:r>
        <w:rPr>
          <w:bCs/>
          <w:b/>
        </w:rPr>
        <w:t xml:space="preserve">la organización del horizonte</w:t>
      </w:r>
      <w:r>
        <w:rPr>
          <w:bCs/>
          <w:b/>
        </w:rPr>
        <w:t xml:space="preserve"> </w:t>
      </w:r>
      <w:r>
        <w:rPr>
          <w:bCs/>
          <w:b/>
        </w:rPr>
        <w:t xml:space="preserve">mejora un 2 % el mismo algoritmo (de 1,0626 a 1,0407), mientras que la diferencia entre LightGBM y</w:t>
      </w:r>
      <w:r>
        <w:rPr>
          <w:bCs/>
          <w:b/>
        </w:rPr>
        <w:t xml:space="preserve"> </w:t>
      </w:r>
      <w:r>
        <w:rPr>
          <w:bCs/>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29" name="Picture"/>
            <a:graphic>
              <a:graphicData uri="http://schemas.openxmlformats.org/drawingml/2006/picture">
                <pic:pic>
                  <pic:nvPicPr>
                    <pic:cNvPr descr="figuras/fig_7_11.png" id="130" name="Picture"/>
                    <pic:cNvPicPr>
                      <a:picLocks noChangeArrowheads="1" noChangeAspect="1"/>
                    </pic:cNvPicPr>
                  </pic:nvPicPr>
                  <pic:blipFill>
                    <a:blip r:embed="rId128"/>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Cs/>
          <w:b/>
        </w:rPr>
        <w:t xml:space="preserve">Figura 7.11.</w:t>
      </w:r>
      <w:r>
        <w:t xml:space="preserve"> </w:t>
      </w:r>
      <w:r>
        <w:t xml:space="preserve">Error (WRMSSE) de los modelos comparados: media de los tres pliegues y evolución por ventana de validación.</w:t>
      </w:r>
      <w:r>
        <w:t xml:space="preserve"> </w:t>
      </w:r>
      <w:r>
        <w:rPr>
          <w:iCs/>
          <w:i/>
        </w:rPr>
        <w:t xml:space="preserve">Fuente: elaboración propia.</w:t>
      </w:r>
    </w:p>
    <w:bookmarkEnd w:id="131"/>
    <w:bookmarkStart w:id="135" w:name="Xb1c058a5ca97dfb048e977efcf634615a98e718"/>
    <w:p>
      <w:pPr>
        <w:pStyle w:val="Heading3"/>
      </w:pPr>
      <w:r>
        <w:t xml:space="preserve">7.3.4. Qué mira el modelo y cuánta complejidad hace falta</w:t>
      </w:r>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Cs/>
          <w:b/>
        </w:rPr>
        <w:t xml:space="preserve">58,2 %</w:t>
      </w:r>
      <w:r>
        <w:t xml:space="preserve"> </w:t>
      </w:r>
      <w:r>
        <w:t xml:space="preserve">de la importancia total, y las cuatro medias</w:t>
      </w:r>
      <w:r>
        <w:t xml:space="preserve"> </w:t>
      </w:r>
      <w:r>
        <w:t xml:space="preserve">móviles juntas (7, 28, 91 y 364 días) el</w:t>
      </w:r>
      <w:r>
        <w:t xml:space="preserve"> </w:t>
      </w:r>
      <w:r>
        <w:rPr>
          <w:bCs/>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Cs/>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33" name="Picture"/>
            <a:graphic>
              <a:graphicData uri="http://schemas.openxmlformats.org/drawingml/2006/picture">
                <pic:pic>
                  <pic:nvPicPr>
                    <pic:cNvPr descr="figuras/fig_7_12.png" id="134" name="Picture"/>
                    <pic:cNvPicPr>
                      <a:picLocks noChangeArrowheads="1" noChangeAspect="1"/>
                    </pic:cNvPicPr>
                  </pic:nvPicPr>
                  <pic:blipFill>
                    <a:blip r:embed="rId13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Cs/>
          <w:b/>
        </w:rPr>
        <w:t xml:space="preserve">Figura 7.12.</w:t>
      </w:r>
      <w:r>
        <w:t xml:space="preserve"> </w:t>
      </w:r>
      <w:r>
        <w:t xml:space="preserve">Importancia de las variables del modelo de bloques semanales (media de los tres pliegues).</w:t>
      </w:r>
      <w:r>
        <w:t xml:space="preserve"> </w:t>
      </w:r>
      <w:r>
        <w:rPr>
          <w:iCs/>
          <w:i/>
        </w:rPr>
        <w:t xml:space="preserve">Fuente: elaboración propia.</w:t>
      </w:r>
    </w:p>
    <w:p>
      <w:pPr>
        <w:pStyle w:val="BodyText"/>
      </w:pPr>
      <w:r>
        <w:t xml:space="preserve">Esa lectura se contrastó con una</w:t>
      </w:r>
      <w:r>
        <w:t xml:space="preserve"> </w:t>
      </w:r>
      <w:r>
        <w:rPr>
          <w:bCs/>
          <w:b/>
        </w:rPr>
        <w:t xml:space="preserve">escalera de complejidad</w:t>
      </w:r>
      <w:r>
        <w:t xml:space="preserve">, de menor a mayor, evaluada en las tres</w:t>
      </w:r>
      <w:r>
        <w:t xml:space="preserve"> </w:t>
      </w:r>
      <w:r>
        <w:t xml:space="preserve">ventanas: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WRMSSE</w:t>
            </w:r>
          </w:p>
        </w:tc>
        <w:tc>
          <w:tcPr/>
          <w:p>
            <w:pPr>
              <w:pStyle w:val="Compact"/>
              <w:jc w:val="left"/>
            </w:pPr>
            <w:r>
              <w:t xml:space="preserve">Feb 2016</w:t>
            </w:r>
          </w:p>
        </w:tc>
        <w:tc>
          <w:tcPr/>
          <w:p>
            <w:pPr>
              <w:pStyle w:val="Compact"/>
              <w:jc w:val="left"/>
            </w:pPr>
            <w:r>
              <w:t xml:space="preserve">Mar 2016</w:t>
            </w:r>
          </w:p>
        </w:tc>
        <w:tc>
          <w:tcPr/>
          <w:p>
            <w:pPr>
              <w:pStyle w:val="Compact"/>
              <w:jc w:val="left"/>
            </w:pPr>
            <w:r>
              <w:t xml:space="preserve">Abr 2016</w:t>
            </w:r>
          </w:p>
        </w:tc>
        <w:tc>
          <w:tcPr/>
          <w:p>
            <w:pPr>
              <w:pStyle w:val="Compact"/>
              <w:jc w:val="left"/>
            </w:pPr>
            <w:r>
              <w:t xml:space="preserve">Media</w:t>
            </w:r>
          </w:p>
        </w:tc>
      </w:tr>
      <w:tr>
        <w:tc>
          <w:tcPr/>
          <w:p>
            <w:pPr>
              <w:pStyle w:val="Compact"/>
              <w:jc w:val="left"/>
            </w:pPr>
            <w:r>
              <w:t xml:space="preserve">Media móvil de 28 días</w:t>
            </w:r>
          </w:p>
        </w:tc>
        <w:tc>
          <w:tcPr/>
          <w:p>
            <w:pPr>
              <w:pStyle w:val="Compact"/>
              <w:jc w:val="left"/>
            </w:pPr>
            <w:r>
              <w:t xml:space="preserve">1,0909</w:t>
            </w:r>
          </w:p>
        </w:tc>
        <w:tc>
          <w:tcPr/>
          <w:p>
            <w:pPr>
              <w:pStyle w:val="Compact"/>
              <w:jc w:val="left"/>
            </w:pPr>
            <w:r>
              <w:t xml:space="preserve">1,0660</w:t>
            </w:r>
          </w:p>
        </w:tc>
        <w:tc>
          <w:tcPr/>
          <w:p>
            <w:pPr>
              <w:pStyle w:val="Compact"/>
              <w:jc w:val="left"/>
            </w:pPr>
            <w:r>
              <w:t xml:space="preserve">1,0402</w:t>
            </w:r>
          </w:p>
        </w:tc>
        <w:tc>
          <w:tcPr/>
          <w:p>
            <w:pPr>
              <w:pStyle w:val="Compact"/>
              <w:jc w:val="left"/>
            </w:pPr>
            <w:r>
              <w:t xml:space="preserve">1,0657</w:t>
            </w:r>
          </w:p>
        </w:tc>
      </w:tr>
      <w:tr>
        <w:tc>
          <w:tcPr/>
          <w:p>
            <w:pPr>
              <w:pStyle w:val="Compact"/>
              <w:jc w:val="left"/>
            </w:pPr>
            <w:r>
              <w:t xml:space="preserve">Media móvil × día de la semana</w:t>
            </w:r>
          </w:p>
        </w:tc>
        <w:tc>
          <w:tcPr/>
          <w:p>
            <w:pPr>
              <w:pStyle w:val="Compact"/>
              <w:jc w:val="left"/>
            </w:pPr>
            <w:r>
              <w:t xml:space="preserve">1,0768</w:t>
            </w:r>
          </w:p>
        </w:tc>
        <w:tc>
          <w:tcPr/>
          <w:p>
            <w:pPr>
              <w:pStyle w:val="Compact"/>
              <w:jc w:val="left"/>
            </w:pPr>
            <w:r>
              <w:t xml:space="preserve">1,0518</w:t>
            </w:r>
          </w:p>
        </w:tc>
        <w:tc>
          <w:tcPr/>
          <w:p>
            <w:pPr>
              <w:pStyle w:val="Compact"/>
              <w:jc w:val="left"/>
            </w:pPr>
            <w:r>
              <w:t xml:space="preserve">1,0185</w:t>
            </w:r>
          </w:p>
        </w:tc>
        <w:tc>
          <w:tcPr/>
          <w:p>
            <w:pPr>
              <w:pStyle w:val="Compact"/>
              <w:jc w:val="left"/>
            </w:pPr>
            <w:r>
              <w:t xml:space="preserve">1,0490</w:t>
            </w:r>
          </w:p>
        </w:tc>
      </w:tr>
      <w:tr>
        <w:tc>
          <w:tcPr/>
          <w:p>
            <w:pPr>
              <w:pStyle w:val="Compact"/>
              <w:jc w:val="left"/>
            </w:pPr>
            <w:r>
              <w:t xml:space="preserve">LightGBM pequeño (8 variables, 15 hojas)</w:t>
            </w:r>
          </w:p>
        </w:tc>
        <w:tc>
          <w:tcPr/>
          <w:p>
            <w:pPr>
              <w:pStyle w:val="Compact"/>
              <w:jc w:val="left"/>
            </w:pPr>
            <w:r>
              <w:t xml:space="preserve">1,0827</w:t>
            </w:r>
          </w:p>
        </w:tc>
        <w:tc>
          <w:tcPr/>
          <w:p>
            <w:pPr>
              <w:pStyle w:val="Compact"/>
              <w:jc w:val="left"/>
            </w:pPr>
            <w:r>
              <w:t xml:space="preserve">1,0380</w:t>
            </w:r>
          </w:p>
        </w:tc>
        <w:tc>
          <w:tcPr/>
          <w:p>
            <w:pPr>
              <w:pStyle w:val="Compact"/>
              <w:jc w:val="left"/>
            </w:pPr>
            <w:r>
              <w:t xml:space="preserve">1,0095</w:t>
            </w:r>
          </w:p>
        </w:tc>
        <w:tc>
          <w:tcPr/>
          <w:p>
            <w:pPr>
              <w:pStyle w:val="Compact"/>
              <w:jc w:val="left"/>
            </w:pPr>
            <w:r>
              <w:t xml:space="preserve">1,0434</w:t>
            </w:r>
          </w:p>
        </w:tc>
      </w:tr>
      <w:tr>
        <w:tc>
          <w:tcPr/>
          <w:p>
            <w:pPr>
              <w:pStyle w:val="Compact"/>
              <w:jc w:val="left"/>
            </w:pPr>
            <w:r>
              <w:t xml:space="preserve">LightGBM completo (180 días)</w:t>
            </w:r>
          </w:p>
        </w:tc>
        <w:tc>
          <w:tcPr/>
          <w:p>
            <w:pPr>
              <w:pStyle w:val="Compact"/>
              <w:jc w:val="left"/>
            </w:pPr>
            <w:r>
              <w:t xml:space="preserve">1,0776</w:t>
            </w:r>
          </w:p>
        </w:tc>
        <w:tc>
          <w:tcPr/>
          <w:p>
            <w:pPr>
              <w:pStyle w:val="Compact"/>
              <w:jc w:val="left"/>
            </w:pPr>
            <w:r>
              <w:t xml:space="preserve">1,0415</w:t>
            </w:r>
          </w:p>
        </w:tc>
        <w:tc>
          <w:tcPr/>
          <w:p>
            <w:pPr>
              <w:pStyle w:val="Compact"/>
              <w:jc w:val="left"/>
            </w:pPr>
            <w:r>
              <w:t xml:space="preserve">1,0029</w:t>
            </w:r>
          </w:p>
        </w:tc>
        <w:tc>
          <w:tcPr/>
          <w:p>
            <w:pPr>
              <w:pStyle w:val="Compact"/>
              <w:jc w:val="left"/>
            </w:pPr>
            <w:r>
              <w:t xml:space="preserve">1,0407</w:t>
            </w:r>
          </w:p>
        </w:tc>
      </w:tr>
      <w:tr>
        <w:tc>
          <w:tcPr/>
          <w:p>
            <w:pPr>
              <w:pStyle w:val="Compact"/>
              <w:jc w:val="left"/>
            </w:pPr>
            <w:r>
              <w:t xml:space="preserve">Modelo final (400 días + eventos)</w:t>
            </w:r>
          </w:p>
        </w:tc>
        <w:tc>
          <w:tcPr/>
          <w:p>
            <w:pPr>
              <w:pStyle w:val="Compact"/>
              <w:jc w:val="left"/>
            </w:pPr>
            <w:r>
              <w:t xml:space="preserve">—</w:t>
            </w:r>
          </w:p>
        </w:tc>
        <w:tc>
          <w:tcPr/>
          <w:p>
            <w:pPr>
              <w:pStyle w:val="Compact"/>
              <w:jc w:val="left"/>
            </w:pPr>
            <w:r>
              <w:t xml:space="preserve">—</w:t>
            </w:r>
          </w:p>
        </w:tc>
        <w:tc>
          <w:tcPr/>
          <w:p>
            <w:pPr>
              <w:pStyle w:val="Compact"/>
              <w:jc w:val="left"/>
            </w:pPr>
            <w:r>
              <w:t xml:space="preserve">0,9994</w:t>
            </w:r>
          </w:p>
        </w:tc>
        <w:tc>
          <w:tcPr/>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Cs/>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bookmarkEnd w:id="135"/>
    <w:bookmarkStart w:id="139" w:name="dónde-falla-la-temporada-alta"/>
    <w:p>
      <w:pPr>
        <w:pStyle w:val="Heading3"/>
      </w:pPr>
      <w:r>
        <w:t xml:space="preserve">7.3.5. Dónde falla: la temporada alta</w:t>
      </w:r>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Cs/>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Cs/>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Cs/>
          <w:b/>
        </w:rPr>
        <w:t xml:space="preserve">no</w:t>
      </w:r>
      <w:r>
        <w:rPr>
          <w:bCs/>
          <w:b/>
        </w:rPr>
        <w:t xml:space="preserve"> </w:t>
      </w:r>
      <w:r>
        <w:rPr>
          <w:bCs/>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Cs/>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8"/>
        </w:numPr>
        <w:pStyle w:val="Compact"/>
      </w:pPr>
      <w:r>
        <w:rPr>
          <w:bCs/>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WRMSSE</w:t>
            </w:r>
          </w:p>
        </w:tc>
        <w:tc>
          <w:tcPr/>
          <w:p>
            <w:pPr>
              <w:pStyle w:val="Compact"/>
              <w:jc w:val="left"/>
            </w:pPr>
            <w:r>
              <w:t xml:space="preserve">180 días</w:t>
            </w:r>
          </w:p>
        </w:tc>
        <w:tc>
          <w:tcPr/>
          <w:p>
            <w:pPr>
              <w:pStyle w:val="Compact"/>
              <w:jc w:val="left"/>
            </w:pPr>
            <w:r>
              <w:t xml:space="preserve">400 días</w:t>
            </w:r>
          </w:p>
        </w:tc>
        <w:tc>
          <w:tcPr/>
          <w:p>
            <w:pPr>
              <w:pStyle w:val="Compact"/>
              <w:jc w:val="left"/>
            </w:pPr>
            <w:r>
              <w:t xml:space="preserve">400 días + eventos semanales</w:t>
            </w:r>
          </w:p>
        </w:tc>
      </w:tr>
      <w:tr>
        <w:tc>
          <w:tcPr/>
          <w:p>
            <w:pPr>
              <w:pStyle w:val="Compact"/>
              <w:jc w:val="left"/>
            </w:pPr>
            <w:r>
              <w:t xml:space="preserve">Noviembre 2015</w:t>
            </w:r>
          </w:p>
        </w:tc>
        <w:tc>
          <w:tcPr/>
          <w:p>
            <w:pPr>
              <w:pStyle w:val="Compact"/>
              <w:jc w:val="left"/>
            </w:pPr>
            <w:r>
              <w:t xml:space="preserve">1,0520</w:t>
            </w:r>
          </w:p>
        </w:tc>
        <w:tc>
          <w:tcPr/>
          <w:p>
            <w:pPr>
              <w:pStyle w:val="Compact"/>
              <w:jc w:val="left"/>
            </w:pPr>
            <w:r>
              <w:rPr>
                <w:bCs/>
                <w:b/>
              </w:rPr>
              <w:t xml:space="preserve">1,0177</w:t>
            </w:r>
          </w:p>
        </w:tc>
        <w:tc>
          <w:tcPr/>
          <w:p>
            <w:pPr>
              <w:pStyle w:val="Compact"/>
              <w:jc w:val="left"/>
            </w:pPr>
            <w:r>
              <w:rPr>
                <w:bCs/>
                <w:b/>
              </w:rPr>
              <w:t xml:space="preserve">1,0177</w:t>
            </w:r>
          </w:p>
        </w:tc>
      </w:tr>
      <w:tr>
        <w:tc>
          <w:tcPr/>
          <w:p>
            <w:pPr>
              <w:pStyle w:val="Compact"/>
              <w:jc w:val="left"/>
            </w:pPr>
            <w:r>
              <w:t xml:space="preserve">Diciembre 2015</w:t>
            </w:r>
          </w:p>
        </w:tc>
        <w:tc>
          <w:tcPr/>
          <w:p>
            <w:pPr>
              <w:pStyle w:val="Compact"/>
              <w:jc w:val="left"/>
            </w:pPr>
            <w:r>
              <w:t xml:space="preserve">1,1119</w:t>
            </w:r>
          </w:p>
        </w:tc>
        <w:tc>
          <w:tcPr/>
          <w:p>
            <w:pPr>
              <w:pStyle w:val="Compact"/>
              <w:jc w:val="left"/>
            </w:pPr>
            <w:r>
              <w:t xml:space="preserve">1,0497</w:t>
            </w:r>
          </w:p>
        </w:tc>
        <w:tc>
          <w:tcPr/>
          <w:p>
            <w:pPr>
              <w:pStyle w:val="Compact"/>
              <w:jc w:val="left"/>
            </w:pPr>
            <w:r>
              <w:rPr>
                <w:bCs/>
                <w:b/>
              </w:rPr>
              <w:t xml:space="preserve">1,0484</w:t>
            </w:r>
          </w:p>
        </w:tc>
      </w:tr>
      <w:tr>
        <w:tc>
          <w:tcPr/>
          <w:p>
            <w:pPr>
              <w:pStyle w:val="Compact"/>
              <w:jc w:val="left"/>
            </w:pPr>
            <w:r>
              <w:t xml:space="preserve">Media febrero-abril 2016</w:t>
            </w:r>
          </w:p>
        </w:tc>
        <w:tc>
          <w:tcPr/>
          <w:p>
            <w:pPr>
              <w:pStyle w:val="Compact"/>
              <w:jc w:val="left"/>
            </w:pPr>
            <w:r>
              <w:t xml:space="preserve">1,0407</w:t>
            </w:r>
          </w:p>
        </w:tc>
        <w:tc>
          <w:tcPr/>
          <w:p>
            <w:pPr>
              <w:pStyle w:val="Compact"/>
              <w:jc w:val="left"/>
            </w:pPr>
            <w:r>
              <w:t xml:space="preserve">1,0382</w:t>
            </w:r>
          </w:p>
        </w:tc>
        <w:tc>
          <w:tcPr/>
          <w:p>
            <w:pPr>
              <w:pStyle w:val="Compact"/>
              <w:jc w:val="left"/>
            </w:pPr>
            <w:r>
              <w:rPr>
                <w:bCs/>
                <w:b/>
              </w:rPr>
              <w:t xml:space="preserve">1,0378</w:t>
            </w:r>
          </w:p>
        </w:tc>
      </w:tr>
    </w:tbl>
    <w:p>
      <w:pPr>
        <w:pStyle w:val="BodyText"/>
      </w:pPr>
      <w:r>
        <w:t xml:space="preserve">Diciembre mejora un</w:t>
      </w:r>
      <w:r>
        <w:t xml:space="preserve"> </w:t>
      </w:r>
      <w:r>
        <w:rPr>
          <w:bCs/>
          <w:b/>
        </w:rPr>
        <w:t xml:space="preserve">5,7 %</w:t>
      </w:r>
      <w:r>
        <w:t xml:space="preserve"> </w:t>
      </w:r>
      <w:r>
        <w:t xml:space="preserve">y noviembre un</w:t>
      </w:r>
      <w:r>
        <w:t xml:space="preserve"> </w:t>
      </w:r>
      <w:r>
        <w:rPr>
          <w:bCs/>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Cs/>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37" name="Picture"/>
            <a:graphic>
              <a:graphicData uri="http://schemas.openxmlformats.org/drawingml/2006/picture">
                <pic:pic>
                  <pic:nvPicPr>
                    <pic:cNvPr descr="figuras/fig_7_13.png" id="138" name="Picture"/>
                    <pic:cNvPicPr>
                      <a:picLocks noChangeArrowheads="1" noChangeAspect="1"/>
                    </pic:cNvPicPr>
                  </pic:nvPicPr>
                  <pic:blipFill>
                    <a:blip r:embed="rId136"/>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Cs/>
          <w:b/>
        </w:rPr>
        <w:t xml:space="preserve">Figura 7.13.</w:t>
      </w:r>
      <w:r>
        <w:t xml:space="preserve"> </w:t>
      </w:r>
      <w:r>
        <w:t xml:space="preserve">Demanda total diaria real y predicha en diciembre de 2015, con 180 y con 400 días de historia.</w:t>
      </w:r>
      <w:r>
        <w:t xml:space="preserve"> </w:t>
      </w:r>
      <w:r>
        <w:rPr>
          <w:iCs/>
          <w:i/>
        </w:rPr>
        <w:t xml:space="preserve">Fuente: elaboración propia.</w:t>
      </w:r>
    </w:p>
    <w:bookmarkEnd w:id="139"/>
    <w:bookmarkStart w:id="143" w:name="intervalos-de-predicción"/>
    <w:p>
      <w:pPr>
        <w:pStyle w:val="Heading3"/>
      </w:pPr>
      <w:r>
        <w:t xml:space="preserve">7.3.6. Intervalos de predicción</w:t>
      </w:r>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Cs/>
          <w:b/>
        </w:rPr>
        <w:t xml:space="preserve">regresión</w:t>
      </w:r>
      <w:r>
        <w:rPr>
          <w:bCs/>
          <w:b/>
        </w:rPr>
        <w:t xml:space="preserve"> </w:t>
      </w:r>
      <w:r>
        <w:rPr>
          <w:bCs/>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Cs/>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Cs/>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Cs/>
          <w:b/>
        </w:rPr>
        <w:t xml:space="preserve">predicción</w:t>
      </w:r>
      <w:r>
        <w:rPr>
          <w:bCs/>
          <w:b/>
        </w:rPr>
        <w:t xml:space="preserve"> </w:t>
      </w:r>
      <w:r>
        <w:rPr>
          <w:bCs/>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Cs/>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Cs/>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Cs/>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41" name="Picture"/>
            <a:graphic>
              <a:graphicData uri="http://schemas.openxmlformats.org/drawingml/2006/picture">
                <pic:pic>
                  <pic:nvPicPr>
                    <pic:cNvPr descr="figuras/fig_7_14.png" id="142" name="Picture"/>
                    <pic:cNvPicPr>
                      <a:picLocks noChangeArrowheads="1" noChangeAspect="1"/>
                    </pic:cNvPicPr>
                  </pic:nvPicPr>
                  <pic:blipFill>
                    <a:blip r:embed="rId140"/>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Cs/>
          <w:b/>
        </w:rPr>
        <w:t xml:space="preserve">Figura 7.14.</w:t>
      </w:r>
      <w:r>
        <w:t xml:space="preserve"> </w:t>
      </w:r>
      <w:r>
        <w:t xml:space="preserve">Cobertura empírica del intervalo frente al nivel nominal.</w:t>
      </w:r>
      <w:r>
        <w:t xml:space="preserve"> </w:t>
      </w:r>
      <w:r>
        <w:rPr>
          <w:iCs/>
          <w:i/>
        </w:rPr>
        <w:t xml:space="preserve">Fuente: elaboración propia.</w:t>
      </w:r>
    </w:p>
    <w:bookmarkEnd w:id="143"/>
    <w:bookmarkStart w:id="144" w:name="calibración-del-sesgo"/>
    <w:p>
      <w:pPr>
        <w:pStyle w:val="Heading3"/>
      </w:pPr>
      <w:r>
        <w:t xml:space="preserve">7.3.7. Calibración del sesgo</w:t>
      </w:r>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Cs/>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Cs/>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bookmarkEnd w:id="144"/>
    <w:bookmarkStart w:id="148" w:name="X177e41c5f1617fe4d87f121c23ece4232e0d7a9"/>
    <w:p>
      <w:pPr>
        <w:pStyle w:val="Heading3"/>
      </w:pPr>
      <w:r>
        <w:t xml:space="preserve">7.3.8. La respuesta a la pregunta del director financiero</w:t>
      </w:r>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Cs/>
          <w:b/>
        </w:rPr>
        <w:t xml:space="preserve">ascendente</w:t>
      </w:r>
      <w:r>
        <w:t xml:space="preserve"> </w:t>
      </w:r>
      <w:r>
        <w:t xml:space="preserve">(</w:t>
      </w:r>
      <w:r>
        <w:rPr>
          <w:iCs/>
          <w:i/>
        </w:rPr>
        <w:t xml:space="preserve">bottom-up</w:t>
      </w:r>
      <w:r>
        <w:t xml:space="preserve">: suma de las</w:t>
      </w:r>
      <w:r>
        <w:t xml:space="preserve"> </w:t>
      </w:r>
      <w:r>
        <w:t xml:space="preserve">predicciones de LightGBM por bloques) con el modelado</w:t>
      </w:r>
      <w:r>
        <w:t xml:space="preserve"> </w:t>
      </w:r>
      <w:r>
        <w:rPr>
          <w:bCs/>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Nivel</w:t>
            </w:r>
          </w:p>
        </w:tc>
        <w:tc>
          <w:tcPr/>
          <w:p>
            <w:pPr>
              <w:pStyle w:val="Compact"/>
              <w:jc w:val="left"/>
            </w:pPr>
            <w:r>
              <w:t xml:space="preserve">Ascendente</w:t>
            </w:r>
          </w:p>
        </w:tc>
        <w:tc>
          <w:tcPr/>
          <w:p>
            <w:pPr>
              <w:pStyle w:val="Compact"/>
              <w:jc w:val="left"/>
            </w:pPr>
            <w:r>
              <w:t xml:space="preserve">Prophet</w:t>
            </w:r>
          </w:p>
        </w:tc>
        <w:tc>
          <w:tcPr/>
          <w:p>
            <w:pPr>
              <w:pStyle w:val="Compact"/>
              <w:jc w:val="left"/>
            </w:pPr>
            <w:r>
              <w:t xml:space="preserve">SARIMA</w:t>
            </w:r>
          </w:p>
        </w:tc>
        <w:tc>
          <w:tcPr/>
          <w:p>
            <w:pPr>
              <w:pStyle w:val="Compact"/>
              <w:jc w:val="left"/>
            </w:pPr>
            <w:r>
              <w:t xml:space="preserve">Media móvil</w:t>
            </w:r>
          </w:p>
        </w:tc>
      </w:tr>
      <w:tr>
        <w:tc>
          <w:tcPr/>
          <w:p>
            <w:pPr>
              <w:pStyle w:val="Compact"/>
              <w:jc w:val="left"/>
            </w:pPr>
            <w:r>
              <w:t xml:space="preserve">Total compañía</w:t>
            </w:r>
          </w:p>
        </w:tc>
        <w:tc>
          <w:tcPr/>
          <w:p>
            <w:pPr>
              <w:pStyle w:val="Compact"/>
              <w:jc w:val="left"/>
            </w:pPr>
            <w:r>
              <w:rPr>
                <w:bCs/>
                <w:b/>
              </w:rPr>
              <w:t xml:space="preserve">5,48 %</w:t>
            </w:r>
          </w:p>
        </w:tc>
        <w:tc>
          <w:tcPr/>
          <w:p>
            <w:pPr>
              <w:pStyle w:val="Compact"/>
              <w:jc w:val="left"/>
            </w:pPr>
            <w:r>
              <w:t xml:space="preserve">5,80 %</w:t>
            </w:r>
          </w:p>
        </w:tc>
        <w:tc>
          <w:tcPr/>
          <w:p>
            <w:pPr>
              <w:pStyle w:val="Compact"/>
              <w:jc w:val="left"/>
            </w:pPr>
            <w:r>
              <w:t xml:space="preserve">6,50 %</w:t>
            </w:r>
          </w:p>
        </w:tc>
        <w:tc>
          <w:tcPr/>
          <w:p>
            <w:pPr>
              <w:pStyle w:val="Compact"/>
              <w:jc w:val="left"/>
            </w:pPr>
            <w:r>
              <w:t xml:space="preserve">12,79 %</w:t>
            </w:r>
          </w:p>
        </w:tc>
      </w:tr>
      <w:tr>
        <w:tc>
          <w:tcPr/>
          <w:p>
            <w:pPr>
              <w:pStyle w:val="Compact"/>
              <w:jc w:val="left"/>
            </w:pPr>
            <w:r>
              <w:t xml:space="preserve">Ciudad</w:t>
            </w:r>
          </w:p>
        </w:tc>
        <w:tc>
          <w:tcPr/>
          <w:p>
            <w:pPr>
              <w:pStyle w:val="Compact"/>
              <w:jc w:val="left"/>
            </w:pPr>
            <w:r>
              <w:rPr>
                <w:bCs/>
                <w:b/>
              </w:rPr>
              <w:t xml:space="preserve">6,76 %</w:t>
            </w:r>
          </w:p>
        </w:tc>
        <w:tc>
          <w:tcPr/>
          <w:p>
            <w:pPr>
              <w:pStyle w:val="Compact"/>
              <w:jc w:val="left"/>
            </w:pPr>
            <w:r>
              <w:t xml:space="preserve">7,25 %</w:t>
            </w:r>
          </w:p>
        </w:tc>
        <w:tc>
          <w:tcPr/>
          <w:p>
            <w:pPr>
              <w:pStyle w:val="Compact"/>
              <w:jc w:val="left"/>
            </w:pPr>
            <w:r>
              <w:t xml:space="preserve">7,72 %</w:t>
            </w:r>
          </w:p>
        </w:tc>
        <w:tc>
          <w:tcPr/>
          <w:p>
            <w:pPr>
              <w:pStyle w:val="Compact"/>
              <w:jc w:val="left"/>
            </w:pPr>
            <w:r>
              <w:t xml:space="preserve">13,50 %</w:t>
            </w:r>
          </w:p>
        </w:tc>
      </w:tr>
      <w:tr>
        <w:tc>
          <w:tcPr/>
          <w:p>
            <w:pPr>
              <w:pStyle w:val="Compact"/>
              <w:jc w:val="left"/>
            </w:pPr>
            <w:r>
              <w:t xml:space="preserve">Tienda</w:t>
            </w:r>
          </w:p>
        </w:tc>
        <w:tc>
          <w:tcPr/>
          <w:p>
            <w:pPr>
              <w:pStyle w:val="Compact"/>
              <w:jc w:val="left"/>
            </w:pPr>
            <w:r>
              <w:rPr>
                <w:bCs/>
                <w:b/>
              </w:rPr>
              <w:t xml:space="preserve">8,03 %</w:t>
            </w:r>
          </w:p>
        </w:tc>
        <w:tc>
          <w:tcPr/>
          <w:p>
            <w:pPr>
              <w:pStyle w:val="Compact"/>
              <w:jc w:val="left"/>
            </w:pPr>
            <w:r>
              <w:t xml:space="preserve">8,59 %</w:t>
            </w:r>
          </w:p>
        </w:tc>
        <w:tc>
          <w:tcPr/>
          <w:p>
            <w:pPr>
              <w:pStyle w:val="Compact"/>
              <w:jc w:val="left"/>
            </w:pPr>
            <w:r>
              <w:t xml:space="preserve">8,54 %</w:t>
            </w:r>
          </w:p>
        </w:tc>
        <w:tc>
          <w:tcPr/>
          <w:p>
            <w:pPr>
              <w:pStyle w:val="Compact"/>
              <w:jc w:val="left"/>
            </w:pPr>
            <w:r>
              <w:t xml:space="preserve">14,55 %</w:t>
            </w:r>
          </w:p>
        </w:tc>
      </w:tr>
      <w:tr>
        <w:tc>
          <w:tcPr/>
          <w:p>
            <w:pPr>
              <w:pStyle w:val="Compact"/>
              <w:jc w:val="left"/>
            </w:pPr>
            <w:r>
              <w:t xml:space="preserve">Departamento</w:t>
            </w:r>
          </w:p>
        </w:tc>
        <w:tc>
          <w:tcPr/>
          <w:p>
            <w:pPr>
              <w:pStyle w:val="Compact"/>
              <w:jc w:val="left"/>
            </w:pPr>
            <w:r>
              <w:rPr>
                <w:bCs/>
                <w:b/>
              </w:rPr>
              <w:t xml:space="preserve">9,93 %</w:t>
            </w:r>
          </w:p>
        </w:tc>
        <w:tc>
          <w:tcPr/>
          <w:p>
            <w:pPr>
              <w:pStyle w:val="Compact"/>
              <w:jc w:val="left"/>
            </w:pPr>
            <w:r>
              <w:t xml:space="preserve">10,71 %</w:t>
            </w:r>
          </w:p>
        </w:tc>
        <w:tc>
          <w:tcPr/>
          <w:p>
            <w:pPr>
              <w:pStyle w:val="Compact"/>
              <w:jc w:val="left"/>
            </w:pPr>
            <w:r>
              <w:t xml:space="preserve">10,33 %</w:t>
            </w:r>
          </w:p>
        </w:tc>
        <w:tc>
          <w:tcPr/>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Cs/>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46" name="Picture"/>
            <a:graphic>
              <a:graphicData uri="http://schemas.openxmlformats.org/drawingml/2006/picture">
                <pic:pic>
                  <pic:nvPicPr>
                    <pic:cNvPr descr="figuras/fig_7_15.png" id="147" name="Picture"/>
                    <pic:cNvPicPr>
                      <a:picLocks noChangeArrowheads="1" noChangeAspect="1"/>
                    </pic:cNvPicPr>
                  </pic:nvPicPr>
                  <pic:blipFill>
                    <a:blip r:embed="rId145"/>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Cs/>
          <w:b/>
        </w:rPr>
        <w:t xml:space="preserve">Figura 7.15.</w:t>
      </w:r>
      <w:r>
        <w:t xml:space="preserve"> </w:t>
      </w:r>
      <w:r>
        <w:t xml:space="preserve">Error porcentual medio por nivel: enfoque ascendente frente a modelado directo del agregado.</w:t>
      </w:r>
      <w:r>
        <w:t xml:space="preserve"> </w:t>
      </w:r>
      <w:r>
        <w:rPr>
          <w:iCs/>
          <w:i/>
        </w:rPr>
        <w:t xml:space="preserve">Fuente: elaboración propia.</w:t>
      </w:r>
    </w:p>
    <w:bookmarkEnd w:id="148"/>
    <w:bookmarkStart w:id="152" w:name="Xdb3991560f8fad4b7c364cd151d118040e4c1c7"/>
    <w:p>
      <w:pPr>
        <w:pStyle w:val="Heading3"/>
      </w:pPr>
      <w:r>
        <w:t xml:space="preserve">7.3.9. El objetivo correcto no es el día, es el ciclo</w:t>
      </w:r>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Cs/>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Enfoque</w:t>
            </w:r>
          </w:p>
        </w:tc>
        <w:tc>
          <w:tcPr/>
          <w:p>
            <w:pPr>
              <w:pStyle w:val="Compact"/>
              <w:jc w:val="left"/>
            </w:pPr>
            <w:r>
              <w:t xml:space="preserve">MAE</w:t>
            </w:r>
          </w:p>
        </w:tc>
        <w:tc>
          <w:tcPr/>
          <w:p>
            <w:pPr>
              <w:pStyle w:val="Compact"/>
              <w:jc w:val="left"/>
            </w:pPr>
            <w:r>
              <w:t xml:space="preserve">RMSE</w:t>
            </w:r>
          </w:p>
        </w:tc>
        <w:tc>
          <w:tcPr/>
          <w:p>
            <w:pPr>
              <w:pStyle w:val="Compact"/>
              <w:jc w:val="left"/>
            </w:pPr>
            <w:r>
              <w:t xml:space="preserve">Sesgo</w:t>
            </w:r>
          </w:p>
        </w:tc>
      </w:tr>
      <w:tr>
        <w:tc>
          <w:tcPr/>
          <w:p>
            <w:pPr>
              <w:pStyle w:val="Compact"/>
              <w:jc w:val="left"/>
            </w:pPr>
            <w:r>
              <w:t xml:space="preserve">Suma de nueve predicciones diarias</w:t>
            </w:r>
          </w:p>
        </w:tc>
        <w:tc>
          <w:tcPr/>
          <w:p>
            <w:pPr>
              <w:pStyle w:val="Compact"/>
              <w:jc w:val="left"/>
            </w:pPr>
            <w:r>
              <w:t xml:space="preserve">4,731</w:t>
            </w:r>
          </w:p>
        </w:tc>
        <w:tc>
          <w:tcPr/>
          <w:p>
            <w:pPr>
              <w:pStyle w:val="Compact"/>
              <w:jc w:val="left"/>
            </w:pPr>
            <w:r>
              <w:t xml:space="preserve">12,255</w:t>
            </w:r>
          </w:p>
        </w:tc>
        <w:tc>
          <w:tcPr/>
          <w:p>
            <w:pPr>
              <w:pStyle w:val="Compact"/>
              <w:jc w:val="left"/>
            </w:pPr>
            <w:r>
              <w:rPr>
                <w:bCs/>
                <w:b/>
              </w:rPr>
              <w:t xml:space="preserve">−7,41%</w:t>
            </w:r>
          </w:p>
        </w:tc>
      </w:tr>
      <w:tr>
        <w:tc>
          <w:tcPr/>
          <w:p>
            <w:pPr>
              <w:pStyle w:val="Compact"/>
              <w:jc w:val="left"/>
            </w:pPr>
            <w:r>
              <w:t xml:space="preserve">Modelo del total (LightGBM)</w:t>
            </w:r>
          </w:p>
        </w:tc>
        <w:tc>
          <w:tcPr/>
          <w:p>
            <w:pPr>
              <w:pStyle w:val="Compact"/>
              <w:jc w:val="left"/>
            </w:pPr>
            <w:r>
              <w:t xml:space="preserve">4,061</w:t>
            </w:r>
          </w:p>
        </w:tc>
        <w:tc>
          <w:tcPr/>
          <w:p>
            <w:pPr>
              <w:pStyle w:val="Compact"/>
              <w:jc w:val="left"/>
            </w:pPr>
            <w:r>
              <w:t xml:space="preserve">9,666</w:t>
            </w:r>
          </w:p>
        </w:tc>
        <w:tc>
          <w:tcPr/>
          <w:p>
            <w:pPr>
              <w:pStyle w:val="Compact"/>
              <w:jc w:val="left"/>
            </w:pPr>
            <w:r>
              <w:t xml:space="preserve">+0,32%</w:t>
            </w:r>
          </w:p>
        </w:tc>
      </w:tr>
      <w:tr>
        <w:tc>
          <w:tcPr/>
          <w:p>
            <w:pPr>
              <w:pStyle w:val="Compact"/>
              <w:jc w:val="left"/>
            </w:pPr>
            <w:r>
              <w:t xml:space="preserve">Modelo del total (XGBoost)</w:t>
            </w:r>
          </w:p>
        </w:tc>
        <w:tc>
          <w:tcPr/>
          <w:p>
            <w:pPr>
              <w:pStyle w:val="Compact"/>
              <w:jc w:val="left"/>
            </w:pPr>
            <w:r>
              <w:t xml:space="preserve">3,989</w:t>
            </w:r>
          </w:p>
        </w:tc>
        <w:tc>
          <w:tcPr/>
          <w:p>
            <w:pPr>
              <w:pStyle w:val="Compact"/>
              <w:jc w:val="left"/>
            </w:pPr>
            <w:r>
              <w:t xml:space="preserve">9,688</w:t>
            </w:r>
          </w:p>
        </w:tc>
        <w:tc>
          <w:tcPr/>
          <w:p>
            <w:pPr>
              <w:pStyle w:val="Compact"/>
              <w:jc w:val="left"/>
            </w:pPr>
            <w:r>
              <w:t xml:space="preserve">+0,08%</w:t>
            </w:r>
          </w:p>
        </w:tc>
      </w:tr>
      <w:tr>
        <w:tc>
          <w:tcPr/>
          <w:p>
            <w:pPr>
              <w:pStyle w:val="Compact"/>
              <w:jc w:val="left"/>
            </w:pPr>
            <w:r>
              <w:rPr>
                <w:bCs/>
                <w:b/>
              </w:rPr>
              <w:t xml:space="preserve">Ensamble de ambos</w:t>
            </w:r>
          </w:p>
        </w:tc>
        <w:tc>
          <w:tcPr/>
          <w:p>
            <w:pPr>
              <w:pStyle w:val="Compact"/>
              <w:jc w:val="left"/>
            </w:pPr>
            <w:r>
              <w:rPr>
                <w:bCs/>
                <w:b/>
              </w:rPr>
              <w:t xml:space="preserve">3,986</w:t>
            </w:r>
          </w:p>
        </w:tc>
        <w:tc>
          <w:tcPr/>
          <w:p>
            <w:pPr>
              <w:pStyle w:val="Compact"/>
              <w:jc w:val="left"/>
            </w:pPr>
            <w:r>
              <w:rPr>
                <w:bCs/>
                <w:b/>
              </w:rPr>
              <w:t xml:space="preserve">9,457</w:t>
            </w:r>
          </w:p>
        </w:tc>
        <w:tc>
          <w:tcPr/>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50" name="Picture"/>
            <a:graphic>
              <a:graphicData uri="http://schemas.openxmlformats.org/drawingml/2006/picture">
                <pic:pic>
                  <pic:nvPicPr>
                    <pic:cNvPr descr="figuras/fig_7_16.png" id="151" name="Picture"/>
                    <pic:cNvPicPr>
                      <a:picLocks noChangeArrowheads="1" noChangeAspect="1"/>
                    </pic:cNvPicPr>
                  </pic:nvPicPr>
                  <pic:blipFill>
                    <a:blip r:embed="rId149"/>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Cs/>
          <w:b/>
        </w:rPr>
        <w:t xml:space="preserve">Figura 7.16.</w:t>
      </w:r>
      <w:r>
        <w:t xml:space="preserve"> </w:t>
      </w:r>
      <w:r>
        <w:t xml:space="preserve">Error y sesgo de la suma de predicciones diarias frente a los modelos del total del ciclo.</w:t>
      </w:r>
      <w:r>
        <w:t xml:space="preserve"> </w:t>
      </w:r>
      <w:r>
        <w:rPr>
          <w:iCs/>
          <w:i/>
        </w:rPr>
        <w:t xml:space="preserve">Fuente: elaboración propia.</w:t>
      </w:r>
    </w:p>
    <w:p>
      <w:pPr>
        <w:pStyle w:val="BodyText"/>
      </w:pPr>
      <w:r>
        <w:t xml:space="preserve">La mejora del error absoluto medio es del</w:t>
      </w:r>
      <w:r>
        <w:t xml:space="preserve"> </w:t>
      </w:r>
      <w:r>
        <w:rPr>
          <w:bCs/>
          <w:b/>
        </w:rPr>
        <w:t xml:space="preserve">15,7%</w:t>
      </w:r>
      <w:r>
        <w:t xml:space="preserve">, pero el resultado relevante es la última</w:t>
      </w:r>
      <w:r>
        <w:t xml:space="preserve"> </w:t>
      </w:r>
      <w:r>
        <w:t xml:space="preserve">columna: el sesgo pasa de</w:t>
      </w:r>
      <w:r>
        <w:t xml:space="preserve"> </w:t>
      </w:r>
      <w:r>
        <w:rPr>
          <w:bCs/>
          <w:b/>
        </w:rPr>
        <w:t xml:space="preserve">−7,41% a +0,20%</w:t>
      </w:r>
      <w:r>
        <w:t xml:space="preserve">. Sumar predicciones diarias no solo acumulaba</w:t>
      </w:r>
      <w:r>
        <w:t xml:space="preserve"> </w:t>
      </w:r>
      <w:r>
        <w:t xml:space="preserve">error, acumulaba error</w:t>
      </w:r>
      <w:r>
        <w:t xml:space="preserve"> </w:t>
      </w:r>
      <w:r>
        <w:rPr>
          <w:iCs/>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Cs/>
          <w:b/>
        </w:rPr>
        <w:t xml:space="preserve">el error no venía del modelo</w:t>
      </w:r>
      <w:r>
        <w:rPr>
          <w:bCs/>
          <w:b/>
        </w:rPr>
        <w:t xml:space="preserve"> </w:t>
      </w:r>
      <w:r>
        <w:rPr>
          <w:bCs/>
          <w:b/>
        </w:rPr>
        <w:t xml:space="preserve">sino de cómo estaba planteado el objetivo</w:t>
      </w:r>
      <w:r>
        <w:t xml:space="preserve">. Agregar promedia el ruido y, sobre todo, entrena</w:t>
      </w:r>
      <w:r>
        <w:t xml:space="preserve"> </w:t>
      </w:r>
      <w:r>
        <w:t xml:space="preserve">exactamente sobre la cantidad que se usa para decidir.</w:t>
      </w:r>
    </w:p>
    <w:bookmarkEnd w:id="152"/>
    <w:bookmarkStart w:id="153" w:name="productos-sin-histórico"/>
    <w:p>
      <w:pPr>
        <w:pStyle w:val="Heading3"/>
      </w:pPr>
      <w:r>
        <w:t xml:space="preserve">7.3.10. Productos sin histórico</w:t>
      </w:r>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Procedimiento</w:t>
            </w:r>
          </w:p>
        </w:tc>
        <w:tc>
          <w:tcPr/>
          <w:p>
            <w:pPr>
              <w:pStyle w:val="Compact"/>
              <w:jc w:val="left"/>
            </w:pPr>
            <w:r>
              <w:t xml:space="preserve">MAE</w:t>
            </w:r>
          </w:p>
        </w:tc>
        <w:tc>
          <w:tcPr/>
          <w:p>
            <w:pPr>
              <w:pStyle w:val="Compact"/>
              <w:jc w:val="left"/>
            </w:pPr>
            <w:r>
              <w:t xml:space="preserve">Mejora sobre la referencia</w:t>
            </w:r>
          </w:p>
        </w:tc>
      </w:tr>
      <w:tr>
        <w:tc>
          <w:tcPr/>
          <w:p>
            <w:pPr>
              <w:pStyle w:val="Compact"/>
              <w:jc w:val="left"/>
            </w:pPr>
            <w:r>
              <w:rPr>
                <w:bCs/>
                <w:b/>
              </w:rPr>
              <w:t xml:space="preserve">Misma referencia en la tienda más parecida</w:t>
            </w:r>
          </w:p>
        </w:tc>
        <w:tc>
          <w:tcPr/>
          <w:p>
            <w:pPr>
              <w:pStyle w:val="Compact"/>
              <w:jc w:val="left"/>
            </w:pPr>
            <w:r>
              <w:rPr>
                <w:bCs/>
                <w:b/>
              </w:rPr>
              <w:t xml:space="preserve">0,918</w:t>
            </w:r>
          </w:p>
        </w:tc>
        <w:tc>
          <w:tcPr/>
          <w:p>
            <w:pPr>
              <w:pStyle w:val="Compact"/>
              <w:jc w:val="left"/>
            </w:pPr>
            <w:r>
              <w:rPr>
                <w:bCs/>
                <w:b/>
              </w:rPr>
              <w:t xml:space="preserve">34,6%</w:t>
            </w:r>
          </w:p>
        </w:tc>
      </w:tr>
      <w:tr>
        <w:tc>
          <w:tcPr/>
          <w:p>
            <w:pPr>
              <w:pStyle w:val="Compact"/>
              <w:jc w:val="left"/>
            </w:pPr>
            <w:r>
              <w:t xml:space="preserve">Modelo por atributos (categoría, departamento, tienda, precio)</w:t>
            </w:r>
          </w:p>
        </w:tc>
        <w:tc>
          <w:tcPr/>
          <w:p>
            <w:pPr>
              <w:pStyle w:val="Compact"/>
              <w:jc w:val="left"/>
            </w:pPr>
            <w:r>
              <w:t xml:space="preserve">1,028</w:t>
            </w:r>
          </w:p>
        </w:tc>
        <w:tc>
          <w:tcPr/>
          <w:p>
            <w:pPr>
              <w:pStyle w:val="Compact"/>
              <w:jc w:val="left"/>
            </w:pPr>
            <w:r>
              <w:t xml:space="preserve">26,8%</w:t>
            </w:r>
          </w:p>
        </w:tc>
      </w:tr>
      <w:tr>
        <w:tc>
          <w:tcPr/>
          <w:p>
            <w:pPr>
              <w:pStyle w:val="Compact"/>
              <w:jc w:val="left"/>
            </w:pPr>
            <w:r>
              <w:t xml:space="preserve">Media del departamento en la tienda</w:t>
            </w:r>
          </w:p>
        </w:tc>
        <w:tc>
          <w:tcPr/>
          <w:p>
            <w:pPr>
              <w:pStyle w:val="Compact"/>
              <w:jc w:val="left"/>
            </w:pPr>
            <w:r>
              <w:t xml:space="preserve">1,343</w:t>
            </w:r>
          </w:p>
        </w:tc>
        <w:tc>
          <w:tcPr/>
          <w:p>
            <w:pPr>
              <w:pStyle w:val="Compact"/>
              <w:jc w:val="left"/>
            </w:pPr>
            <w:r>
              <w:t xml:space="preserve">4,3%</w:t>
            </w:r>
          </w:p>
        </w:tc>
      </w:tr>
      <w:tr>
        <w:tc>
          <w:tcPr/>
          <w:p>
            <w:pPr>
              <w:pStyle w:val="Compact"/>
              <w:jc w:val="left"/>
            </w:pPr>
            <w:r>
              <w:t xml:space="preserve">Media de la categoría en la tienda (referencia)</w:t>
            </w:r>
          </w:p>
        </w:tc>
        <w:tc>
          <w:tcPr/>
          <w:p>
            <w:pPr>
              <w:pStyle w:val="Compact"/>
              <w:jc w:val="left"/>
            </w:pPr>
            <w:r>
              <w:t xml:space="preserve">1,404</w:t>
            </w:r>
          </w:p>
        </w:tc>
        <w:tc>
          <w:tcPr/>
          <w:p>
            <w:pPr>
              <w:pStyle w:val="Compact"/>
              <w:jc w:val="left"/>
            </w:pPr>
            <w:r>
              <w:t xml:space="preserve">—</w:t>
            </w:r>
          </w:p>
        </w:tc>
      </w:tr>
    </w:tbl>
    <w:p>
      <w:pPr>
        <w:pStyle w:val="BodyText"/>
      </w:pPr>
      <w:r>
        <w:t xml:space="preserve">El resultado interesante es que</w:t>
      </w:r>
      <w:r>
        <w:t xml:space="preserve"> </w:t>
      </w:r>
      <w:r>
        <w:rPr>
          <w:bCs/>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Cs/>
          <w:b/>
        </w:rPr>
        <w:t xml:space="preserve">+4,6%</w:t>
      </w:r>
      <w:r>
        <w:t xml:space="preserve">), mientras que el modelo por atributos infravalora de forma apreciable</w:t>
      </w:r>
      <w:r>
        <w:t xml:space="preserve"> </w:t>
      </w:r>
      <w:r>
        <w:t xml:space="preserve">(</w:t>
      </w:r>
      <w:r>
        <w:rPr>
          <w:bCs/>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bookmarkEnd w:id="153"/>
    <w:bookmarkStart w:id="154" w:name="medir-por-semanas-y-modelo-final"/>
    <w:p>
      <w:pPr>
        <w:pStyle w:val="Heading3"/>
      </w:pPr>
      <w:r>
        <w:t xml:space="preserve">7.3.11. Medir por semanas y modelo final</w:t>
      </w:r>
    </w:p>
    <w:p>
      <w:pPr>
        <w:pStyle w:val="FirstParagraph"/>
      </w:pPr>
      <w:r>
        <w:rPr>
          <w:bCs/>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Cs/>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Cs/>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Cs/>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Cs/>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Cs/>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Cs/>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Cs/>
          <w:b/>
        </w:rPr>
        <w:t xml:space="preserve">0,9994</w:t>
      </w:r>
      <w:r>
        <w:t xml:space="preserve">, el primero por debajo de 1, y un WAPE semanal del</w:t>
      </w:r>
      <w:r>
        <w:t xml:space="preserve"> </w:t>
      </w:r>
      <w:r>
        <w:rPr>
          <w:bCs/>
          <w:b/>
        </w:rPr>
        <w:t xml:space="preserve">37,8 %</w:t>
      </w:r>
      <w:r>
        <w:t xml:space="preserve"> </w:t>
      </w:r>
      <w:r>
        <w:t xml:space="preserve">frente al 38,5 % de</w:t>
      </w:r>
      <w:r>
        <w:t xml:space="preserve"> </w:t>
      </w:r>
      <w:r>
        <w:t xml:space="preserve">la media móvil. Su percentil 90 cubre el</w:t>
      </w:r>
      <w:r>
        <w:t xml:space="preserve"> </w:t>
      </w:r>
      <w:r>
        <w:rPr>
          <w:bCs/>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bookmarkEnd w:id="154"/>
    <w:bookmarkStart w:id="155" w:name="límites-reconocidos"/>
    <w:p>
      <w:pPr>
        <w:pStyle w:val="Heading3"/>
      </w:pPr>
      <w:r>
        <w:t xml:space="preserve">7.3.12. Límites reconocidos</w:t>
      </w:r>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Cs/>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Cs/>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Cs/>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bookmarkEnd w:id="155"/>
    <w:bookmarkStart w:id="156" w:name="qué-abre-el-capítulo-siguiente-2"/>
    <w:p>
      <w:pPr>
        <w:pStyle w:val="Heading3"/>
      </w:pPr>
      <w:r>
        <w:t xml:space="preserve">7.3.13. Qué abre el capítulo siguiente</w:t>
      </w:r>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bookmarkEnd w:id="156"/>
    <w:bookmarkEnd w:id="157"/>
    <w:bookmarkStart w:id="181" w:name="cuánto-hay-que-pedir"/>
    <w:p>
      <w:pPr>
        <w:pStyle w:val="Heading2"/>
      </w:pPr>
      <w:r>
        <w:t xml:space="preserve">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bookmarkStart w:id="158" w:name="X673bcba50efdeb28591d09a7d4dcbc5cd08ca99"/>
    <w:p>
      <w:pPr>
        <w:pStyle w:val="Heading3"/>
      </w:pPr>
      <w:r>
        <w:t xml:space="preserve">7.4.1. El marco: el problema del vendedor de periódicos</w:t>
      </w:r>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d>
            <m:dPr>
              <m:begChr m:val="("/>
              <m:endChr m:val=")"/>
              <m:sepChr m:val=""/>
              <m:grow/>
            </m:dPr>
            <m:e>
              <m:r>
                <m:t>S</m:t>
              </m:r>
            </m:e>
          </m:d>
          <m:r>
            <m:rPr>
              <m:sty m:val="p"/>
            </m:rPr>
            <m:t>=</m:t>
          </m:r>
          <m:sSub>
            <m:e>
              <m:r>
                <m:t>C</m:t>
              </m:r>
            </m:e>
            <m:sub>
              <m:r>
                <m:t>u</m:t>
              </m:r>
            </m:sub>
          </m:sSub>
          <m:r>
            <m:rPr>
              <m:sty m:val="p"/>
            </m:rPr>
            <m:t>⋅</m:t>
          </m:r>
          <m:r>
            <m:rPr>
              <m:sty m:val="p"/>
              <m:scr m:val="double-struck"/>
            </m:rPr>
            <m:t>E</m:t>
          </m:r>
          <m:d>
            <m:dPr>
              <m:begChr m:val="["/>
              <m:endChr m:val="]"/>
              <m:sepChr m:val=""/>
              <m:grow/>
            </m:dPr>
            <m:e>
              <m:sSup>
                <m:e>
                  <m:d>
                    <m:dPr>
                      <m:begChr m:val="("/>
                      <m:endChr m:val=")"/>
                      <m:sepChr m:val=""/>
                      <m:grow/>
                    </m:dPr>
                    <m:e>
                      <m:r>
                        <m:t>D</m:t>
                      </m:r>
                      <m:r>
                        <m:rPr>
                          <m:sty m:val="p"/>
                        </m:rPr>
                        <m:t>−</m:t>
                      </m:r>
                      <m:r>
                        <m:t>S</m:t>
                      </m:r>
                    </m:e>
                  </m:d>
                </m:e>
                <m:sup>
                  <m:r>
                    <m:rPr>
                      <m:sty m:val="p"/>
                    </m:rPr>
                    <m:t>+</m:t>
                  </m:r>
                </m:sup>
              </m:sSup>
            </m:e>
          </m:d>
          <m:r>
            <m:rPr>
              <m:sty m:val="p"/>
            </m:rPr>
            <m:t>+</m:t>
          </m:r>
          <m:sSub>
            <m:e>
              <m:r>
                <m:t>C</m:t>
              </m:r>
            </m:e>
            <m:sub>
              <m:r>
                <m:t>o</m:t>
              </m:r>
            </m:sub>
          </m:sSub>
          <m:r>
            <m:rPr>
              <m:sty m:val="p"/>
            </m:rPr>
            <m:t>⋅</m:t>
          </m:r>
          <m:r>
            <m:rPr>
              <m:sty m:val="p"/>
              <m:scr m:val="double-struck"/>
            </m:rPr>
            <m:t>E</m:t>
          </m:r>
          <m:d>
            <m:dPr>
              <m:begChr m:val="["/>
              <m:endChr m:val="]"/>
              <m:sepChr m:val=""/>
              <m:grow/>
            </m:dPr>
            <m:e>
              <m:sSup>
                <m:e>
                  <m:d>
                    <m:dPr>
                      <m:begChr m:val="("/>
                      <m:endChr m:val=")"/>
                      <m:sepChr m:val=""/>
                      <m:grow/>
                    </m:dPr>
                    <m:e>
                      <m:r>
                        <m:t>S</m:t>
                      </m:r>
                      <m:r>
                        <m:rPr>
                          <m:sty m:val="p"/>
                        </m:rPr>
                        <m:t>−</m:t>
                      </m:r>
                      <m:r>
                        <m:t>D</m:t>
                      </m:r>
                    </m:e>
                  </m:d>
                </m:e>
                <m:sup>
                  <m:r>
                    <m:rPr>
                      <m:sty m:val="p"/>
                    </m:rPr>
                    <m:t>+</m:t>
                  </m:r>
                </m:sup>
              </m:sSup>
            </m:e>
          </m:d>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Cs/>
          <w:b/>
        </w:rPr>
        <w:t xml:space="preserve">cuantil</w:t>
      </w:r>
      <w:r>
        <w:t xml:space="preserve"> </w:t>
      </w:r>
      <w:r>
        <w:t xml:space="preserve">de la distribución de la</w:t>
      </w:r>
      <w:r>
        <w:t xml:space="preserve"> </w:t>
      </w:r>
      <w:r>
        <w:t xml:space="preserve">demanda, determinado por el</w:t>
      </w:r>
      <w:r>
        <w:t xml:space="preserve"> </w:t>
      </w:r>
      <w:r>
        <w:rPr>
          <w:bCs/>
          <w:b/>
        </w:rPr>
        <w:t xml:space="preserve">ratio crítico</w:t>
      </w:r>
      <w:r>
        <w:t xml:space="preserve">:</w:t>
      </w:r>
    </w:p>
    <w:p>
      <w:pPr>
        <w:pStyle w:val="BodyText"/>
      </w:pPr>
      <m:oMathPara>
        <m:oMathParaPr>
          <m:jc m:val="center"/>
        </m:oMathParaPr>
        <m:oMath>
          <m:sSup>
            <m:e>
              <m:r>
                <m:t>τ</m:t>
              </m:r>
            </m:e>
            <m:sup>
              <m:r>
                <m:rPr>
                  <m:sty m:val="p"/>
                </m:rPr>
                <m:t>*</m:t>
              </m:r>
            </m:sup>
          </m:sSup>
          <m:r>
            <m:rPr>
              <m:sty m:val="p"/>
            </m:rPr>
            <m:t>=</m:t>
          </m:r>
          <m:f>
            <m:fPr>
              <m:type m:val="bar"/>
            </m:fPr>
            <m:num>
              <m:sSub>
                <m:e>
                  <m:r>
                    <m:t>C</m:t>
                  </m:r>
                </m:e>
                <m:sub>
                  <m:r>
                    <m:t>u</m:t>
                  </m:r>
                </m:sub>
              </m:sSub>
            </m:num>
            <m:den>
              <m:sSub>
                <m:e>
                  <m:r>
                    <m:t>C</m:t>
                  </m:r>
                </m:e>
                <m:sub>
                  <m:r>
                    <m:t>u</m:t>
                  </m:r>
                </m:sub>
              </m:sSub>
              <m:r>
                <m:rPr>
                  <m:sty m:val="p"/>
                </m:rP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Cs/>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rPr>
            <m:sty m:val="p"/>
          </m:rP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rPr>
            <m:sty m:val="p"/>
          </m:rPr>
          <m:t>=</m:t>
        </m:r>
        <m:r>
          <m:t>7</m:t>
        </m:r>
      </m:oMath>
      <w:r>
        <w:t xml:space="preserve"> </w:t>
      </w:r>
      <w:r>
        <w:t xml:space="preserve">y</w:t>
      </w:r>
      <w:r>
        <w:t xml:space="preserve"> </w:t>
      </w:r>
      <m:oMath>
        <m:r>
          <m:t>L</m:t>
        </m:r>
        <m:r>
          <m:rPr>
            <m:sty m:val="p"/>
          </m:rPr>
          <m:t>=</m:t>
        </m:r>
        <m:r>
          <m:t>2</m:t>
        </m:r>
      </m:oMath>
      <w:r>
        <w:t xml:space="preserve">, cada pedido cubre nueve</w:t>
      </w:r>
      <w:r>
        <w:t xml:space="preserve"> </w:t>
      </w:r>
      <w:r>
        <w:t xml:space="preserve">días.</w:t>
      </w:r>
    </w:p>
    <w:p>
      <w:pPr>
        <w:pStyle w:val="BodyText"/>
      </w:pPr>
      <m:oMathPara>
        <m:oMathParaPr>
          <m:jc m:val="center"/>
        </m:oMathParaPr>
        <m:oMath>
          <m:r>
            <m:t>S</m:t>
          </m:r>
          <m:r>
            <m:rPr>
              <m:sty m:val="p"/>
            </m:rPr>
            <m:t>=</m:t>
          </m:r>
          <m:sSub>
            <m:e>
              <m:acc>
                <m:accPr>
                  <m:chr m:val="̂"/>
                </m:accPr>
                <m:e>
                  <m:r>
                    <m:t>D</m:t>
                  </m:r>
                </m:e>
              </m:acc>
            </m:e>
            <m:sub>
              <m:r>
                <m:t>R</m:t>
              </m:r>
              <m:r>
                <m:rPr>
                  <m:sty m:val="p"/>
                </m:rPr>
                <m:t>+</m:t>
              </m:r>
              <m:r>
                <m:t>L</m:t>
              </m:r>
            </m:sub>
          </m:sSub>
          <m:r>
            <m:rPr>
              <m:sty m:val="p"/>
            </m:rPr>
            <m:t>+</m:t>
          </m:r>
          <m:sSub>
            <m:e>
              <m:r>
                <m:t>z</m:t>
              </m:r>
            </m:e>
            <m:sub>
              <m:sSup>
                <m:e>
                  <m:r>
                    <m:t>τ</m:t>
                  </m:r>
                </m:e>
                <m:sup>
                  <m:r>
                    <m:rPr>
                      <m:sty m:val="p"/>
                    </m:rPr>
                    <m:t>*</m:t>
                  </m:r>
                </m:sup>
              </m:sSup>
            </m:sub>
          </m:sSub>
          <m:r>
            <m:rPr>
              <m:sty m:val="p"/>
            </m:rPr>
            <m:t>⋅</m:t>
          </m:r>
          <m:sSub>
            <m:e>
              <m:r>
                <m:t>σ</m:t>
              </m:r>
            </m:e>
            <m:sub>
              <m:r>
                <m:t>R</m:t>
              </m:r>
              <m:r>
                <m:rPr>
                  <m:sty m:val="p"/>
                </m:rPr>
                <m:t>+</m:t>
              </m:r>
              <m:r>
                <m:t>L</m:t>
              </m:r>
            </m:sub>
          </m:sSub>
          <m:r>
            <m:t>  </m:t>
          </m:r>
          <m:r>
            <m:rPr>
              <m:nor/>
              <m:sty m:val="p"/>
            </m:rPr>
            <m:t>pedido</m:t>
          </m:r>
          <m:r>
            <m:rPr>
              <m:sty m:val="p"/>
            </m:rPr>
            <m:t>=</m:t>
          </m:r>
          <m:r>
            <m:rPr>
              <m:sty m:val="p"/>
            </m:rPr>
            <m:t>max</m:t>
          </m:r>
          <m:d>
            <m:dPr>
              <m:begChr m:val="("/>
              <m:endChr m:val=")"/>
              <m:sepChr m:val=""/>
              <m:grow/>
            </m:dPr>
            <m:e>
              <m:r>
                <m:t>S</m:t>
              </m:r>
              <m:r>
                <m:rPr>
                  <m:sty m:val="p"/>
                </m:rPr>
                <m:t>−</m:t>
              </m:r>
              <m:r>
                <m:rPr>
                  <m:nor/>
                  <m:sty m:val="p"/>
                </m:rPr>
                <m:t>posición de inventario</m:t>
              </m:r>
              <m:r>
                <m:rPr>
                  <m:sty m:val="p"/>
                </m:rPr>
                <m:t>,</m:t>
              </m:r>
              <m:r>
                <m:t> </m:t>
              </m:r>
              <m:r>
                <m:t>0</m:t>
              </m:r>
            </m:e>
          </m:d>
        </m:oMath>
      </m:oMathPara>
    </w:p>
    <w:bookmarkEnd w:id="158"/>
    <w:bookmarkStart w:id="159" w:name="una-política-híbrida-por-segmento"/>
    <w:p>
      <w:pPr>
        <w:pStyle w:val="Heading3"/>
      </w:pPr>
      <w:r>
        <w:t xml:space="preserve">7.4.2. Una política híbrida por segmento</w:t>
      </w:r>
    </w:p>
    <w:p>
      <w:pPr>
        <w:pStyle w:val="FirstParagraph"/>
      </w:pPr>
      <w:r>
        <w:t xml:space="preserve">La implementación no aplica el mismo método a todas las series. Para las de</w:t>
      </w:r>
      <w:r>
        <w:t xml:space="preserve"> </w:t>
      </w:r>
      <w:r>
        <w:rPr>
          <w:bCs/>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Cs/>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bookmarkEnd w:id="159"/>
    <w:bookmarkStart w:id="163" w:name="cuánto-cuesta-la-política-actual"/>
    <w:p>
      <w:pPr>
        <w:pStyle w:val="Heading3"/>
      </w:pPr>
      <w:r>
        <w:t xml:space="preserve">7.4.3. Cuánto cuesta la política actual</w:t>
      </w:r>
    </w:p>
    <w:p>
      <w:pPr>
        <w:pStyle w:val="FirstParagraph"/>
      </w:pPr>
      <w:r>
        <w:t xml:space="preserve">La simulación se ejecutó sobre las</w:t>
      </w:r>
      <w:r>
        <w:t xml:space="preserve"> </w:t>
      </w:r>
      <w:r>
        <w:rPr>
          <w:bCs/>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 del coste</w:t>
            </w:r>
          </w:p>
        </w:tc>
        <w:tc>
          <w:tcPr/>
          <w:p>
            <w:pPr>
              <w:pStyle w:val="Compact"/>
              <w:jc w:val="left"/>
            </w:pPr>
            <w:r>
              <w:t xml:space="preserve">Importe (28 días)</w:t>
            </w:r>
          </w:p>
        </w:tc>
      </w:tr>
      <w:tr>
        <w:tc>
          <w:tcPr/>
          <w:p>
            <w:pPr>
              <w:pStyle w:val="Compact"/>
              <w:jc w:val="left"/>
            </w:pPr>
            <w:r>
              <w:t xml:space="preserve">Margen perdido por rotura</w:t>
            </w:r>
          </w:p>
        </w:tc>
        <w:tc>
          <w:tcPr/>
          <w:p>
            <w:pPr>
              <w:pStyle w:val="Compact"/>
              <w:jc w:val="left"/>
            </w:pPr>
            <w:r>
              <w:rPr>
                <w:bCs/>
                <w:b/>
              </w:rPr>
              <w:t xml:space="preserve">164.543 USD</w:t>
            </w:r>
          </w:p>
        </w:tc>
      </w:tr>
      <w:tr>
        <w:tc>
          <w:tcPr/>
          <w:p>
            <w:pPr>
              <w:pStyle w:val="Compact"/>
              <w:jc w:val="left"/>
            </w:pPr>
            <w:r>
              <w:t xml:space="preserve">Coste de mantenimiento de inventario</w:t>
            </w:r>
          </w:p>
        </w:tc>
        <w:tc>
          <w:tcPr/>
          <w:p>
            <w:pPr>
              <w:pStyle w:val="Compact"/>
              <w:jc w:val="left"/>
            </w:pPr>
            <w:r>
              <w:rPr>
                <w:bCs/>
                <w:b/>
              </w:rPr>
              <w:t xml:space="preserve">11.156 USD</w:t>
            </w:r>
          </w:p>
        </w:tc>
      </w:tr>
    </w:tbl>
    <w:p>
      <w:pPr>
        <w:pStyle w:val="BodyText"/>
      </w:pPr>
      <w:r>
        <w:t xml:space="preserve">La proporción es lo relevante:</w:t>
      </w:r>
      <w:r>
        <w:t xml:space="preserve"> </w:t>
      </w:r>
      <w:r>
        <w:rPr>
          <w:bCs/>
          <w:b/>
        </w:rPr>
        <w:t xml:space="preserve">casi quince dólares de venta perdida por cada dólar de inventario</w:t>
      </w:r>
      <w:r>
        <w:rPr>
          <w:bCs/>
          <w:b/>
        </w:rPr>
        <w:t xml:space="preserve"> </w:t>
      </w:r>
      <w:r>
        <w:rPr>
          <w:bCs/>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61" name="Picture"/>
            <a:graphic>
              <a:graphicData uri="http://schemas.openxmlformats.org/drawingml/2006/picture">
                <pic:pic>
                  <pic:nvPicPr>
                    <pic:cNvPr descr="figuras/fig_7_17.png" id="162" name="Picture"/>
                    <pic:cNvPicPr>
                      <a:picLocks noChangeArrowheads="1" noChangeAspect="1"/>
                    </pic:cNvPicPr>
                  </pic:nvPicPr>
                  <pic:blipFill>
                    <a:blip r:embed="rId160"/>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Cs/>
          <w:b/>
        </w:rPr>
        <w:t xml:space="preserve">Figura 7.17.</w:t>
      </w:r>
      <w:r>
        <w:t xml:space="preserve"> </w:t>
      </w:r>
      <w:r>
        <w:t xml:space="preserve">Descomposición del coste de la política de partida.</w:t>
      </w:r>
      <w:r>
        <w:t xml:space="preserve"> </w:t>
      </w:r>
      <w:r>
        <w:rPr>
          <w:iCs/>
          <w:i/>
        </w:rPr>
        <w:t xml:space="preserve">Fuente: elaboración propia.</w:t>
      </w:r>
    </w:p>
    <w:p>
      <w:pPr>
        <w:pStyle w:val="BodyText"/>
      </w:pPr>
      <w:r>
        <w:t xml:space="preserve">Aplicando la política híbrida con un objetivo del 90%, el nivel de servicio pasa del</w:t>
      </w:r>
      <w:r>
        <w:t xml:space="preserve"> </w:t>
      </w:r>
      <w:r>
        <w:rPr>
          <w:bCs/>
          <w:b/>
        </w:rPr>
        <w:t xml:space="preserve">86,6% al</w:t>
      </w:r>
      <w:r>
        <w:rPr>
          <w:bCs/>
          <w:b/>
        </w:rPr>
        <w:t xml:space="preserve"> </w:t>
      </w:r>
      <w:r>
        <w:rPr>
          <w:bCs/>
          <w:b/>
        </w:rPr>
        <w:t xml:space="preserve">96,2%</w:t>
      </w:r>
      <w:r>
        <w:t xml:space="preserve"> </w:t>
      </w:r>
      <w:r>
        <w:t xml:space="preserve">y el coste total desciende un</w:t>
      </w:r>
      <w:r>
        <w:t xml:space="preserve"> </w:t>
      </w:r>
      <w:r>
        <w:rPr>
          <w:bCs/>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bookmarkEnd w:id="163"/>
    <w:bookmarkStart w:id="167" w:name="Xa1237f68e44745741121975f12246553301a5bb"/>
    <w:p>
      <w:pPr>
        <w:pStyle w:val="Heading3"/>
      </w:pPr>
      <w:r>
        <w:t xml:space="preserve">7.4.4. La simulación refuta la conclusión del capítulo anterior</w:t>
      </w:r>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Efecto de usar el modelo frente a la regla histórica</w:t>
            </w:r>
          </w:p>
        </w:tc>
      </w:tr>
      <w:tr>
        <w:tc>
          <w:tcPr/>
          <w:p>
            <w:pPr>
              <w:pStyle w:val="Compact"/>
              <w:jc w:val="left"/>
            </w:pPr>
            <w:r>
              <w:t xml:space="preserve">Clase Z (demanda errática)</w:t>
            </w:r>
          </w:p>
        </w:tc>
        <w:tc>
          <w:tcPr/>
          <w:p>
            <w:pPr>
              <w:pStyle w:val="Compact"/>
              <w:jc w:val="left"/>
            </w:pPr>
            <w:r>
              <w:rPr>
                <w:bCs/>
                <w:b/>
              </w:rPr>
              <w:t xml:space="preserve">+18,1%</w:t>
            </w:r>
            <w:r>
              <w:t xml:space="preserve"> </w:t>
            </w:r>
            <w:r>
              <w:t xml:space="preserve">de mejora en coste</w:t>
            </w:r>
          </w:p>
        </w:tc>
      </w:tr>
      <w:tr>
        <w:tc>
          <w:tcPr/>
          <w:p>
            <w:pPr>
              <w:pStyle w:val="Compact"/>
              <w:jc w:val="left"/>
            </w:pPr>
            <w:r>
              <w:t xml:space="preserve">Venta esporádica con pico en eventos</w:t>
            </w:r>
          </w:p>
        </w:tc>
        <w:tc>
          <w:tcPr/>
          <w:p>
            <w:pPr>
              <w:pStyle w:val="Compact"/>
              <w:jc w:val="left"/>
            </w:pPr>
            <w:r>
              <w:rPr>
                <w:bCs/>
                <w:b/>
              </w:rPr>
              <w:t xml:space="preserve">+26,2%</w:t>
            </w:r>
          </w:p>
        </w:tc>
      </w:tr>
      <w:tr>
        <w:tc>
          <w:tcPr/>
          <w:p>
            <w:pPr>
              <w:pStyle w:val="Compact"/>
              <w:jc w:val="left"/>
            </w:pPr>
            <w:r>
              <w:t xml:space="preserve">Clase Y</w:t>
            </w:r>
          </w:p>
        </w:tc>
        <w:tc>
          <w:tcPr/>
          <w:p>
            <w:pPr>
              <w:pStyle w:val="Compact"/>
              <w:jc w:val="left"/>
            </w:pPr>
            <w:r>
              <w:t xml:space="preserve">−0,2% (empate)</w:t>
            </w:r>
          </w:p>
        </w:tc>
      </w:tr>
      <w:tr>
        <w:tc>
          <w:tcPr/>
          <w:p>
            <w:pPr>
              <w:pStyle w:val="Compact"/>
              <w:jc w:val="left"/>
            </w:pPr>
            <w:r>
              <w:t xml:space="preserve">Clase X (demanda estable)</w:t>
            </w:r>
          </w:p>
        </w:tc>
        <w:tc>
          <w:tcPr/>
          <w:p>
            <w:pPr>
              <w:pStyle w:val="Compact"/>
              <w:jc w:val="left"/>
            </w:pPr>
            <w:r>
              <w:rPr>
                <w:bCs/>
                <w:b/>
              </w:rPr>
              <w:t xml:space="preserve">−7,8%</w:t>
            </w:r>
            <w:r>
              <w:t xml:space="preserve">: el modelo empeora el resultado</w:t>
            </w:r>
          </w:p>
        </w:tc>
      </w:tr>
      <w:tr>
        <w:tc>
          <w:tcPr/>
          <w:p>
            <w:pPr>
              <w:pStyle w:val="Compact"/>
              <w:jc w:val="left"/>
            </w:pPr>
            <w:r>
              <w:t xml:space="preserve">Alta rotación diaria</w:t>
            </w:r>
          </w:p>
        </w:tc>
        <w:tc>
          <w:tcPr/>
          <w:p>
            <w:pPr>
              <w:pStyle w:val="Compact"/>
              <w:jc w:val="left"/>
            </w:pPr>
            <w:r>
              <w:rPr>
                <w:bCs/>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65" name="Picture"/>
            <a:graphic>
              <a:graphicData uri="http://schemas.openxmlformats.org/drawingml/2006/picture">
                <pic:pic>
                  <pic:nvPicPr>
                    <pic:cNvPr descr="figuras/fig_7_18.png" id="166" name="Picture"/>
                    <pic:cNvPicPr>
                      <a:picLocks noChangeArrowheads="1" noChangeAspect="1"/>
                    </pic:cNvPicPr>
                  </pic:nvPicPr>
                  <pic:blipFill>
                    <a:blip r:embed="rId164"/>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Cs/>
          <w:b/>
        </w:rPr>
        <w:t xml:space="preserve">Figura 7.18.</w:t>
      </w:r>
      <w:r>
        <w:t xml:space="preserve"> </w:t>
      </w:r>
      <w:r>
        <w:t xml:space="preserve">Efecto de usar el modelo frente a la regla histórica, por segmento.</w:t>
      </w:r>
      <w:r>
        <w:t xml:space="preserve"> </w:t>
      </w:r>
      <w:r>
        <w:rPr>
          <w:iCs/>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bookmarkEnd w:id="167"/>
    <w:bookmarkStart w:id="171" w:name="la-función-de-pérdida-correcta"/>
    <w:p>
      <w:pPr>
        <w:pStyle w:val="Heading3"/>
      </w:pPr>
      <w:r>
        <w:t xml:space="preserve">7.4.5. La función de pérdida correcta</w:t>
      </w:r>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Cs/>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Cs/>
          <w:b/>
        </w:rPr>
        <w:t xml:space="preserve">pérdida pinball evaluada en el ratio crítico</w:t>
      </w:r>
      <w:r>
        <w:t xml:space="preserve">:</w:t>
      </w:r>
    </w:p>
    <w:p>
      <w:pPr>
        <w:pStyle w:val="BodyText"/>
      </w:pPr>
      <m:oMathPara>
        <m:oMathParaPr>
          <m:jc m:val="center"/>
        </m:oMathParaPr>
        <m:oMath>
          <m:r>
            <m:t>C</m:t>
          </m:r>
          <m:d>
            <m:dPr>
              <m:begChr m:val="("/>
              <m:endChr m:val=")"/>
              <m:sepChr m:val=""/>
              <m:grow/>
            </m:dPr>
            <m:e>
              <m:r>
                <m:t>S</m:t>
              </m:r>
            </m:e>
          </m:d>
          <m:r>
            <m:rPr>
              <m:sty m:val="p"/>
            </m:rPr>
            <m:t>=</m:t>
          </m:r>
          <m:d>
            <m:dPr>
              <m:begChr m:val="("/>
              <m:endChr m:val=")"/>
              <m:sepChr m:val=""/>
              <m:grow/>
            </m:dPr>
            <m:e>
              <m:sSub>
                <m:e>
                  <m:r>
                    <m:t>C</m:t>
                  </m:r>
                </m:e>
                <m:sub>
                  <m:r>
                    <m:t>u</m:t>
                  </m:r>
                </m:sub>
              </m:sSub>
              <m:r>
                <m:rPr>
                  <m:sty m:val="p"/>
                </m:rPr>
                <m:t>+</m:t>
              </m:r>
              <m:sSub>
                <m:e>
                  <m:r>
                    <m:t>C</m:t>
                  </m:r>
                </m:e>
                <m:sub>
                  <m:r>
                    <m:t>o</m:t>
                  </m:r>
                </m:sub>
              </m:sSub>
            </m:e>
          </m:d>
          <m:r>
            <m:rPr>
              <m:sty m:val="p"/>
            </m:rPr>
            <m:t>⋅</m:t>
          </m:r>
          <m:sSub>
            <m:e>
              <m:r>
                <m:t>L</m:t>
              </m:r>
            </m:e>
            <m:sub>
              <m:sSup>
                <m:e>
                  <m:r>
                    <m:t>τ</m:t>
                  </m:r>
                </m:e>
                <m:sup>
                  <m:r>
                    <m:rPr>
                      <m:sty m:val="p"/>
                    </m:rPr>
                    <m:t>*</m:t>
                  </m:r>
                </m:sup>
              </m:sSup>
            </m:sub>
          </m:sSub>
          <m:d>
            <m:dPr>
              <m:begChr m:val="("/>
              <m:endChr m:val=")"/>
              <m:sepChr m:val=""/>
              <m:grow/>
            </m:dPr>
            <m:e>
              <m:r>
                <m:t>D</m:t>
              </m:r>
              <m:r>
                <m:rPr>
                  <m:sty m:val="p"/>
                </m:rPr>
                <m:t>−</m:t>
              </m:r>
              <m:r>
                <m:t>S</m:t>
              </m:r>
            </m:e>
          </m:d>
        </m:oMath>
      </m:oMathPara>
    </w:p>
    <w:p>
      <w:pPr>
        <w:pStyle w:val="FirstParagraph"/>
      </w:pPr>
      <w:r>
        <w:t xml:space="preserve">De esta identidad se siguen tres consecuencias.</w:t>
      </w:r>
    </w:p>
    <w:p>
      <w:pPr>
        <w:pStyle w:val="BodyText"/>
      </w:pPr>
      <w:r>
        <w:rPr>
          <w:bCs/>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Cs/>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rPr>
                <m:sty m:val="p"/>
              </m:rPr>
              <m:t>*</m:t>
            </m:r>
          </m:sup>
        </m:sSup>
        <m:r>
          <m:rPr>
            <m:sty m:val="p"/>
          </m:rPr>
          <m:t>≈</m:t>
        </m:r>
        <m:r>
          <m:t>0</m:t>
        </m:r>
        <m:r>
          <m:rPr>
            <m:sty m:val="p"/>
          </m:rPr>
          <m:t>,</m:t>
        </m:r>
        <m:r>
          <m:t>83</m:t>
        </m:r>
      </m:oMath>
      <w:r>
        <w:t xml:space="preserve">; con un producto perecedero de merma del 20%,</w:t>
      </w:r>
      <w:r>
        <w:t xml:space="preserve"> </w:t>
      </w:r>
      <m:oMath>
        <m:sSup>
          <m:e>
            <m:r>
              <m:t>τ</m:t>
            </m:r>
          </m:e>
          <m:sup>
            <m:r>
              <m:rPr>
                <m:sty m:val="p"/>
              </m:rPr>
              <m:t>*</m:t>
            </m:r>
          </m:sup>
        </m:sSup>
        <m:r>
          <m:rPr>
            <m:sty m:val="p"/>
          </m:rPr>
          <m:t>≈</m:t>
        </m:r>
        <m:r>
          <m:t>0</m:t>
        </m:r>
        <m:r>
          <m:rPr>
            <m:sty m:val="p"/>
          </m:rP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Cs/>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Candidato</w:t>
            </w:r>
          </w:p>
        </w:tc>
        <w:tc>
          <w:tcPr/>
          <w:p>
            <w:pPr>
              <w:pStyle w:val="Compact"/>
              <w:jc w:val="left"/>
            </w:pPr>
            <w:r>
              <w:t xml:space="preserve">WRMSSE</w:t>
            </w:r>
          </w:p>
        </w:tc>
        <w:tc>
          <w:tcPr/>
          <w:p>
            <w:pPr>
              <w:pStyle w:val="Compact"/>
              <w:jc w:val="left"/>
            </w:pPr>
            <w:r>
              <w:t xml:space="preserve">Coste (USD)</w:t>
            </w:r>
          </w:p>
        </w:tc>
        <w:tc>
          <w:tcPr/>
          <w:p>
            <w:pPr>
              <w:pStyle w:val="Compact"/>
              <w:jc w:val="left"/>
            </w:pPr>
            <w:r>
              <w:t xml:space="preserve">Nivel de servicio</w:t>
            </w:r>
          </w:p>
        </w:tc>
      </w:tr>
      <w:tr>
        <w:tc>
          <w:tcPr/>
          <w:p>
            <w:pPr>
              <w:pStyle w:val="Compact"/>
              <w:jc w:val="left"/>
            </w:pPr>
            <w:r>
              <w:rPr>
                <w:bCs/>
                <w:b/>
              </w:rPr>
              <w:t xml:space="preserve">B · LightGBM + desviación histórica</w:t>
            </w:r>
          </w:p>
        </w:tc>
        <w:tc>
          <w:tcPr/>
          <w:p>
            <w:pPr>
              <w:pStyle w:val="Compact"/>
              <w:jc w:val="left"/>
            </w:pPr>
            <w:r>
              <w:rPr>
                <w:bCs/>
                <w:b/>
              </w:rPr>
              <w:t xml:space="preserve">0,837</w:t>
            </w:r>
          </w:p>
        </w:tc>
        <w:tc>
          <w:tcPr/>
          <w:p>
            <w:pPr>
              <w:pStyle w:val="Compact"/>
              <w:jc w:val="left"/>
            </w:pPr>
            <w:r>
              <w:rPr>
                <w:bCs/>
                <w:b/>
              </w:rPr>
              <w:t xml:space="preserve">256.451</w:t>
            </w:r>
          </w:p>
        </w:tc>
        <w:tc>
          <w:tcPr/>
          <w:p>
            <w:pPr>
              <w:pStyle w:val="Compact"/>
              <w:jc w:val="left"/>
            </w:pPr>
            <w:r>
              <w:t xml:space="preserve">88,9%</w:t>
            </w:r>
          </w:p>
        </w:tc>
      </w:tr>
      <w:tr>
        <w:tc>
          <w:tcPr/>
          <w:p>
            <w:pPr>
              <w:pStyle w:val="Compact"/>
              <w:jc w:val="left"/>
            </w:pPr>
            <w:r>
              <w:t xml:space="preserve">A · media móvil + normal</w:t>
            </w:r>
          </w:p>
        </w:tc>
        <w:tc>
          <w:tcPr/>
          <w:p>
            <w:pPr>
              <w:pStyle w:val="Compact"/>
              <w:jc w:val="left"/>
            </w:pPr>
            <w:r>
              <w:t xml:space="preserve">0,867</w:t>
            </w:r>
          </w:p>
        </w:tc>
        <w:tc>
          <w:tcPr/>
          <w:p>
            <w:pPr>
              <w:pStyle w:val="Compact"/>
              <w:jc w:val="left"/>
            </w:pPr>
            <w:r>
              <w:t xml:space="preserve">263.907</w:t>
            </w:r>
          </w:p>
        </w:tc>
        <w:tc>
          <w:tcPr/>
          <w:p>
            <w:pPr>
              <w:pStyle w:val="Compact"/>
              <w:jc w:val="left"/>
            </w:pPr>
            <w:r>
              <w:t xml:space="preserve">89,0%</w:t>
            </w:r>
          </w:p>
        </w:tc>
      </w:tr>
      <w:tr>
        <w:tc>
          <w:tcPr/>
          <w:p>
            <w:pPr>
              <w:pStyle w:val="Compact"/>
              <w:jc w:val="left"/>
            </w:pPr>
            <w:r>
              <w:t xml:space="preserve">C · LightGBM + desviación de residuos</w:t>
            </w:r>
          </w:p>
        </w:tc>
        <w:tc>
          <w:tcPr/>
          <w:p>
            <w:pPr>
              <w:pStyle w:val="Compact"/>
              <w:jc w:val="left"/>
            </w:pPr>
            <w:r>
              <w:t xml:space="preserve">0,837</w:t>
            </w:r>
          </w:p>
        </w:tc>
        <w:tc>
          <w:tcPr/>
          <w:p>
            <w:pPr>
              <w:pStyle w:val="Compact"/>
              <w:jc w:val="left"/>
            </w:pPr>
            <w:r>
              <w:t xml:space="preserve">265.847</w:t>
            </w:r>
          </w:p>
        </w:tc>
        <w:tc>
          <w:tcPr/>
          <w:p>
            <w:pPr>
              <w:pStyle w:val="Compact"/>
              <w:jc w:val="left"/>
            </w:pPr>
            <w:r>
              <w:t xml:space="preserve">87,2%</w:t>
            </w:r>
          </w:p>
        </w:tc>
      </w:tr>
      <w:tr>
        <w:tc>
          <w:tcPr/>
          <w:p>
            <w:pPr>
              <w:pStyle w:val="Compact"/>
              <w:jc w:val="left"/>
            </w:pPr>
            <w:r>
              <w:t xml:space="preserve">D · cuantílico entrenado en</w:t>
            </w:r>
            <w:r>
              <w:t xml:space="preserve"> </w:t>
            </w:r>
            <m:oMath>
              <m:sSup>
                <m:e>
                  <m:r>
                    <m:t>τ</m:t>
                  </m:r>
                </m:e>
                <m:sup>
                  <m:r>
                    <m:rPr>
                      <m:sty m:val="p"/>
                    </m:rPr>
                    <m:t>*</m:t>
                  </m:r>
                </m:sup>
              </m:sSup>
            </m:oMath>
          </w:p>
        </w:tc>
        <w:tc>
          <w:tcPr/>
          <w:p>
            <w:pPr>
              <w:pStyle w:val="Compact"/>
              <w:jc w:val="left"/>
            </w:pPr>
            <w:r>
              <w:t xml:space="preserve">0,916</w:t>
            </w:r>
          </w:p>
        </w:tc>
        <w:tc>
          <w:tcPr/>
          <w:p>
            <w:pPr>
              <w:pStyle w:val="Compact"/>
              <w:jc w:val="left"/>
            </w:pPr>
            <w:r>
              <w:t xml:space="preserve">315.090</w:t>
            </w:r>
          </w:p>
        </w:tc>
        <w:tc>
          <w:tcPr/>
          <w:p>
            <w:pPr>
              <w:pStyle w:val="Compact"/>
              <w:jc w:val="left"/>
            </w:pPr>
            <w:r>
              <w:t xml:space="preserve">88,7%</w:t>
            </w:r>
          </w:p>
        </w:tc>
      </w:tr>
      <w:tr>
        <w:tc>
          <w:tcPr/>
          <w:p>
            <w:pPr>
              <w:pStyle w:val="Compact"/>
              <w:jc w:val="left"/>
            </w:pPr>
            <w:r>
              <w:t xml:space="preserve">E · cuantílico en 0,90 fijo</w:t>
            </w:r>
          </w:p>
        </w:tc>
        <w:tc>
          <w:tcPr/>
          <w:p>
            <w:pPr>
              <w:pStyle w:val="Compact"/>
              <w:jc w:val="left"/>
            </w:pPr>
            <w:r>
              <w:t xml:space="preserve">1,395</w:t>
            </w:r>
          </w:p>
        </w:tc>
        <w:tc>
          <w:tcPr/>
          <w:p>
            <w:pPr>
              <w:pStyle w:val="Compact"/>
              <w:jc w:val="left"/>
            </w:pPr>
            <w:r>
              <w:rPr>
                <w:bCs/>
                <w:b/>
              </w:rPr>
              <w:t xml:space="preserve">628.935</w:t>
            </w:r>
          </w:p>
        </w:tc>
        <w:tc>
          <w:tcPr/>
          <w:p>
            <w:pPr>
              <w:pStyle w:val="Compact"/>
              <w:jc w:val="left"/>
            </w:pPr>
            <w:r>
              <w:t xml:space="preserve">98,6%</w:t>
            </w:r>
          </w:p>
        </w:tc>
      </w:tr>
    </w:tbl>
    <w:p>
      <w:pPr>
        <w:pStyle w:val="BodyText"/>
      </w:pPr>
      <w:r>
        <w:rPr>
          <w:bCs/>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Cs/>
          <w:b/>
        </w:rPr>
        <w:t xml:space="preserve">La fila E es la política que</w:t>
      </w:r>
      <w:r>
        <w:rPr>
          <w:bCs/>
          <w:b/>
        </w:rPr>
        <w:t xml:space="preserve"> </w:t>
      </w:r>
      <w:r>
        <w:rPr>
          <w:bCs/>
          <w:b/>
        </w:rPr>
        <w:t xml:space="preserve">el trabajo venía aplicando</w:t>
      </w:r>
      <w:r>
        <w:t xml:space="preserve">, con nivel de servicio fijado en 0,90 para todos los segmentos, y</w:t>
      </w:r>
      <w:r>
        <w:t xml:space="preserve"> </w:t>
      </w:r>
      <w:r>
        <w:t xml:space="preserve">resulta ser</w:t>
      </w:r>
      <w:r>
        <w:t xml:space="preserve"> </w:t>
      </w:r>
      <w:r>
        <w:rPr>
          <w:bCs/>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Cs/>
          <w:b/>
        </w:rPr>
        <w:t xml:space="preserve">0,714</w:t>
      </w:r>
      <w:r>
        <w:t xml:space="preserve">, no 0,90.</w:t>
      </w:r>
    </w:p>
    <w:p>
      <w:pPr>
        <w:pStyle w:val="BodyText"/>
      </w:pPr>
      <w:r>
        <w:t xml:space="preserve">Es decir: la pregunta por la función de pérdida no cambió el modelo, cambió</w:t>
      </w:r>
      <w:r>
        <w:t xml:space="preserve"> </w:t>
      </w:r>
      <w:r>
        <w:rPr>
          <w:bCs/>
          <w:b/>
        </w:rPr>
        <w:t xml:space="preserve">el nivel de</w:t>
      </w:r>
      <w:r>
        <w:rPr>
          <w:bCs/>
          <w:b/>
        </w:rPr>
        <w:t xml:space="preserve"> </w:t>
      </w:r>
      <w:r>
        <w:rPr>
          <w:bCs/>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69" name="Picture"/>
            <a:graphic>
              <a:graphicData uri="http://schemas.openxmlformats.org/drawingml/2006/picture">
                <pic:pic>
                  <pic:nvPicPr>
                    <pic:cNvPr descr="figuras/fig_7_19.png" id="170" name="Picture"/>
                    <pic:cNvPicPr>
                      <a:picLocks noChangeArrowheads="1" noChangeAspect="1"/>
                    </pic:cNvPicPr>
                  </pic:nvPicPr>
                  <pic:blipFill>
                    <a:blip r:embed="rId168"/>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Cs/>
          <w:b/>
        </w:rPr>
        <w:t xml:space="preserve">Figura 7.19.</w:t>
      </w:r>
      <w:r>
        <w:t xml:space="preserve"> </w:t>
      </w:r>
      <w:r>
        <w:t xml:space="preserve">Coste total del período por candidato de modelo y nivel de servicio alcanzado.</w:t>
      </w:r>
      <w:r>
        <w:t xml:space="preserve"> </w:t>
      </w:r>
      <w:r>
        <w:rPr>
          <w:iCs/>
          <w:i/>
        </w:rPr>
        <w:t xml:space="preserve">Fuente: elaboración propia.</w:t>
      </w:r>
    </w:p>
    <w:p>
      <w:pPr>
        <w:pStyle w:val="BodyText"/>
      </w:pPr>
      <w:r>
        <w:rPr>
          <w:iCs/>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Cs/>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Cs/>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bookmarkEnd w:id="171"/>
    <w:bookmarkStart w:id="175" w:name="Xbf4a07bd22212f91c28182313c7a855310137a2"/>
    <w:p>
      <w:pPr>
        <w:pStyle w:val="Heading3"/>
      </w:pPr>
      <w:r>
        <w:t xml:space="preserve">7.4.6. La curva de servicio y quién decide el óptimo</w:t>
      </w:r>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Supuesto de merma sobre el remanente</w:t>
            </w:r>
          </w:p>
        </w:tc>
        <w:tc>
          <w:tcPr/>
          <w:p>
            <w:pPr>
              <w:pStyle w:val="Compact"/>
              <w:jc w:val="left"/>
            </w:pPr>
            <w:r>
              <w:t xml:space="preserve">Nivel de servicio óptimo</w:t>
            </w:r>
          </w:p>
        </w:tc>
      </w:tr>
      <w:tr>
        <w:tc>
          <w:tcPr/>
          <w:p>
            <w:pPr>
              <w:pStyle w:val="Compact"/>
              <w:jc w:val="left"/>
            </w:pPr>
            <w:r>
              <w:t xml:space="preserve">0%</w:t>
            </w:r>
          </w:p>
        </w:tc>
        <w:tc>
          <w:tcPr/>
          <w:p>
            <w:pPr>
              <w:pStyle w:val="Compact"/>
              <w:jc w:val="left"/>
            </w:pPr>
            <w:r>
              <w:t xml:space="preserve">99%</w:t>
            </w:r>
          </w:p>
        </w:tc>
      </w:tr>
      <w:tr>
        <w:tc>
          <w:tcPr/>
          <w:p>
            <w:pPr>
              <w:pStyle w:val="Compact"/>
              <w:jc w:val="left"/>
            </w:pPr>
            <w:r>
              <w:t xml:space="preserve">10%</w:t>
            </w:r>
          </w:p>
        </w:tc>
        <w:tc>
          <w:tcPr/>
          <w:p>
            <w:pPr>
              <w:pStyle w:val="Compact"/>
              <w:jc w:val="left"/>
            </w:pPr>
            <w:r>
              <w:t xml:space="preserve">90%</w:t>
            </w:r>
          </w:p>
        </w:tc>
      </w:tr>
      <w:tr>
        <w:tc>
          <w:tcPr/>
          <w:p>
            <w:pPr>
              <w:pStyle w:val="Compact"/>
              <w:jc w:val="left"/>
            </w:pPr>
            <w:r>
              <w:t xml:space="preserve">20%</w:t>
            </w:r>
          </w:p>
        </w:tc>
        <w:tc>
          <w:tcPr/>
          <w:p>
            <w:pPr>
              <w:pStyle w:val="Compact"/>
              <w:jc w:val="left"/>
            </w:pPr>
            <w:r>
              <w:t xml:space="preserve">80%</w:t>
            </w:r>
          </w:p>
        </w:tc>
      </w:tr>
    </w:tbl>
    <w:p>
      <w:pPr>
        <w:pStyle w:val="BodyText"/>
      </w:pPr>
      <w:r>
        <w:t xml:space="preserve">Y el contraste que da sentido a la tabla:</w:t>
      </w:r>
      <w:r>
        <w:t xml:space="preserve"> </w:t>
      </w:r>
      <w:r>
        <w:rPr>
          <w:bCs/>
          <w:b/>
        </w:rPr>
        <w:t xml:space="preserve">mover el margen bruto entre el 10% y el 35% deja el</w:t>
      </w:r>
      <w:r>
        <w:rPr>
          <w:bCs/>
          <w:b/>
        </w:rPr>
        <w:t xml:space="preserve"> </w:t>
      </w:r>
      <w:r>
        <w:rPr>
          <w:bCs/>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Cs/>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73" name="Picture"/>
            <a:graphic>
              <a:graphicData uri="http://schemas.openxmlformats.org/drawingml/2006/picture">
                <pic:pic>
                  <pic:nvPicPr>
                    <pic:cNvPr descr="figuras/fig_7_20.png" id="174" name="Picture"/>
                    <pic:cNvPicPr>
                      <a:picLocks noChangeArrowheads="1" noChangeAspect="1"/>
                    </pic:cNvPicPr>
                  </pic:nvPicPr>
                  <pic:blipFill>
                    <a:blip r:embed="rId172"/>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Cs/>
          <w:b/>
        </w:rPr>
        <w:t xml:space="preserve">Figura 7.20.</w:t>
      </w:r>
      <w:r>
        <w:t xml:space="preserve"> </w:t>
      </w:r>
      <w:r>
        <w:t xml:space="preserve">Coste total por nivel de servicio objetivo y supuesto de merma.</w:t>
      </w:r>
      <w:r>
        <w:t xml:space="preserve"> </w:t>
      </w:r>
      <w:r>
        <w:rPr>
          <w:iCs/>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Cs/>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bookmarkEnd w:id="175"/>
    <w:bookmarkStart w:id="179" w:name="cuánta-demanda-no-estamos-viendo"/>
    <w:p>
      <w:pPr>
        <w:pStyle w:val="Heading3"/>
      </w:pPr>
      <w:r>
        <w:t xml:space="preserve">7.4.7. Cuánta demanda no estamos viendo</w:t>
      </w:r>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Cs/>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Cs/>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Longitud de la racha</w:t>
            </w:r>
          </w:p>
        </w:tc>
        <w:tc>
          <w:tcPr/>
          <w:p>
            <w:pPr>
              <w:pStyle w:val="Compact"/>
              <w:jc w:val="left"/>
            </w:pPr>
            <w:r>
              <w:t xml:space="preserve">Observado</w:t>
            </w:r>
          </w:p>
        </w:tc>
        <w:tc>
          <w:tcPr/>
          <w:p>
            <w:pPr>
              <w:pStyle w:val="Compact"/>
              <w:jc w:val="left"/>
            </w:pPr>
            <w:r>
              <w:t xml:space="preserve">Esperable por azar</w:t>
            </w:r>
          </w:p>
        </w:tc>
        <w:tc>
          <w:tcPr/>
          <w:p>
            <w:pPr>
              <w:pStyle w:val="Compact"/>
              <w:jc w:val="left"/>
            </w:pPr>
            <w:r>
              <w:t xml:space="preserve">Exceso</w:t>
            </w:r>
          </w:p>
        </w:tc>
      </w:tr>
      <w:tr>
        <w:tc>
          <w:tcPr/>
          <w:p>
            <w:pPr>
              <w:pStyle w:val="Compact"/>
              <w:jc w:val="left"/>
            </w:pPr>
            <w:r>
              <w:t xml:space="preserve">≥ 2 días</w:t>
            </w:r>
          </w:p>
        </w:tc>
        <w:tc>
          <w:tcPr/>
          <w:p>
            <w:pPr>
              <w:pStyle w:val="Compact"/>
              <w:jc w:val="left"/>
            </w:pPr>
            <w:r>
              <w:t xml:space="preserve">26,37%</w:t>
            </w:r>
          </w:p>
        </w:tc>
        <w:tc>
          <w:tcPr/>
          <w:p>
            <w:pPr>
              <w:pStyle w:val="Compact"/>
              <w:jc w:val="left"/>
            </w:pPr>
            <w:r>
              <w:t xml:space="preserve">8,11%</w:t>
            </w:r>
          </w:p>
        </w:tc>
        <w:tc>
          <w:tcPr/>
          <w:p>
            <w:pPr>
              <w:pStyle w:val="Compact"/>
              <w:jc w:val="left"/>
            </w:pPr>
            <w:r>
              <w:t xml:space="preserve">+18,3 pp</w:t>
            </w:r>
          </w:p>
        </w:tc>
      </w:tr>
      <w:tr>
        <w:tc>
          <w:tcPr/>
          <w:p>
            <w:pPr>
              <w:pStyle w:val="Compact"/>
              <w:jc w:val="left"/>
            </w:pPr>
            <w:r>
              <w:t xml:space="preserve">≥ 3 días</w:t>
            </w:r>
          </w:p>
        </w:tc>
        <w:tc>
          <w:tcPr/>
          <w:p>
            <w:pPr>
              <w:pStyle w:val="Compact"/>
              <w:jc w:val="left"/>
            </w:pPr>
            <w:r>
              <w:t xml:space="preserve">11,66%</w:t>
            </w:r>
          </w:p>
        </w:tc>
        <w:tc>
          <w:tcPr/>
          <w:p>
            <w:pPr>
              <w:pStyle w:val="Compact"/>
              <w:jc w:val="left"/>
            </w:pPr>
            <w:r>
              <w:t xml:space="preserve">0,99%</w:t>
            </w:r>
          </w:p>
        </w:tc>
        <w:tc>
          <w:tcPr/>
          <w:p>
            <w:pPr>
              <w:pStyle w:val="Compact"/>
              <w:jc w:val="left"/>
            </w:pPr>
            <w:r>
              <w:t xml:space="preserve">+10,7 pp</w:t>
            </w:r>
          </w:p>
        </w:tc>
      </w:tr>
      <w:tr>
        <w:tc>
          <w:tcPr/>
          <w:p>
            <w:pPr>
              <w:pStyle w:val="Compact"/>
              <w:jc w:val="left"/>
            </w:pPr>
            <w:r>
              <w:t xml:space="preserve">≥ 4 días</w:t>
            </w:r>
          </w:p>
        </w:tc>
        <w:tc>
          <w:tcPr/>
          <w:p>
            <w:pPr>
              <w:pStyle w:val="Compact"/>
              <w:jc w:val="left"/>
            </w:pPr>
            <w:r>
              <w:t xml:space="preserve">6,78%</w:t>
            </w:r>
          </w:p>
        </w:tc>
        <w:tc>
          <w:tcPr/>
          <w:p>
            <w:pPr>
              <w:pStyle w:val="Compact"/>
              <w:jc w:val="left"/>
            </w:pPr>
            <w:r>
              <w:t xml:space="preserve">0,15%</w:t>
            </w:r>
          </w:p>
        </w:tc>
        <w:tc>
          <w:tcPr/>
          <w:p>
            <w:pPr>
              <w:pStyle w:val="Compact"/>
              <w:jc w:val="left"/>
            </w:pPr>
            <w:r>
              <w:t xml:space="preserve">+6,6 pp</w:t>
            </w:r>
          </w:p>
        </w:tc>
      </w:tr>
      <w:tr>
        <w:tc>
          <w:tcPr/>
          <w:p>
            <w:pPr>
              <w:pStyle w:val="Compact"/>
              <w:jc w:val="left"/>
            </w:pPr>
            <w:r>
              <w:t xml:space="preserve">≥ 5 días</w:t>
            </w:r>
          </w:p>
        </w:tc>
        <w:tc>
          <w:tcPr/>
          <w:p>
            <w:pPr>
              <w:pStyle w:val="Compact"/>
              <w:jc w:val="left"/>
            </w:pPr>
            <w:r>
              <w:t xml:space="preserve">4,88%</w:t>
            </w:r>
          </w:p>
        </w:tc>
        <w:tc>
          <w:tcPr/>
          <w:p>
            <w:pPr>
              <w:pStyle w:val="Compact"/>
              <w:jc w:val="left"/>
            </w:pPr>
            <w:r>
              <w:t xml:space="preserve">0,02%</w:t>
            </w:r>
          </w:p>
        </w:tc>
        <w:tc>
          <w:tcPr/>
          <w:p>
            <w:pPr>
              <w:pStyle w:val="Compact"/>
              <w:jc w:val="left"/>
            </w:pPr>
            <w:r>
              <w:t xml:space="preserve">+4,9 pp</w:t>
            </w:r>
          </w:p>
        </w:tc>
      </w:tr>
    </w:tbl>
    <w:p>
      <w:pPr>
        <w:pStyle w:val="BodyText"/>
      </w:pPr>
      <w:r>
        <w:t xml:space="preserve">Las rachas de tres días o más resultan</w:t>
      </w:r>
      <w:r>
        <w:t xml:space="preserve"> </w:t>
      </w:r>
      <w:r>
        <w:rPr>
          <w:bCs/>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77" name="Picture"/>
            <a:graphic>
              <a:graphicData uri="http://schemas.openxmlformats.org/drawingml/2006/picture">
                <pic:pic>
                  <pic:nvPicPr>
                    <pic:cNvPr descr="figuras/fig_7_21.png" id="178" name="Picture"/>
                    <pic:cNvPicPr>
                      <a:picLocks noChangeArrowheads="1" noChangeAspect="1"/>
                    </pic:cNvPicPr>
                  </pic:nvPicPr>
                  <pic:blipFill>
                    <a:blip r:embed="rId176"/>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Cs/>
          <w:b/>
        </w:rPr>
        <w:t xml:space="preserve">Figura 7.21.</w:t>
      </w:r>
      <w:r>
        <w:t xml:space="preserve"> </w:t>
      </w:r>
      <w:r>
        <w:t xml:space="preserve">Rachas de ceros sospechosos: frecuencia observada frente a la esperable por azar.</w:t>
      </w:r>
      <w:r>
        <w:t xml:space="preserve"> </w:t>
      </w:r>
      <w:r>
        <w:rPr>
          <w:iCs/>
          <w:i/>
        </w:rPr>
        <w:t xml:space="preserve">Fuente: elaboración propia.</w:t>
      </w:r>
    </w:p>
    <w:p>
      <w:pPr>
        <w:pStyle w:val="BodyText"/>
      </w:pPr>
      <w:r>
        <w:rPr>
          <w:bCs/>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Cs/>
          <w:b/>
        </w:rPr>
        <w:t xml:space="preserve">3,11 y 9,64 millones de unidades</w:t>
      </w:r>
      <w:r>
        <w:t xml:space="preserve">, es decir entre el</w:t>
      </w:r>
      <w:r>
        <w:t xml:space="preserve"> </w:t>
      </w:r>
      <w:r>
        <w:rPr>
          <w:bCs/>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Cs/>
          <w:b/>
        </w:rPr>
        <w:t xml:space="preserve">la censura no se concentra en la cola</w:t>
      </w:r>
      <w:r>
        <w:rPr>
          <w:bCs/>
          <w:b/>
        </w:rPr>
        <w:t xml:space="preserve"> </w:t>
      </w:r>
      <w:r>
        <w:rPr>
          <w:bCs/>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Cs/>
          <w:b/>
        </w:rPr>
        <w:t xml:space="preserve">AX, con 1,70 millones de unidades</w:t>
      </w:r>
      <w:r>
        <w:rPr>
          <w:bCs/>
          <w:b/>
        </w:rPr>
        <w:t xml:space="preserve"> </w:t>
      </w:r>
      <w:r>
        <w:rPr>
          <w:bCs/>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Cs/>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Cs/>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Cs/>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Margen perdido</w:t>
            </w:r>
          </w:p>
        </w:tc>
        <w:tc>
          <w:tcPr/>
          <w:p>
            <w:pPr>
              <w:pStyle w:val="Compact"/>
              <w:jc w:val="left"/>
            </w:pPr>
            <w:r>
              <w:t xml:space="preserve">Mantenimiento</w:t>
            </w:r>
          </w:p>
        </w:tc>
        <w:tc>
          <w:tcPr/>
          <w:p>
            <w:pPr>
              <w:pStyle w:val="Compact"/>
              <w:jc w:val="left"/>
            </w:pPr>
            <w:r>
              <w:t xml:space="preserve">Proporción</w:t>
            </w:r>
          </w:p>
        </w:tc>
      </w:tr>
      <w:tr>
        <w:tc>
          <w:tcPr/>
          <w:p>
            <w:pPr>
              <w:pStyle w:val="Compact"/>
              <w:jc w:val="left"/>
            </w:pPr>
            <w:r>
              <w:t xml:space="preserve">Medido en la simulación</w:t>
            </w:r>
          </w:p>
        </w:tc>
        <w:tc>
          <w:tcPr/>
          <w:p>
            <w:pPr>
              <w:pStyle w:val="Compact"/>
              <w:jc w:val="left"/>
            </w:pPr>
            <w:r>
              <w:t xml:space="preserve">164.543 USD</w:t>
            </w:r>
          </w:p>
        </w:tc>
        <w:tc>
          <w:tcPr/>
          <w:p>
            <w:pPr>
              <w:pStyle w:val="Compact"/>
              <w:jc w:val="left"/>
            </w:pPr>
            <w:r>
              <w:t xml:space="preserve">11.156 USD</w:t>
            </w:r>
          </w:p>
        </w:tc>
        <w:tc>
          <w:tcPr/>
          <w:p>
            <w:pPr>
              <w:pStyle w:val="Compact"/>
              <w:jc w:val="left"/>
            </w:pPr>
            <w:r>
              <w:t xml:space="preserve">15 : 1</w:t>
            </w:r>
          </w:p>
        </w:tc>
      </w:tr>
      <w:tr>
        <w:tc>
          <w:tcPr/>
          <w:p>
            <w:pPr>
              <w:pStyle w:val="Compact"/>
              <w:jc w:val="left"/>
            </w:pPr>
            <w:r>
              <w:t xml:space="preserve">Con la cota inferior de censura</w:t>
            </w:r>
          </w:p>
        </w:tc>
        <w:tc>
          <w:tcPr/>
          <w:p>
            <w:pPr>
              <w:pStyle w:val="Compact"/>
              <w:jc w:val="left"/>
            </w:pPr>
            <w:r>
              <w:t xml:space="preserve">186.821 USD</w:t>
            </w:r>
          </w:p>
        </w:tc>
        <w:tc>
          <w:tcPr/>
          <w:p>
            <w:pPr>
              <w:pStyle w:val="Compact"/>
              <w:jc w:val="left"/>
            </w:pPr>
            <w:r>
              <w:t xml:space="preserve">11.156 USD</w:t>
            </w:r>
          </w:p>
        </w:tc>
        <w:tc>
          <w:tcPr/>
          <w:p>
            <w:pPr>
              <w:pStyle w:val="Compact"/>
              <w:jc w:val="left"/>
            </w:pPr>
            <w:r>
              <w:rPr>
                <w:bCs/>
                <w:b/>
              </w:rPr>
              <w:t xml:space="preserve">17 : 1</w:t>
            </w:r>
          </w:p>
        </w:tc>
      </w:tr>
      <w:tr>
        <w:tc>
          <w:tcPr/>
          <w:p>
            <w:pPr>
              <w:pStyle w:val="Compact"/>
              <w:jc w:val="left"/>
            </w:pPr>
            <w:r>
              <w:t xml:space="preserve">Con la cota superior de censura</w:t>
            </w:r>
          </w:p>
        </w:tc>
        <w:tc>
          <w:tcPr/>
          <w:p>
            <w:pPr>
              <w:pStyle w:val="Compact"/>
              <w:jc w:val="left"/>
            </w:pPr>
            <w:r>
              <w:t xml:space="preserve">338.520 USD</w:t>
            </w:r>
          </w:p>
        </w:tc>
        <w:tc>
          <w:tcPr/>
          <w:p>
            <w:pPr>
              <w:pStyle w:val="Compact"/>
              <w:jc w:val="left"/>
            </w:pPr>
            <w:r>
              <w:t xml:space="preserve">11.156 USD</w:t>
            </w:r>
          </w:p>
        </w:tc>
        <w:tc>
          <w:tcPr/>
          <w:p>
            <w:pPr>
              <w:pStyle w:val="Compact"/>
              <w:jc w:val="left"/>
            </w:pPr>
            <w:r>
              <w:rPr>
                <w:bCs/>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Cs/>
          <w:b/>
        </w:rPr>
        <w:t xml:space="preserve">el inventario diario por tienda y referencia</w:t>
      </w:r>
      <w:r>
        <w:t xml:space="preserve">, porque es el único dato que convertiría</w:t>
      </w:r>
      <w:r>
        <w:t xml:space="preserve"> </w:t>
      </w:r>
      <w:r>
        <w:t xml:space="preserve">estas cotas en una medición.</w:t>
      </w:r>
    </w:p>
    <w:bookmarkEnd w:id="179"/>
    <w:bookmarkStart w:id="180" w:name="qué-abre-el-capítulo-siguiente-3"/>
    <w:p>
      <w:pPr>
        <w:pStyle w:val="Heading3"/>
      </w:pPr>
      <w:r>
        <w:t xml:space="preserve">7.4.8. Qué abre el capítulo siguiente</w:t>
      </w:r>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bookmarkEnd w:id="180"/>
    <w:bookmarkEnd w:id="181"/>
    <w:bookmarkStart w:id="198" w:name="se-puede-mover-el-precio"/>
    <w:p>
      <w:pPr>
        <w:pStyle w:val="Heading2"/>
      </w:pPr>
      <w:r>
        <w:t xml:space="preserve">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Cs/>
          <w:b/>
        </w:rPr>
        <w:t xml:space="preserve">con estos datos la pregunta no se puede</w:t>
      </w:r>
      <w:r>
        <w:rPr>
          <w:bCs/>
          <w:b/>
        </w:rPr>
        <w:t xml:space="preserve"> </w:t>
      </w:r>
      <w:r>
        <w:rPr>
          <w:bCs/>
          <w:b/>
        </w:rPr>
        <w:t xml:space="preserve">responder</w:t>
      </w:r>
      <w:r>
        <w:t xml:space="preserve">, y esa conclusión se sostiene sobre una prueba y no sobre una impresión.</w:t>
      </w:r>
    </w:p>
    <w:bookmarkStart w:id="182" w:name="la-especificación"/>
    <w:p>
      <w:pPr>
        <w:pStyle w:val="Heading3"/>
      </w:pPr>
      <w:r>
        <w:t xml:space="preserve">7.5.1. La especificación</w:t>
      </w:r>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sty m:val="p"/>
            </m:rPr>
            <m:t>log</m:t>
          </m:r>
          <m:d>
            <m:dPr>
              <m:begChr m:val="("/>
              <m:endChr m:val=")"/>
              <m:sepChr m:val=""/>
              <m:grow/>
            </m:dPr>
            <m:e>
              <m:sSub>
                <m:e>
                  <m:r>
                    <m:t>q</m:t>
                  </m:r>
                </m:e>
                <m:sub>
                  <m:r>
                    <m:t>i</m:t>
                  </m:r>
                  <m:r>
                    <m:t>s</m:t>
                  </m:r>
                  <m:r>
                    <m:t>t</m:t>
                  </m:r>
                </m:sub>
              </m:sSub>
            </m:e>
          </m:d>
          <m:r>
            <m:rPr>
              <m:sty m:val="p"/>
            </m:rPr>
            <m:t>=</m:t>
          </m:r>
          <m:r>
            <m:t>β</m:t>
          </m:r>
          <m:r>
            <m:rPr>
              <m:sty m:val="p"/>
            </m:rPr>
            <m:t>log</m:t>
          </m:r>
          <m:d>
            <m:dPr>
              <m:begChr m:val="("/>
              <m:endChr m:val=")"/>
              <m:sepChr m:val=""/>
              <m:grow/>
            </m:dPr>
            <m:e>
              <m:sSub>
                <m:e>
                  <m:r>
                    <m:t>p</m:t>
                  </m:r>
                </m:e>
                <m:sub>
                  <m:r>
                    <m:t>i</m:t>
                  </m:r>
                  <m:r>
                    <m:t>s</m:t>
                  </m:r>
                  <m:r>
                    <m:t>t</m:t>
                  </m:r>
                </m:sub>
              </m:sSub>
            </m:e>
          </m:d>
          <m:r>
            <m:rPr>
              <m:sty m:val="p"/>
            </m:rPr>
            <m:t>+</m:t>
          </m:r>
          <m:sSub>
            <m:e>
              <m:r>
                <m:t>α</m:t>
              </m:r>
            </m:e>
            <m:sub>
              <m:r>
                <m:t>i</m:t>
              </m:r>
              <m:r>
                <m:t>s</m:t>
              </m:r>
            </m:sub>
          </m:sSub>
          <m:r>
            <m:rPr>
              <m:sty m:val="p"/>
            </m:rPr>
            <m:t>+</m:t>
          </m:r>
          <m:sSub>
            <m:e>
              <m:r>
                <m:t>γ</m:t>
              </m:r>
            </m:e>
            <m:sub>
              <m:r>
                <m:t>t</m:t>
              </m:r>
            </m:sub>
          </m:sSub>
          <m:r>
            <m:rPr>
              <m:sty m:val="p"/>
            </m:rP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Cs/>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bookmarkEnd w:id="182"/>
    <w:bookmarkStart w:id="186" w:name="un-resultado-excelente"/>
    <w:p>
      <w:pPr>
        <w:pStyle w:val="Heading3"/>
      </w:pPr>
      <w:r>
        <w:t xml:space="preserve">7.5.2. Un resultado excelente</w:t>
      </w:r>
    </w:p>
    <w:p>
      <w:pPr>
        <w:pStyle w:val="FirstParagraph"/>
      </w:pPr>
      <w:r>
        <w:t xml:space="preserve">La estimación arroja una elasticidad de</w:t>
      </w:r>
      <w:r>
        <w:t xml:space="preserve"> </w:t>
      </w:r>
      <w:r>
        <w:rPr>
          <w:bCs/>
          <w:b/>
        </w:rPr>
        <w:t xml:space="preserve">−0,395</w:t>
      </w:r>
      <w:r>
        <w:t xml:space="preserve"> </w:t>
      </w:r>
      <w:r>
        <w:t xml:space="preserve">con un estadístico</w:t>
      </w:r>
      <w:r>
        <w:t xml:space="preserve"> </w:t>
      </w:r>
      <m:oMath>
        <m:r>
          <m:t>t</m:t>
        </m:r>
      </m:oMath>
      <w:r>
        <w:t xml:space="preserve"> </w:t>
      </w:r>
      <w:r>
        <w:t xml:space="preserve">de</w:t>
      </w:r>
      <w:r>
        <w:t xml:space="preserve"> </w:t>
      </w:r>
      <w:r>
        <w:rPr>
          <w:bCs/>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84" name="Picture"/>
            <a:graphic>
              <a:graphicData uri="http://schemas.openxmlformats.org/drawingml/2006/picture">
                <pic:pic>
                  <pic:nvPicPr>
                    <pic:cNvPr descr="figuras/fig_7_22.png" id="185" name="Picture"/>
                    <pic:cNvPicPr>
                      <a:picLocks noChangeArrowheads="1" noChangeAspect="1"/>
                    </pic:cNvPicPr>
                  </pic:nvPicPr>
                  <pic:blipFill>
                    <a:blip r:embed="rId183"/>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Cs/>
          <w:b/>
        </w:rPr>
        <w:t xml:space="preserve">Figura 7.22.</w:t>
      </w:r>
      <w:r>
        <w:t xml:space="preserve"> </w:t>
      </w:r>
      <w:r>
        <w:t xml:space="preserve">Elasticidad estimada por grupo de producto, con intervalo de confianza del 95 %.</w:t>
      </w:r>
      <w:r>
        <w:t xml:space="preserve"> </w:t>
      </w:r>
      <w:r>
        <w:rPr>
          <w:iCs/>
          <w:i/>
        </w:rPr>
        <w:t xml:space="preserve">Fuente: elaboración propia.</w:t>
      </w:r>
    </w:p>
    <w:bookmarkEnd w:id="186"/>
    <w:bookmarkStart w:id="190" w:name="la-prueba-que-lo-derriba"/>
    <w:p>
      <w:pPr>
        <w:pStyle w:val="Heading3"/>
      </w:pPr>
      <w:r>
        <w:t xml:space="preserve">7.5.3. La prueba que lo derriba</w:t>
      </w:r>
    </w:p>
    <w:p>
      <w:pPr>
        <w:pStyle w:val="FirstParagraph"/>
      </w:pPr>
      <w:r>
        <w:t xml:space="preserve">Antes de escribirlo así, se aplicó una</w:t>
      </w:r>
      <w:r>
        <w:t xml:space="preserve"> </w:t>
      </w:r>
      <w:r>
        <w:rPr>
          <w:bCs/>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Cs/>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Cs/>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88" name="Picture"/>
            <a:graphic>
              <a:graphicData uri="http://schemas.openxmlformats.org/drawingml/2006/picture">
                <pic:pic>
                  <pic:nvPicPr>
                    <pic:cNvPr descr="figuras/fig_7_23.png" id="189" name="Picture"/>
                    <pic:cNvPicPr>
                      <a:picLocks noChangeArrowheads="1" noChangeAspect="1"/>
                    </pic:cNvPicPr>
                  </pic:nvPicPr>
                  <pic:blipFill>
                    <a:blip r:embed="rId187"/>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Cs/>
          <w:b/>
        </w:rPr>
        <w:t xml:space="preserve">Figura 7.23.</w:t>
      </w:r>
      <w:r>
        <w:t xml:space="preserve"> </w:t>
      </w:r>
      <w:r>
        <w:t xml:space="preserve">Coeficiente estimado frente al coeficiente placebo con el precio de la semana siguiente.</w:t>
      </w:r>
      <w:r>
        <w:t xml:space="preserve"> </w:t>
      </w:r>
      <w:r>
        <w:rPr>
          <w:iCs/>
          <w:i/>
        </w:rPr>
        <w:t xml:space="preserve">Fuente: elaboración propia.</w:t>
      </w:r>
    </w:p>
    <w:p>
      <w:pPr>
        <w:pStyle w:val="BodyText"/>
      </w:pPr>
      <w:r>
        <w:t xml:space="preserve">Como comprobación adicional se estimó el modelo en</w:t>
      </w:r>
      <w:r>
        <w:t xml:space="preserve"> </w:t>
      </w:r>
      <w:r>
        <w:rPr>
          <w:bCs/>
          <w:b/>
        </w:rPr>
        <w:t xml:space="preserve">primeras diferencias</w:t>
      </w:r>
      <w:r>
        <w:t xml:space="preserve">, que elimina</w:t>
      </w:r>
      <w:r>
        <w:t xml:space="preserve"> </w:t>
      </w:r>
      <w:r>
        <w:t xml:space="preserve">cualquier componente de nivel persistente. La elasticidad estimada pasa a</w:t>
      </w:r>
      <w:r>
        <w:t xml:space="preserve"> </w:t>
      </w:r>
      <w:r>
        <w:rPr>
          <w:bCs/>
          <w:b/>
        </w:rPr>
        <w:t xml:space="preserve">+0,02</w:t>
      </w:r>
      <w:r>
        <w:t xml:space="preserve">: el efecto</w:t>
      </w:r>
      <w:r>
        <w:t xml:space="preserve"> </w:t>
      </w:r>
      <w:r>
        <w:t xml:space="preserve">desaparece por completo.</w:t>
      </w:r>
    </w:p>
    <w:bookmarkEnd w:id="190"/>
    <w:bookmarkStart w:id="191" w:name="Xd39cd14ce4ff5a4038fd67217aae4b4b1f6b636"/>
    <w:p>
      <w:pPr>
        <w:pStyle w:val="Heading3"/>
      </w:pPr>
      <w:r>
        <w:t xml:space="preserve">7.5.4. Por qué ocurre: el precio casi no se mueve</w:t>
      </w:r>
    </w:p>
    <w:p>
      <w:pPr>
        <w:pStyle w:val="FirstParagraph"/>
      </w:pPr>
      <w:r>
        <w:t xml:space="preserve">El diagnóstico se completa con un dato descriptivo que explica la fragilidad de la estimación.</w:t>
      </w:r>
      <w:r>
        <w:t xml:space="preserve"> </w:t>
      </w:r>
      <w:r>
        <w:rPr>
          <w:bCs/>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bookmarkEnd w:id="191"/>
    <w:bookmarkStart w:id="195" w:name="lo-que-sí-respondería-la-pregunta"/>
    <w:p>
      <w:pPr>
        <w:pStyle w:val="Heading3"/>
      </w:pPr>
      <w:r>
        <w:t xml:space="preserve">7.5.5. Lo que sí respondería la pregunta</w:t>
      </w:r>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Cs/>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Cs/>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93" name="Picture"/>
            <a:graphic>
              <a:graphicData uri="http://schemas.openxmlformats.org/drawingml/2006/picture">
                <pic:pic>
                  <pic:nvPicPr>
                    <pic:cNvPr descr="figuras/fig_7_24.png" id="194" name="Picture"/>
                    <pic:cNvPicPr>
                      <a:picLocks noChangeArrowheads="1" noChangeAspect="1"/>
                    </pic:cNvPicPr>
                  </pic:nvPicPr>
                  <pic:blipFill>
                    <a:blip r:embed="rId192"/>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Cs/>
          <w:b/>
        </w:rPr>
        <w:t xml:space="preserve">Figura 7.24.</w:t>
      </w:r>
      <w:r>
        <w:t xml:space="preserve"> </w:t>
      </w:r>
      <w:r>
        <w:t xml:space="preserve">Curva de potencia frente al tamaño de muestra por brazo.</w:t>
      </w:r>
      <w:r>
        <w:t xml:space="preserve"> </w:t>
      </w:r>
      <w:r>
        <w:rPr>
          <w:iCs/>
          <w:i/>
        </w:rPr>
        <w:t xml:space="preserve">Fuente: elaboración propia.</w:t>
      </w:r>
    </w:p>
    <w:bookmarkEnd w:id="195"/>
    <w:bookmarkStart w:id="196" w:name="el-valor-de-un-resultado-negativo"/>
    <w:p>
      <w:pPr>
        <w:pStyle w:val="Heading3"/>
      </w:pPr>
      <w:r>
        <w:t xml:space="preserve">7.5.6. El valor de un resultado negativo</w:t>
      </w:r>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bookmarkEnd w:id="196"/>
    <w:bookmarkStart w:id="197" w:name="qué-abre-el-capítulo-siguiente-4"/>
    <w:p>
      <w:pPr>
        <w:pStyle w:val="Heading3"/>
      </w:pPr>
      <w:r>
        <w:t xml:space="preserve">7.5.7. Qué abre el capítulo siguiente</w:t>
      </w:r>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bookmarkEnd w:id="197"/>
    <w:bookmarkEnd w:id="198"/>
    <w:bookmarkStart w:id="213" w:name="cómo-se-sostiene-esto-en-el-tiempo"/>
    <w:p>
      <w:pPr>
        <w:pStyle w:val="Heading2"/>
      </w:pPr>
      <w:r>
        <w:t xml:space="preserve">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bookmarkStart w:id="199" w:name="el-problema-que-resuelve"/>
    <w:p>
      <w:pPr>
        <w:pStyle w:val="Heading3"/>
      </w:pPr>
      <w:r>
        <w:t xml:space="preserve">7.6.1. El problema que resuelve</w:t>
      </w:r>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bookmarkEnd w:id="199"/>
    <w:bookmarkStart w:id="203" w:name="lo-que-se-construyó"/>
    <w:p>
      <w:pPr>
        <w:pStyle w:val="Heading3"/>
      </w:pPr>
      <w:r>
        <w:t xml:space="preserve">7.6.2. Lo que se construyó</w:t>
      </w:r>
    </w:p>
    <w:p>
      <w:pPr>
        <w:pStyle w:val="FirstParagraph"/>
      </w:pPr>
      <w:r>
        <w:rPr>
          <w:bCs/>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Cs/>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Cs/>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Cs/>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Cs/>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201" name="Picture"/>
            <a:graphic>
              <a:graphicData uri="http://schemas.openxmlformats.org/drawingml/2006/picture">
                <pic:pic>
                  <pic:nvPicPr>
                    <pic:cNvPr descr="figuras/fig_7_25.png" id="202" name="Picture"/>
                    <pic:cNvPicPr>
                      <a:picLocks noChangeArrowheads="1" noChangeAspect="1"/>
                    </pic:cNvPicPr>
                  </pic:nvPicPr>
                  <pic:blipFill>
                    <a:blip r:embed="rId200"/>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Cs/>
          <w:b/>
        </w:rPr>
        <w:t xml:space="preserve">Figura 7.25.</w:t>
      </w:r>
      <w:r>
        <w:t xml:space="preserve"> </w:t>
      </w:r>
      <w:r>
        <w:t xml:space="preserve">El sistema completo, de los ficheros de origen a los tres consumidores.</w:t>
      </w:r>
      <w:r>
        <w:t xml:space="preserve"> </w:t>
      </w:r>
      <w:r>
        <w:rPr>
          <w:iCs/>
          <w:i/>
        </w:rPr>
        <w:t xml:space="preserve">Fuente: elaboración propia.</w:t>
      </w:r>
    </w:p>
    <w:bookmarkEnd w:id="203"/>
    <w:bookmarkStart w:id="207" w:name="X681881246d7709f9cb258ce7868824ae2268875"/>
    <w:p>
      <w:pPr>
        <w:pStyle w:val="Heading3"/>
      </w:pPr>
      <w:r>
        <w:t xml:space="preserve">7.6.3. La capa de lenguaje natural y su regla de diseño</w:t>
      </w:r>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Cs/>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205" name="Picture"/>
            <a:graphic>
              <a:graphicData uri="http://schemas.openxmlformats.org/drawingml/2006/picture">
                <pic:pic>
                  <pic:nvPicPr>
                    <pic:cNvPr descr="figuras/fig_7_26.png" id="206" name="Picture"/>
                    <pic:cNvPicPr>
                      <a:picLocks noChangeArrowheads="1" noChangeAspect="1"/>
                    </pic:cNvPicPr>
                  </pic:nvPicPr>
                  <pic:blipFill>
                    <a:blip r:embed="rId204"/>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Cs/>
          <w:b/>
        </w:rPr>
        <w:t xml:space="preserve">Figura 7.26.</w:t>
      </w:r>
      <w:r>
        <w:t xml:space="preserve"> </w:t>
      </w:r>
      <w:r>
        <w:t xml:space="preserve">Pantalla principal del panel de reposición («Hoy en la tienda»).</w:t>
      </w:r>
      <w:r>
        <w:t xml:space="preserve"> </w:t>
      </w:r>
      <w:r>
        <w:rPr>
          <w:iCs/>
          <w:i/>
        </w:rPr>
        <w:t xml:space="preserve">Fuente: captura de la aplicación en ejecución.</w:t>
      </w:r>
    </w:p>
    <w:bookmarkEnd w:id="207"/>
    <w:bookmarkStart w:id="208" w:name="las-trampas-encontradas"/>
    <w:p>
      <w:pPr>
        <w:pStyle w:val="Heading3"/>
      </w:pPr>
      <w:r>
        <w:t xml:space="preserve">7.6.4. Las trampas encontradas</w:t>
      </w:r>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Cs/>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Cs/>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Cs/>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Cs/>
          <w:b/>
        </w:rPr>
        <w:t xml:space="preserve">sin stock de seguridad</w:t>
      </w:r>
      <w:r>
        <w:t xml:space="preserve">. Y la</w:t>
      </w:r>
      <w:r>
        <w:t xml:space="preserve"> </w:t>
      </w:r>
      <w:r>
        <w:t xml:space="preserve">incidencia por segmento es la siguiente: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Predicciones cruzadas</w:t>
            </w:r>
          </w:p>
        </w:tc>
      </w:tr>
      <w:tr>
        <w:tc>
          <w:tcPr/>
          <w:p>
            <w:pPr>
              <w:pStyle w:val="Compact"/>
              <w:jc w:val="left"/>
            </w:pPr>
            <w:r>
              <w:t xml:space="preserve">CZ</w:t>
            </w:r>
          </w:p>
        </w:tc>
        <w:tc>
          <w:tcPr/>
          <w:p>
            <w:pPr>
              <w:pStyle w:val="Compact"/>
              <w:jc w:val="left"/>
            </w:pPr>
            <w:r>
              <w:t xml:space="preserve">10,90%</w:t>
            </w:r>
          </w:p>
        </w:tc>
      </w:tr>
      <w:tr>
        <w:tc>
          <w:tcPr/>
          <w:p>
            <w:pPr>
              <w:pStyle w:val="Compact"/>
              <w:jc w:val="left"/>
            </w:pPr>
            <w:r>
              <w:t xml:space="preserve">BZ</w:t>
            </w:r>
          </w:p>
        </w:tc>
        <w:tc>
          <w:tcPr/>
          <w:p>
            <w:pPr>
              <w:pStyle w:val="Compact"/>
              <w:jc w:val="left"/>
            </w:pPr>
            <w:r>
              <w:t xml:space="preserve">0,78%</w:t>
            </w:r>
          </w:p>
        </w:tc>
      </w:tr>
      <w:tr>
        <w:tc>
          <w:tcPr/>
          <w:p>
            <w:pPr>
              <w:pStyle w:val="Compact"/>
              <w:jc w:val="left"/>
            </w:pPr>
            <w:r>
              <w:t xml:space="preserve">AZ</w:t>
            </w:r>
          </w:p>
        </w:tc>
        <w:tc>
          <w:tcPr/>
          <w:p>
            <w:pPr>
              <w:pStyle w:val="Compact"/>
              <w:jc w:val="left"/>
            </w:pPr>
            <w:r>
              <w:t xml:space="preserve">0,38%</w:t>
            </w:r>
          </w:p>
        </w:tc>
      </w:tr>
      <w:tr>
        <w:tc>
          <w:tcPr/>
          <w:p>
            <w:pPr>
              <w:pStyle w:val="Compact"/>
              <w:jc w:val="left"/>
            </w:pPr>
            <w:r>
              <w:t xml:space="preserve">AX</w:t>
            </w:r>
          </w:p>
        </w:tc>
        <w:tc>
          <w:tcPr/>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Cs/>
          <w:b/>
        </w:rPr>
        <w:t xml:space="preserve">1.899 series afectadas, el 22% de la</w:t>
      </w:r>
      <w:r>
        <w:rPr>
          <w:bCs/>
          <w:b/>
        </w:rPr>
        <w:t xml:space="preserve"> </w:t>
      </w:r>
      <w:r>
        <w:rPr>
          <w:bCs/>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Cs/>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Cs/>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Cs/>
          <w:b/>
        </w:rPr>
        <w:t xml:space="preserve">1 = sábado … 7 = viernes</w:t>
      </w:r>
      <w:r>
        <w:t xml:space="preserve">. El resultado es que la bandera marcaba como fin de semana el</w:t>
      </w:r>
      <w:r>
        <w:t xml:space="preserve"> </w:t>
      </w:r>
      <w:r>
        <w:rPr>
          <w:bCs/>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Cs/>
          <w:b/>
        </w:rPr>
        <w:t xml:space="preserve">una de las</w:t>
      </w:r>
      <w:r>
        <w:rPr>
          <w:bCs/>
          <w:b/>
        </w:rPr>
        <w:t xml:space="preserve"> </w:t>
      </w:r>
      <w:r>
        <w:rPr>
          <w:bCs/>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Cs/>
          <w:b/>
        </w:rPr>
        <w:t xml:space="preserve">una cosa en los días con los</w:t>
      </w:r>
      <w:r>
        <w:rPr>
          <w:bCs/>
          <w:b/>
        </w:rPr>
        <w:t xml:space="preserve"> </w:t>
      </w:r>
      <w:r>
        <w:rPr>
          <w:bCs/>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Cs/>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Cs/>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Cs/>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Cs/>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Cs/>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bookmarkEnd w:id="208"/>
    <w:bookmarkStart w:id="209" w:name="la-capa-de-operación"/>
    <w:p>
      <w:pPr>
        <w:pStyle w:val="Heading3"/>
      </w:pPr>
      <w:r>
        <w:t xml:space="preserve">7.6.5. La capa de operación</w:t>
      </w:r>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Cs/>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Cs/>
          <w:b/>
        </w:rPr>
        <w:t xml:space="preserve">Contratos de datos.</w:t>
      </w:r>
      <w:r>
        <w:t xml:space="preserve"> </w:t>
      </w:r>
      <w:r>
        <w:t xml:space="preserve">Quince comprobaciones que</w:t>
      </w:r>
      <w:r>
        <w:t xml:space="preserve"> </w:t>
      </w:r>
      <w:r>
        <w:rPr>
          <w:bCs/>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Cs/>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Cs/>
          <w:b/>
        </w:rPr>
        <w:t xml:space="preserve">Monitorización.</w:t>
      </w:r>
      <w:r>
        <w:t xml:space="preserve"> </w:t>
      </w:r>
      <w:r>
        <w:t xml:space="preserve">Se vigilan tres cosas de naturaleza distinta. El</w:t>
      </w:r>
      <w:r>
        <w:t xml:space="preserve"> </w:t>
      </w:r>
      <w:r>
        <w:rPr>
          <w:bCs/>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Cs/>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Cs/>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bookmarkEnd w:id="209"/>
    <w:bookmarkStart w:id="210" w:name="cómo-se-pondría-en-marcha"/>
    <w:p>
      <w:pPr>
        <w:pStyle w:val="Heading3"/>
      </w:pPr>
      <w:r>
        <w:t xml:space="preserve">7.6.6. Cómo se pondría en marcha</w:t>
      </w:r>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Cs/>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Cs/>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Cs/>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Cs/>
          <w:i/>
        </w:rPr>
        <w:t xml:space="preserve">Criterio de avance:</w:t>
      </w:r>
      <w:r>
        <w:t xml:space="preserve"> </w:t>
      </w:r>
      <w:r>
        <w:t xml:space="preserve">mejora del nivel de</w:t>
      </w:r>
      <w:r>
        <w:t xml:space="preserve"> </w:t>
      </w:r>
      <w:r>
        <w:t xml:space="preserve">servicio sin aumento del inventario medio.</w:t>
      </w:r>
      <w:r>
        <w:t xml:space="preserve"> </w:t>
      </w:r>
      <w:r>
        <w:rPr>
          <w:iCs/>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Cs/>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bookmarkEnd w:id="210"/>
    <w:bookmarkStart w:id="211" w:name="sobre-la-migración-a-la-nube"/>
    <w:p>
      <w:pPr>
        <w:pStyle w:val="Heading3"/>
      </w:pPr>
      <w:r>
        <w:t xml:space="preserve">7.6.7. Sobre la migración a la nube</w:t>
      </w:r>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Cs/>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Cs/>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Cs/>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bookmarkEnd w:id="211"/>
    <w:bookmarkStart w:id="212" w:name="qué-queda-por-hacer"/>
    <w:p>
      <w:pPr>
        <w:pStyle w:val="Heading3"/>
      </w:pPr>
      <w:r>
        <w:t xml:space="preserve">7.6.8. Qué queda por hacer</w:t>
      </w:r>
    </w:p>
    <w:p>
      <w:pPr>
        <w:pStyle w:val="FirstParagraph"/>
      </w:pPr>
      <w:r>
        <w:t xml:space="preserve">Se consignan las carencias del sistema, que son conocidas y no accidentales.</w:t>
      </w:r>
    </w:p>
    <w:p>
      <w:pPr>
        <w:pStyle w:val="BodyText"/>
      </w:pPr>
      <w:r>
        <w:t xml:space="preserve">El</w:t>
      </w:r>
      <w:r>
        <w:t xml:space="preserve"> </w:t>
      </w:r>
      <w:r>
        <w:rPr>
          <w:bCs/>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Cs/>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Cs/>
          <w:b/>
        </w:rPr>
        <w:t xml:space="preserve">No hay autenticación ni control de acceso</w:t>
      </w:r>
      <w:r>
        <w:t xml:space="preserve">, lo que es aceptable en un prototipo y no en</w:t>
      </w:r>
      <w:r>
        <w:t xml:space="preserve"> </w:t>
      </w:r>
      <w:r>
        <w:t xml:space="preserve">explotación.</w:t>
      </w:r>
    </w:p>
    <w:p>
      <w:pPr>
        <w:pStyle w:val="BodyText"/>
      </w:pPr>
      <w:r>
        <w:rPr>
          <w:bCs/>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bookmarkEnd w:id="212"/>
    <w:bookmarkEnd w:id="213"/>
    <w:bookmarkStart w:id="225" w:name="Xb0f09089dd96deed217828960ac10c846d8d210"/>
    <w:p>
      <w:pPr>
        <w:pStyle w:val="Heading2"/>
      </w:pPr>
      <w:r>
        <w:t xml:space="preserve">7.7. De sistema a sistema mantenible: la capa de MLOps</w:t>
      </w:r>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Cs/>
          <w:b/>
        </w:rPr>
        <w:t xml:space="preserve">la orquestación responde a «¿se puede volver a</w:t>
      </w:r>
      <w:r>
        <w:rPr>
          <w:bCs/>
          <w:b/>
        </w:rPr>
        <w:t xml:space="preserve"> </w:t>
      </w:r>
      <w:r>
        <w:rPr>
          <w:bCs/>
          <w:b/>
        </w:rPr>
        <w:t xml:space="preserve">ejecutar?»; MLOps responde a «¿quién decide qué llega a producción, cómo se sabe que sigue</w:t>
      </w:r>
      <w:r>
        <w:rPr>
          <w:bCs/>
          <w:b/>
        </w:rPr>
        <w:t xml:space="preserve"> </w:t>
      </w:r>
      <w:r>
        <w:rPr>
          <w:bCs/>
          <w:b/>
        </w:rPr>
        <w:t xml:space="preserve">siendo correcto, y cómo se deshace?»</w:t>
      </w:r>
      <w:r>
        <w:t xml:space="preserve">. Son preguntas distintas y necesitan piezas distintas.</w:t>
      </w:r>
    </w:p>
    <w:bookmarkStart w:id="214" w:name="el-fallo-que-faltaba-impedir"/>
    <w:p>
      <w:pPr>
        <w:pStyle w:val="Heading3"/>
      </w:pPr>
      <w:r>
        <w:t xml:space="preserve">7.7.1. El fallo que faltaba impedir</w:t>
      </w:r>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Cs/>
          <w:b/>
        </w:rPr>
        <w:t xml:space="preserve">que un modelo peor sustituya en silencio al que</w:t>
      </w:r>
      <w:r>
        <w:rPr>
          <w:bCs/>
          <w:b/>
        </w:rPr>
        <w:t xml:space="preserve"> </w:t>
      </w:r>
      <w:r>
        <w:rPr>
          <w:bCs/>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bookmarkEnd w:id="214"/>
    <w:bookmarkStart w:id="215" w:name="Xb0b6b0df3471bdfa851cac95ec49631818da1f4"/>
    <w:p>
      <w:pPr>
        <w:pStyle w:val="Heading3"/>
      </w:pPr>
      <w:r>
        <w:t xml:space="preserve">7.7.2. Trazabilidad: de dónde salió exactamente este modelo</w:t>
      </w:r>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Cs/>
          <w:i/>
        </w:rPr>
        <w:t xml:space="preserve">cuál</w:t>
      </w:r>
      <w:r>
        <w:t xml:space="preserve"> </w:t>
      </w:r>
      <w:r>
        <w:t xml:space="preserve">es el modelo pero no</w:t>
      </w:r>
      <w:r>
        <w:t xml:space="preserve"> </w:t>
      </w:r>
      <w:r>
        <w:rPr>
          <w:iCs/>
          <w:i/>
        </w:rPr>
        <w:t xml:space="preserve">de qué</w:t>
      </w:r>
      <w:r>
        <w:t xml:space="preserve"> </w:t>
      </w:r>
      <w:r>
        <w:t xml:space="preserve">se hizo. Se añadieron tres huellas, y las tres son necesarias:</w:t>
      </w:r>
    </w:p>
    <w:p>
      <w:pPr>
        <w:pStyle w:val="BodyText"/>
      </w:pPr>
      <w:r>
        <w:rPr>
          <w:bCs/>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Cs/>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Cs/>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bookmarkEnd w:id="215"/>
    <w:bookmarkStart w:id="219" w:name="la-puerta-de-promoción"/>
    <w:p>
      <w:pPr>
        <w:pStyle w:val="Heading3"/>
      </w:pPr>
      <w:r>
        <w:t xml:space="preserve">7.7.3. La puerta de promoción</w:t>
      </w:r>
    </w:p>
    <w:p>
      <w:pPr>
        <w:pStyle w:val="FirstParagraph"/>
      </w:pPr>
      <w:r>
        <w:t xml:space="preserve">Entrenar dejó de desplegar. Lo que sale del entrenamiento es un</w:t>
      </w:r>
      <w:r>
        <w:t xml:space="preserve"> </w:t>
      </w:r>
      <w:r>
        <w:rPr>
          <w:bCs/>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Cs/>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Cs/>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Cs/>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Cs/>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Cs/>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217" name="Picture"/>
            <a:graphic>
              <a:graphicData uri="http://schemas.openxmlformats.org/drawingml/2006/picture">
                <pic:pic>
                  <pic:nvPicPr>
                    <pic:cNvPr descr="figuras/fig_7_27.png" id="218" name="Picture"/>
                    <pic:cNvPicPr>
                      <a:picLocks noChangeArrowheads="1" noChangeAspect="1"/>
                    </pic:cNvPicPr>
                  </pic:nvPicPr>
                  <pic:blipFill>
                    <a:blip r:embed="rId216"/>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Cs/>
          <w:b/>
        </w:rPr>
        <w:t xml:space="preserve">Figura 7.27.</w:t>
      </w:r>
      <w:r>
        <w:t xml:space="preserve"> </w:t>
      </w:r>
      <w:r>
        <w:t xml:space="preserve">Ciclo de vida de un modelo: los cuatro estados y las transiciones.</w:t>
      </w:r>
      <w:r>
        <w:t xml:space="preserve"> </w:t>
      </w:r>
      <w:r>
        <w:rPr>
          <w:iCs/>
          <w:i/>
        </w:rPr>
        <w:t xml:space="preserve">Fuente: elaboración propia.</w:t>
      </w:r>
    </w:p>
    <w:p>
      <w:pPr>
        <w:pStyle w:val="BodyText"/>
      </w:pPr>
      <w:r>
        <w:rPr>
          <w:bCs/>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Cs/>
          <w:b/>
        </w:rPr>
        <w:t xml:space="preserve">deshacer tiene que ser más barato que</w:t>
      </w:r>
      <w:r>
        <w:rPr>
          <w:bCs/>
          <w:b/>
        </w:rPr>
        <w:t xml:space="preserve"> </w:t>
      </w:r>
      <w:r>
        <w:rPr>
          <w:bCs/>
          <w:b/>
        </w:rPr>
        <w:t xml:space="preserve">diagnosticar</w:t>
      </w:r>
      <w:r>
        <w:t xml:space="preserve">, porque a las tres de la mañana nadie diagnostica bien.</w:t>
      </w:r>
    </w:p>
    <w:bookmarkEnd w:id="219"/>
    <w:bookmarkStart w:id="220" w:name="X17ae984419a93b0d2cfeadec01bb57ea91876d3"/>
    <w:p>
      <w:pPr>
        <w:pStyle w:val="Heading3"/>
      </w:pPr>
      <w:r>
        <w:t xml:space="preserve">7.7.4. Pruebas automáticas e integración continua</w:t>
      </w:r>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Cs/>
          <w:b/>
        </w:rPr>
        <w:t xml:space="preserve">86 pruebas y se ejecuta en pocos segundos</w:t>
      </w:r>
      <w:r>
        <w:t xml:space="preserve">, y —esto es lo que la hace</w:t>
      </w:r>
      <w:r>
        <w:t xml:space="preserve"> </w:t>
      </w:r>
      <w:r>
        <w:t xml:space="preserve">viable—</w:t>
      </w:r>
      <w:r>
        <w:t xml:space="preserve"> </w:t>
      </w:r>
      <w:r>
        <w:rPr>
          <w:bCs/>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Bloque</w:t>
            </w:r>
          </w:p>
        </w:tc>
        <w:tc>
          <w:tcPr/>
          <w:p>
            <w:pPr>
              <w:pStyle w:val="Compact"/>
              <w:jc w:val="left"/>
            </w:pPr>
            <w:r>
              <w:t xml:space="preserve">Qué comprueba</w:t>
            </w:r>
          </w:p>
        </w:tc>
        <w:tc>
          <w:tcPr/>
          <w:p>
            <w:pPr>
              <w:pStyle w:val="Compact"/>
              <w:jc w:val="left"/>
            </w:pPr>
            <w:r>
              <w:t xml:space="preserve">Ejemplo de propiedad verificada</w:t>
            </w:r>
          </w:p>
        </w:tc>
      </w:tr>
      <w:tr>
        <w:tc>
          <w:tcPr/>
          <w:p>
            <w:pPr>
              <w:pStyle w:val="Compact"/>
              <w:jc w:val="left"/>
            </w:pPr>
            <w:r>
              <w:t xml:space="preserve">Política de reposición</w:t>
            </w:r>
          </w:p>
        </w:tc>
        <w:tc>
          <w:tcPr/>
          <w:p>
            <w:pPr>
              <w:pStyle w:val="Compact"/>
              <w:jc w:val="left"/>
            </w:pPr>
            <w:r>
              <w:t xml:space="preserve">28 pruebas</w:t>
            </w:r>
          </w:p>
        </w:tc>
        <w:tc>
          <w:tcPr/>
          <w:p>
            <w:pPr>
              <w:pStyle w:val="Compact"/>
              <w:jc w:val="left"/>
            </w:pPr>
            <w:r>
              <w:t xml:space="preserve">El coste del vendedor de periódicos es la pérdida pinball reescalada</w:t>
            </w:r>
          </w:p>
        </w:tc>
      </w:tr>
      <w:tr>
        <w:tc>
          <w:tcPr/>
          <w:p>
            <w:pPr>
              <w:pStyle w:val="Compact"/>
              <w:jc w:val="left"/>
            </w:pPr>
            <w:r>
              <w:t xml:space="preserve">Métricas de deriva</w:t>
            </w:r>
          </w:p>
        </w:tc>
        <w:tc>
          <w:tcPr/>
          <w:p>
            <w:pPr>
              <w:pStyle w:val="Compact"/>
              <w:jc w:val="left"/>
            </w:pPr>
            <w:r>
              <w:t xml:space="preserve">8 pruebas</w:t>
            </w:r>
          </w:p>
        </w:tc>
        <w:tc>
          <w:tcPr/>
          <w:p>
            <w:pPr>
              <w:pStyle w:val="Compact"/>
              <w:jc w:val="left"/>
            </w:pPr>
            <w:r>
              <w:t xml:space="preserve">El PSI detecta un cambio de escala que la media no ve</w:t>
            </w:r>
          </w:p>
        </w:tc>
      </w:tr>
      <w:tr>
        <w:tc>
          <w:tcPr/>
          <w:p>
            <w:pPr>
              <w:pStyle w:val="Compact"/>
              <w:jc w:val="left"/>
            </w:pPr>
            <w:r>
              <w:t xml:space="preserve">Contratos de datos</w:t>
            </w:r>
          </w:p>
        </w:tc>
        <w:tc>
          <w:tcPr/>
          <w:p>
            <w:pPr>
              <w:pStyle w:val="Compact"/>
              <w:jc w:val="left"/>
            </w:pPr>
            <w:r>
              <w:t xml:space="preserve">28 pruebas</w:t>
            </w:r>
          </w:p>
        </w:tc>
        <w:tc>
          <w:tcPr/>
          <w:p>
            <w:pPr>
              <w:pStyle w:val="Compact"/>
              <w:jc w:val="left"/>
            </w:pPr>
            <w:r>
              <w:t xml:space="preserve">Cada contrato detecta la violación que dice detectar</w:t>
            </w:r>
          </w:p>
        </w:tc>
      </w:tr>
      <w:tr>
        <w:tc>
          <w:tcPr/>
          <w:p>
            <w:pPr>
              <w:pStyle w:val="Compact"/>
              <w:jc w:val="left"/>
            </w:pPr>
            <w:r>
              <w:t xml:space="preserve">Puerta de promoción</w:t>
            </w:r>
          </w:p>
        </w:tc>
        <w:tc>
          <w:tcPr/>
          <w:p>
            <w:pPr>
              <w:pStyle w:val="Compact"/>
              <w:jc w:val="left"/>
            </w:pPr>
            <w:r>
              <w:t xml:space="preserve">13 pruebas</w:t>
            </w:r>
          </w:p>
        </w:tc>
        <w:tc>
          <w:tcPr/>
          <w:p>
            <w:pPr>
              <w:pStyle w:val="Compact"/>
              <w:jc w:val="left"/>
            </w:pPr>
            <w:r>
              <w:t xml:space="preserve">Un candidato peor no pasa la puerta</w:t>
            </w:r>
          </w:p>
        </w:tc>
      </w:tr>
      <w:tr>
        <w:tc>
          <w:tcPr/>
          <w:p>
            <w:pPr>
              <w:pStyle w:val="Compact"/>
              <w:jc w:val="left"/>
            </w:pPr>
            <w:r>
              <w:t xml:space="preserve">Registro de modelos</w:t>
            </w:r>
          </w:p>
        </w:tc>
        <w:tc>
          <w:tcPr/>
          <w:p>
            <w:pPr>
              <w:pStyle w:val="Compact"/>
              <w:jc w:val="left"/>
            </w:pPr>
            <w:r>
              <w:t xml:space="preserve">9 pruebas</w:t>
            </w:r>
          </w:p>
        </w:tc>
        <w:tc>
          <w:tcPr/>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Cs/>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Cs/>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bookmarkEnd w:id="220"/>
    <w:bookmarkStart w:id="221" w:name="el-lazo-cerrado"/>
    <w:p>
      <w:pPr>
        <w:pStyle w:val="Heading3"/>
      </w:pPr>
      <w:r>
        <w:t xml:space="preserve">7.7.5. El lazo cerrado</w:t>
      </w:r>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Cs/>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Cs/>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Cs/>
          <w:b/>
        </w:rPr>
        <w:t xml:space="preserve">El lazo automatiza el trabajo, no la decisión.</w:t>
      </w:r>
    </w:p>
    <w:bookmarkEnd w:id="221"/>
    <w:bookmarkStart w:id="222" w:name="X677d0b6fb5587a51333dcc1a319a9f77aaaec8c"/>
    <w:p>
      <w:pPr>
        <w:pStyle w:val="Heading3"/>
      </w:pPr>
      <w:r>
        <w:t xml:space="preserve">7.7.6. El entorno fijado y la imagen del servicio</w:t>
      </w:r>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Cs/>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Cs/>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bookmarkEnd w:id="222"/>
    <w:bookmarkStart w:id="223" w:name="por-qué-no-mlflow-airflow-ni-kubeflow"/>
    <w:p>
      <w:pPr>
        <w:pStyle w:val="Heading3"/>
      </w:pPr>
      <w:r>
        <w:t xml:space="preserve">7.7.7. Por qué no MLflow, Airflow ni Kubeflow</w:t>
      </w:r>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Cs/>
          <w:b/>
        </w:rPr>
        <w:t xml:space="preserve">escala</w:t>
      </w:r>
      <w:r>
        <w:t xml:space="preserve"> </w:t>
      </w:r>
      <w:r>
        <w:t xml:space="preserve">—cientos de</w:t>
      </w:r>
      <w:r>
        <w:t xml:space="preserve"> </w:t>
      </w:r>
      <w:r>
        <w:t xml:space="preserve">experimentos, decenas de personas, cómputo distribuido—,</w:t>
      </w:r>
      <w:r>
        <w:t xml:space="preserve"> </w:t>
      </w:r>
      <w:r>
        <w:rPr>
          <w:bCs/>
          <w:b/>
        </w:rPr>
        <w:t xml:space="preserve">colaboración</w:t>
      </w:r>
      <w:r>
        <w:t xml:space="preserve"> </w:t>
      </w:r>
      <w:r>
        <w:t xml:space="preserve">—un registro</w:t>
      </w:r>
      <w:r>
        <w:t xml:space="preserve"> </w:t>
      </w:r>
      <w:r>
        <w:t xml:space="preserve">compartido al que varios equipos escriben— e</w:t>
      </w:r>
      <w:r>
        <w:t xml:space="preserve"> </w:t>
      </w:r>
      <w:r>
        <w:rPr>
          <w:bCs/>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Cs/>
          <w:b/>
        </w:rPr>
        <w:t xml:space="preserve">las métricas del sistema se consultan con el mismo SQL que los datos</w:t>
      </w:r>
      <w:r>
        <w:rPr>
          <w:bCs/>
          <w:b/>
        </w:rPr>
        <w:t xml:space="preserve"> </w:t>
      </w:r>
      <w:r>
        <w:rPr>
          <w:bCs/>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Cs/>
          <w:b/>
        </w:rPr>
        <w:t xml:space="preserve">lo que se</w:t>
      </w:r>
      <w:r>
        <w:rPr>
          <w:bCs/>
          <w:b/>
        </w:rPr>
        <w:t xml:space="preserve"> </w:t>
      </w:r>
      <w:r>
        <w:rPr>
          <w:bCs/>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bookmarkEnd w:id="223"/>
    <w:bookmarkStart w:id="224" w:name="Xb9c75ef21605bbb6d16d59442bf078807b18b03"/>
    <w:p>
      <w:pPr>
        <w:pStyle w:val="Heading3"/>
      </w:pPr>
      <w:r>
        <w:t xml:space="preserve">7.7.8. Dónde queda el sistema, y qué sigue faltando</w:t>
      </w:r>
    </w:p>
    <w:p>
      <w:pPr>
        <w:pStyle w:val="FirstParagraph"/>
      </w:pPr>
      <w:r>
        <w:t xml:space="preserve">Situar el trabajo con honestidad exige decir también lo que no está.</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Capacidad</w:t>
            </w:r>
          </w:p>
        </w:tc>
        <w:tc>
          <w:tcPr/>
          <w:p>
            <w:pPr>
              <w:pStyle w:val="Compact"/>
              <w:jc w:val="left"/>
            </w:pPr>
            <w:r>
              <w:t xml:space="preserve">Estado</w:t>
            </w:r>
          </w:p>
        </w:tc>
        <w:tc>
          <w:tcPr/>
          <w:p>
            <w:pPr>
              <w:pStyle w:val="Compact"/>
              <w:jc w:val="left"/>
            </w:pPr>
            <w:r>
              <w:t xml:space="preserve">Nota</w:t>
            </w:r>
          </w:p>
        </w:tc>
      </w:tr>
      <w:tr>
        <w:tc>
          <w:tcPr/>
          <w:p>
            <w:pPr>
              <w:pStyle w:val="Compact"/>
              <w:jc w:val="left"/>
            </w:pPr>
            <w:r>
              <w:t xml:space="preserve">Ejecución reproducible de punta a punta</w:t>
            </w:r>
          </w:p>
        </w:tc>
        <w:tc>
          <w:tcPr/>
          <w:p>
            <w:pPr>
              <w:pStyle w:val="Compact"/>
              <w:jc w:val="left"/>
            </w:pPr>
            <w:r>
              <w:t xml:space="preserve">Implementada</w:t>
            </w:r>
          </w:p>
        </w:tc>
        <w:tc>
          <w:tcPr/>
          <w:p>
            <w:pPr>
              <w:pStyle w:val="Compact"/>
              <w:jc w:val="left"/>
            </w:pPr>
            <w:r>
              <w:t xml:space="preserve">Un comando, diez etapas, reanudable</w:t>
            </w:r>
          </w:p>
        </w:tc>
      </w:tr>
      <w:tr>
        <w:tc>
          <w:tcPr/>
          <w:p>
            <w:pPr>
              <w:pStyle w:val="Compact"/>
              <w:jc w:val="left"/>
            </w:pPr>
            <w:r>
              <w:t xml:space="preserve">Contratos de datos bloqueantes</w:t>
            </w:r>
          </w:p>
        </w:tc>
        <w:tc>
          <w:tcPr/>
          <w:p>
            <w:pPr>
              <w:pStyle w:val="Compact"/>
              <w:jc w:val="left"/>
            </w:pPr>
            <w:r>
              <w:t xml:space="preserve">Implementada</w:t>
            </w:r>
          </w:p>
        </w:tc>
        <w:tc>
          <w:tcPr/>
          <w:p>
            <w:pPr>
              <w:pStyle w:val="Compact"/>
              <w:jc w:val="left"/>
            </w:pPr>
            <w:r>
              <w:t xml:space="preserve">15 contratos, en dos pasadas</w:t>
            </w:r>
          </w:p>
        </w:tc>
      </w:tr>
      <w:tr>
        <w:tc>
          <w:tcPr/>
          <w:p>
            <w:pPr>
              <w:pStyle w:val="Compact"/>
              <w:jc w:val="left"/>
            </w:pPr>
            <w:r>
              <w:t xml:space="preserve">Registro de modelos con procedencia</w:t>
            </w:r>
          </w:p>
        </w:tc>
        <w:tc>
          <w:tcPr/>
          <w:p>
            <w:pPr>
              <w:pStyle w:val="Compact"/>
              <w:jc w:val="left"/>
            </w:pPr>
            <w:r>
              <w:t xml:space="preserve">Implementada</w:t>
            </w:r>
          </w:p>
        </w:tc>
        <w:tc>
          <w:tcPr/>
          <w:p>
            <w:pPr>
              <w:pStyle w:val="Compact"/>
              <w:jc w:val="left"/>
            </w:pPr>
            <w:r>
              <w:t xml:space="preserve">Código, datos y entorno</w:t>
            </w:r>
          </w:p>
        </w:tc>
      </w:tr>
      <w:tr>
        <w:tc>
          <w:tcPr/>
          <w:p>
            <w:pPr>
              <w:pStyle w:val="Compact"/>
              <w:jc w:val="left"/>
            </w:pPr>
            <w:r>
              <w:t xml:space="preserve">Promoción con puerta y retroceso</w:t>
            </w:r>
          </w:p>
        </w:tc>
        <w:tc>
          <w:tcPr/>
          <w:p>
            <w:pPr>
              <w:pStyle w:val="Compact"/>
              <w:jc w:val="left"/>
            </w:pPr>
            <w:r>
              <w:t xml:space="preserve">Implementada</w:t>
            </w:r>
          </w:p>
        </w:tc>
        <w:tc>
          <w:tcPr/>
          <w:p>
            <w:pPr>
              <w:pStyle w:val="Compact"/>
              <w:jc w:val="left"/>
            </w:pPr>
            <w:r>
              <w:t xml:space="preserve">Entrenar no despliega</w:t>
            </w:r>
          </w:p>
        </w:tc>
      </w:tr>
      <w:tr>
        <w:tc>
          <w:tcPr/>
          <w:p>
            <w:pPr>
              <w:pStyle w:val="Compact"/>
              <w:jc w:val="left"/>
            </w:pPr>
            <w:r>
              <w:t xml:space="preserve">Monitorización de error y deriva</w:t>
            </w:r>
          </w:p>
        </w:tc>
        <w:tc>
          <w:tcPr/>
          <w:p>
            <w:pPr>
              <w:pStyle w:val="Compact"/>
              <w:jc w:val="left"/>
            </w:pPr>
            <w:r>
              <w:t xml:space="preserve">Implementada</w:t>
            </w:r>
          </w:p>
        </w:tc>
        <w:tc>
          <w:tcPr/>
          <w:p>
            <w:pPr>
              <w:pStyle w:val="Compact"/>
              <w:jc w:val="left"/>
            </w:pPr>
            <w:r>
              <w:t xml:space="preserve">Tres señales de naturaleza distinta</w:t>
            </w:r>
          </w:p>
        </w:tc>
      </w:tr>
      <w:tr>
        <w:tc>
          <w:tcPr/>
          <w:p>
            <w:pPr>
              <w:pStyle w:val="Compact"/>
              <w:jc w:val="left"/>
            </w:pPr>
            <w:r>
              <w:t xml:space="preserve">Pruebas automáticas e integración continua</w:t>
            </w:r>
          </w:p>
        </w:tc>
        <w:tc>
          <w:tcPr/>
          <w:p>
            <w:pPr>
              <w:pStyle w:val="Compact"/>
              <w:jc w:val="left"/>
            </w:pPr>
            <w:r>
              <w:t xml:space="preserve">Implementada</w:t>
            </w:r>
          </w:p>
        </w:tc>
        <w:tc>
          <w:tcPr/>
          <w:p>
            <w:pPr>
              <w:pStyle w:val="Compact"/>
              <w:jc w:val="left"/>
            </w:pPr>
            <w:r>
              <w:t xml:space="preserve">86 pruebas, sin datos</w:t>
            </w:r>
          </w:p>
        </w:tc>
      </w:tr>
      <w:tr>
        <w:tc>
          <w:tcPr/>
          <w:p>
            <w:pPr>
              <w:pStyle w:val="Compact"/>
              <w:jc w:val="left"/>
            </w:pPr>
            <w:r>
              <w:t xml:space="preserve">Entorno fijado y servicio en contenedor</w:t>
            </w:r>
          </w:p>
        </w:tc>
        <w:tc>
          <w:tcPr/>
          <w:p>
            <w:pPr>
              <w:pStyle w:val="Compact"/>
              <w:jc w:val="left"/>
            </w:pPr>
            <w:r>
              <w:t xml:space="preserve">Implementada</w:t>
            </w:r>
          </w:p>
        </w:tc>
        <w:tc>
          <w:tcPr/>
          <w:p>
            <w:pPr>
              <w:pStyle w:val="Compact"/>
              <w:jc w:val="left"/>
            </w:pPr>
            <w:r>
              <w:t xml:space="preserve">Dos ficheros, dos propósitos</w:t>
            </w:r>
          </w:p>
        </w:tc>
      </w:tr>
      <w:tr>
        <w:tc>
          <w:tcPr/>
          <w:p>
            <w:pPr>
              <w:pStyle w:val="Compact"/>
              <w:jc w:val="left"/>
            </w:pPr>
            <w:r>
              <w:t xml:space="preserve">Reentrenamiento por señal, con política</w:t>
            </w:r>
          </w:p>
        </w:tc>
        <w:tc>
          <w:tcPr/>
          <w:p>
            <w:pPr>
              <w:pStyle w:val="Compact"/>
              <w:jc w:val="left"/>
            </w:pPr>
            <w:r>
              <w:t xml:space="preserve">Implementada</w:t>
            </w:r>
          </w:p>
        </w:tc>
        <w:tc>
          <w:tcPr/>
          <w:p>
            <w:pPr>
              <w:pStyle w:val="Compact"/>
              <w:jc w:val="left"/>
            </w:pPr>
            <w:r>
              <w:t xml:space="preserve">Asistido: propone, no decide</w:t>
            </w:r>
          </w:p>
        </w:tc>
      </w:tr>
      <w:tr>
        <w:tc>
          <w:tcPr/>
          <w:p>
            <w:pPr>
              <w:pStyle w:val="Compact"/>
              <w:jc w:val="left"/>
            </w:pPr>
            <w:r>
              <w:t xml:space="preserve">Realimentación con la decisión humana</w:t>
            </w:r>
          </w:p>
        </w:tc>
        <w:tc>
          <w:tcPr/>
          <w:p>
            <w:pPr>
              <w:pStyle w:val="Compact"/>
              <w:jc w:val="left"/>
            </w:pPr>
            <w:r>
              <w:rPr>
                <w:bCs/>
                <w:b/>
              </w:rPr>
              <w:t xml:space="preserve">Ausente</w:t>
            </w:r>
          </w:p>
        </w:tc>
        <w:tc>
          <w:tcPr/>
          <w:p>
            <w:pPr>
              <w:pStyle w:val="Compact"/>
              <w:jc w:val="left"/>
            </w:pPr>
            <w:r>
              <w:t xml:space="preserve">El dato no existe; §7.6.8</w:t>
            </w:r>
          </w:p>
        </w:tc>
      </w:tr>
      <w:tr>
        <w:tc>
          <w:tcPr/>
          <w:p>
            <w:pPr>
              <w:pStyle w:val="Compact"/>
              <w:jc w:val="left"/>
            </w:pPr>
            <w:r>
              <w:t xml:space="preserve">Contraste A/B en explotación</w:t>
            </w:r>
          </w:p>
        </w:tc>
        <w:tc>
          <w:tcPr/>
          <w:p>
            <w:pPr>
              <w:pStyle w:val="Compact"/>
              <w:jc w:val="left"/>
            </w:pPr>
            <w:r>
              <w:rPr>
                <w:bCs/>
                <w:b/>
              </w:rPr>
              <w:t xml:space="preserve">Ausente</w:t>
            </w:r>
          </w:p>
        </w:tc>
        <w:tc>
          <w:tcPr/>
          <w:p>
            <w:pPr>
              <w:pStyle w:val="Compact"/>
              <w:jc w:val="left"/>
            </w:pPr>
            <w:r>
              <w:t xml:space="preserve">Requiere la fase 2 del despliegue</w:t>
            </w:r>
          </w:p>
        </w:tc>
      </w:tr>
      <w:tr>
        <w:tc>
          <w:tcPr/>
          <w:p>
            <w:pPr>
              <w:pStyle w:val="Compact"/>
              <w:jc w:val="left"/>
            </w:pPr>
            <w:r>
              <w:t xml:space="preserve">Autenticación y control de acceso</w:t>
            </w:r>
          </w:p>
        </w:tc>
        <w:tc>
          <w:tcPr/>
          <w:p>
            <w:pPr>
              <w:pStyle w:val="Compact"/>
              <w:jc w:val="left"/>
            </w:pPr>
            <w:r>
              <w:rPr>
                <w:bCs/>
                <w:b/>
              </w:rPr>
              <w:t xml:space="preserve">Ausente</w:t>
            </w:r>
          </w:p>
        </w:tc>
        <w:tc>
          <w:tcPr/>
          <w:p>
            <w:pPr>
              <w:pStyle w:val="Compact"/>
              <w:jc w:val="left"/>
            </w:pPr>
            <w:r>
              <w:t xml:space="preserve">Aceptable en prototipo, no en explotación</w:t>
            </w:r>
          </w:p>
        </w:tc>
      </w:tr>
      <w:tr>
        <w:tc>
          <w:tcPr/>
          <w:p>
            <w:pPr>
              <w:pStyle w:val="Compact"/>
              <w:jc w:val="left"/>
            </w:pPr>
            <w:r>
              <w:t xml:space="preserve">Repositorio de variables compartido</w:t>
            </w:r>
          </w:p>
        </w:tc>
        <w:tc>
          <w:tcPr/>
          <w:p>
            <w:pPr>
              <w:pStyle w:val="Compact"/>
              <w:jc w:val="left"/>
            </w:pPr>
            <w:r>
              <w:rPr>
                <w:bCs/>
                <w:b/>
              </w:rPr>
              <w:t xml:space="preserve">Ausente</w:t>
            </w:r>
          </w:p>
        </w:tc>
        <w:tc>
          <w:tcPr/>
          <w:p>
            <w:pPr>
              <w:pStyle w:val="Compact"/>
              <w:jc w:val="left"/>
            </w:pPr>
            <w:r>
              <w:t xml:space="preserve">No se justifica con un solo consumidor de modelos</w:t>
            </w:r>
          </w:p>
        </w:tc>
      </w:tr>
      <w:tr>
        <w:tc>
          <w:tcPr/>
          <w:p>
            <w:pPr>
              <w:pStyle w:val="Compact"/>
              <w:jc w:val="left"/>
            </w:pPr>
            <w:r>
              <w:t xml:space="preserve">Servicio a escala y alta disponibilidad</w:t>
            </w:r>
          </w:p>
        </w:tc>
        <w:tc>
          <w:tcPr/>
          <w:p>
            <w:pPr>
              <w:pStyle w:val="Compact"/>
              <w:jc w:val="left"/>
            </w:pPr>
            <w:r>
              <w:rPr>
                <w:bCs/>
                <w:b/>
              </w:rPr>
              <w:t xml:space="preserve">Ausente</w:t>
            </w:r>
          </w:p>
        </w:tc>
        <w:tc>
          <w:tcPr/>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Cs/>
          <w:b/>
        </w:rPr>
        <w:t xml:space="preserve">mientras no se registre qué pidió realmente el encargado frente a lo que el sistema sugirió,</w:t>
      </w:r>
      <w:r>
        <w:rPr>
          <w:bCs/>
          <w:b/>
        </w:rPr>
        <w:t xml:space="preserve"> </w:t>
      </w:r>
      <w:r>
        <w:rPr>
          <w:bCs/>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bookmarkEnd w:id="224"/>
    <w:bookmarkEnd w:id="225"/>
    <w:bookmarkStart w:id="230" w:name="conclusiones"/>
    <w:p>
      <w:pPr>
        <w:pStyle w:val="Heading2"/>
      </w:pPr>
      <w:r>
        <w:t xml:space="preserve">7.8. Conclusiones</w:t>
      </w:r>
    </w:p>
    <w:bookmarkStart w:id="226" w:name="respuesta-a-los-objetivos"/>
    <w:p>
      <w:pPr>
        <w:pStyle w:val="Heading3"/>
      </w:pPr>
      <w:r>
        <w:t xml:space="preserve">7.8.1. Respuesta a los objetivos</w:t>
      </w:r>
    </w:p>
    <w:p>
      <w:pPr>
        <w:pStyle w:val="FirstParagraph"/>
      </w:pPr>
      <w:r>
        <w:rPr>
          <w:bCs/>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Cs/>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Cs/>
          <w:b/>
        </w:rPr>
        <w:t xml:space="preserve">el perfil de demanda de una tienda no respeta las</w:t>
      </w:r>
      <w:r>
        <w:rPr>
          <w:bCs/>
          <w:b/>
        </w:rPr>
        <w:t xml:space="preserve"> </w:t>
      </w:r>
      <w:r>
        <w:rPr>
          <w:bCs/>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Cs/>
          <w:b/>
        </w:rPr>
        <w:t xml:space="preserve">se descartó con</w:t>
      </w:r>
      <w:r>
        <w:rPr>
          <w:bCs/>
          <w:b/>
        </w:rPr>
        <w:t xml:space="preserve"> </w:t>
      </w:r>
      <w:r>
        <w:rPr>
          <w:bCs/>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Cs/>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Cs/>
          <w:b/>
        </w:rPr>
        <w:t xml:space="preserve">la</w:t>
      </w:r>
      <w:r>
        <w:rPr>
          <w:bCs/>
          <w:b/>
        </w:rPr>
        <w:t xml:space="preserve"> </w:t>
      </w:r>
      <w:r>
        <w:rPr>
          <w:bCs/>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Cs/>
          <w:b/>
        </w:rPr>
        <w:t xml:space="preserve">reformular el objetivo como el total del ciclo redujo el</w:t>
      </w:r>
      <w:r>
        <w:rPr>
          <w:bCs/>
          <w:b/>
        </w:rPr>
        <w:t xml:space="preserve"> </w:t>
      </w:r>
      <w:r>
        <w:rPr>
          <w:bCs/>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Cs/>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Cs/>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Cs/>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Cs/>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Cs/>
          <w:b/>
        </w:rPr>
        <w:t xml:space="preserve">el nivel</w:t>
      </w:r>
      <w:r>
        <w:rPr>
          <w:bCs/>
          <w:b/>
        </w:rPr>
        <w:t xml:space="preserve"> </w:t>
      </w:r>
      <w:r>
        <w:rPr>
          <w:bCs/>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Cs/>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Cs/>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bookmarkEnd w:id="226"/>
    <w:bookmarkStart w:id="227" w:name="X62820460520509d8d7150f3b4a4ff7f7cfe40eb"/>
    <w:p>
      <w:pPr>
        <w:pStyle w:val="Heading3"/>
      </w:pPr>
      <w:r>
        <w:t xml:space="preserve">7.8.2. El hilo conductor: cuatro veces que la evidencia nos contradijo</w:t>
      </w:r>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Cs/>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Cs/>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Cs/>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Cs/>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bookmarkEnd w:id="227"/>
    <w:bookmarkStart w:id="228" w:name="limitaciones"/>
    <w:p>
      <w:pPr>
        <w:pStyle w:val="Heading3"/>
      </w:pPr>
      <w:r>
        <w:t xml:space="preserve">7.8.3. Limitaciones</w:t>
      </w:r>
    </w:p>
    <w:p>
      <w:pPr>
        <w:pStyle w:val="FirstParagraph"/>
      </w:pPr>
      <w:r>
        <w:t xml:space="preserve">Se enumeran las que afectan a la validez de las conclusiones, ordenadas por importancia.</w:t>
      </w:r>
    </w:p>
    <w:p>
      <w:pPr>
        <w:numPr>
          <w:ilvl w:val="0"/>
          <w:numId w:val="1010"/>
        </w:numPr>
        <w:pStyle w:val="Compact"/>
      </w:pPr>
      <w:r>
        <w:rPr>
          <w:bCs/>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Cs/>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Cs/>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Cs/>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Cs/>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Cs/>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10"/>
        </w:numPr>
        <w:pStyle w:val="Compact"/>
      </w:pPr>
      <w:r>
        <w:rPr>
          <w:bCs/>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Cs/>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bookmarkEnd w:id="228"/>
    <w:bookmarkStart w:id="229" w:name="trabajo-futuro"/>
    <w:p>
      <w:pPr>
        <w:pStyle w:val="Heading3"/>
      </w:pPr>
      <w:r>
        <w:t xml:space="preserve">7.8.4. Trabajo futuro</w:t>
      </w:r>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Cs/>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rPr>
                <m:sty m:val="p"/>
              </m:rP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Cs/>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Cs/>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Cs/>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Cs/>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Cs/>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Cs/>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Cs/>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Cs/>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Cs/>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Cs/>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Cs/>
          <w:b/>
        </w:rPr>
        <w:t xml:space="preserve">análisis</w:t>
      </w:r>
      <w:r>
        <w:rPr>
          <w:bCs/>
          <w:b/>
        </w:rPr>
        <w:t xml:space="preserve"> </w:t>
      </w:r>
      <w:r>
        <w:rPr>
          <w:bCs/>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Cs/>
          <w:b/>
        </w:rPr>
        <w:t xml:space="preserve">arquitecturas neuronales genéricas</w:t>
      </w:r>
      <w:r>
        <w:t xml:space="preserve">,</w:t>
      </w:r>
      <w:r>
        <w:t xml:space="preserve"> </w:t>
      </w:r>
      <w:r>
        <w:t xml:space="preserve">superadas por los ensambles de árboles en problemas de esta estructura, y un</w:t>
      </w:r>
      <w:r>
        <w:t xml:space="preserve"> </w:t>
      </w:r>
      <w:r>
        <w:rPr>
          <w:bCs/>
          <w:b/>
        </w:rPr>
        <w:t xml:space="preserve">modelo de mayor</w:t>
      </w:r>
      <w:r>
        <w:rPr>
          <w:bCs/>
          <w:b/>
        </w:rPr>
        <w:t xml:space="preserve"> </w:t>
      </w:r>
      <w:r>
        <w:rPr>
          <w:bCs/>
          <w:b/>
        </w:rPr>
        <w:t xml:space="preserve">capacidad</w:t>
      </w:r>
      <w:r>
        <w:t xml:space="preserve">, dado que la media móvil de 28 días concentra el 58,2% de la importancia y el techo</w:t>
      </w:r>
      <w:r>
        <w:t xml:space="preserve"> </w:t>
      </w:r>
      <w:r>
        <w:t xml:space="preserve">lo pone el ruido de la serie.</w:t>
      </w:r>
    </w:p>
    <w:bookmarkEnd w:id="229"/>
    <w:bookmarkEnd w:id="230"/>
    <w:bookmarkEnd w:id="231"/>
    <w:bookmarkStart w:id="232" w:name="referencias"/>
    <w:p>
      <w:pPr>
        <w:pStyle w:val="Heading1"/>
      </w:pPr>
      <w:r>
        <w:t xml:space="preserve">8. Referencias</w:t>
      </w:r>
    </w:p>
    <w:p>
      <w:pPr>
        <w:pStyle w:val="FirstParagraph"/>
      </w:pPr>
      <w:r>
        <w:t xml:space="preserve">Angrist, J. D., &amp; Pischke, J.-S. (2009).</w:t>
      </w:r>
      <w:r>
        <w:t xml:space="preserve"> </w:t>
      </w:r>
      <w:r>
        <w:rPr>
          <w:iCs/>
          <w:i/>
        </w:rPr>
        <w:t xml:space="preserve">Mostly harmless econometrics: An empiricist’s</w:t>
      </w:r>
      <w:r>
        <w:rPr>
          <w:iCs/>
          <w:i/>
        </w:rPr>
        <w:t xml:space="preserve"> </w:t>
      </w:r>
      <w:r>
        <w:rPr>
          <w:iCs/>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Cs/>
          <w:i/>
        </w:rPr>
        <w:t xml:space="preserve">Proceedings of the 11th Conference</w:t>
      </w:r>
      <w:r>
        <w:rPr>
          <w:iCs/>
          <w:i/>
        </w:rPr>
        <w:t xml:space="preserve"> </w:t>
      </w:r>
      <w:r>
        <w:rPr>
          <w:iCs/>
          <w:i/>
        </w:rPr>
        <w:t xml:space="preserve">on Innovative Data Systems Research (CIDR)</w:t>
      </w:r>
      <w:r>
        <w:t xml:space="preserve">.</w:t>
      </w:r>
    </w:p>
    <w:p>
      <w:pPr>
        <w:pStyle w:val="BodyText"/>
      </w:pPr>
      <w:r>
        <w:t xml:space="preserve">Arrow, K. J., Harris, T., &amp; Marschak, J. (1951). Optimal inventory policy.</w:t>
      </w:r>
      <w:r>
        <w:t xml:space="preserve"> </w:t>
      </w:r>
      <w:r>
        <w:rPr>
          <w:iCs/>
          <w:i/>
        </w:rPr>
        <w:t xml:space="preserve">Econometrica, 19</w:t>
      </w:r>
      <w:r>
        <w:t xml:space="preserve">(3),</w:t>
      </w:r>
      <w:r>
        <w:t xml:space="preserve"> </w:t>
      </w:r>
      <w:r>
        <w:t xml:space="preserve">250–272.</w:t>
      </w:r>
    </w:p>
    <w:p>
      <w:pPr>
        <w:pStyle w:val="BodyText"/>
      </w:pPr>
      <w:r>
        <w:t xml:space="preserve">Bellman, R. (1961).</w:t>
      </w:r>
      <w:r>
        <w:t xml:space="preserve"> </w:t>
      </w:r>
      <w:r>
        <w:rPr>
          <w:iCs/>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Cs/>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Cs/>
          <w:i/>
        </w:rPr>
        <w:t xml:space="preserve">Journal of Marketing Research, 42</w:t>
      </w:r>
      <w:r>
        <w:t xml:space="preserve">(2), 141–156.</w:t>
      </w:r>
    </w:p>
    <w:p>
      <w:pPr>
        <w:pStyle w:val="BodyText"/>
      </w:pPr>
      <w:r>
        <w:t xml:space="preserve">Chen, T., &amp; Guestrin, C. (2016). XGBoost: A scalable tree boosting system.</w:t>
      </w:r>
      <w:r>
        <w:t xml:space="preserve"> </w:t>
      </w:r>
      <w:r>
        <w:rPr>
          <w:iCs/>
          <w:i/>
        </w:rPr>
        <w:t xml:space="preserve">Proceedings of the</w:t>
      </w:r>
      <w:r>
        <w:rPr>
          <w:iCs/>
          <w:i/>
        </w:rPr>
        <w:t xml:space="preserve"> </w:t>
      </w:r>
      <w:r>
        <w:rPr>
          <w:iCs/>
          <w:i/>
        </w:rPr>
        <w:t xml:space="preserve">22nd ACM SIGKDD International Conference on Knowledge Discovery and Data Mining</w:t>
      </w:r>
      <w:r>
        <w:t xml:space="preserve">, 785–794.</w:t>
      </w:r>
    </w:p>
    <w:p>
      <w:pPr>
        <w:pStyle w:val="BodyText"/>
      </w:pPr>
      <w:r>
        <w:t xml:space="preserve">Correia, S. (2017).</w:t>
      </w:r>
      <w:r>
        <w:t xml:space="preserve"> </w:t>
      </w:r>
      <w:r>
        <w:rPr>
          <w:iCs/>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Cs/>
          <w:i/>
        </w:rPr>
        <w:t xml:space="preserve">Operational</w:t>
      </w:r>
      <w:r>
        <w:rPr>
          <w:iCs/>
          <w:i/>
        </w:rPr>
        <w:t xml:space="preserve"> </w:t>
      </w:r>
      <w:r>
        <w:rPr>
          <w:iCs/>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Cs/>
          <w:i/>
        </w:rPr>
        <w:t xml:space="preserve">Econometrica, 1</w:t>
      </w:r>
      <w:r>
        <w:t xml:space="preserve">(4), 387–401.</w:t>
      </w:r>
    </w:p>
    <w:p>
      <w:pPr>
        <w:pStyle w:val="BodyText"/>
      </w:pPr>
      <w:r>
        <w:t xml:space="preserve">Gneiting, T., &amp; Raftery, A. E. (2007). Strictly proper scoring rules, prediction, and estimation.</w:t>
      </w:r>
      <w:r>
        <w:t xml:space="preserve"> </w:t>
      </w:r>
      <w:r>
        <w:rPr>
          <w:iCs/>
          <w:i/>
        </w:rPr>
        <w:t xml:space="preserve">Journal of the American Statistical Association, 102</w:t>
      </w:r>
      <w:r>
        <w:t xml:space="preserve">(477), 359–378.</w:t>
      </w:r>
    </w:p>
    <w:p>
      <w:pPr>
        <w:pStyle w:val="BodyText"/>
      </w:pPr>
      <w:r>
        <w:t xml:space="preserve">Gruen, T. W., Corsten, D. S., &amp; Bharadwaj, S. (2002).</w:t>
      </w:r>
      <w:r>
        <w:t xml:space="preserve"> </w:t>
      </w:r>
      <w:r>
        <w:rPr>
          <w:iCs/>
          <w:i/>
        </w:rPr>
        <w:t xml:space="preserve">Retail out-of-stocks: A worldwide</w:t>
      </w:r>
      <w:r>
        <w:rPr>
          <w:iCs/>
          <w:i/>
        </w:rPr>
        <w:t xml:space="preserve"> </w:t>
      </w:r>
      <w:r>
        <w:rPr>
          <w:iCs/>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Cs/>
          <w:i/>
        </w:rPr>
        <w:t xml:space="preserve">The Stata Journal, 10</w:t>
      </w:r>
      <w:r>
        <w:t xml:space="preserve">(4), 628–649.</w:t>
      </w:r>
    </w:p>
    <w:p>
      <w:pPr>
        <w:pStyle w:val="BodyText"/>
      </w:pPr>
      <w:r>
        <w:t xml:space="preserve">Hubert, L., &amp; Arabie, P. (1985). Comparing partitions.</w:t>
      </w:r>
      <w:r>
        <w:t xml:space="preserve"> </w:t>
      </w:r>
      <w:r>
        <w:rPr>
          <w:iCs/>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Cs/>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Cs/>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Cs/>
          <w:i/>
        </w:rPr>
        <w:t xml:space="preserve">International Journal of</w:t>
      </w:r>
      <w:r>
        <w:rPr>
          <w:iCs/>
          <w:i/>
        </w:rPr>
        <w:t xml:space="preserve"> </w:t>
      </w:r>
      <w:r>
        <w:rPr>
          <w:iCs/>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Cs/>
          <w:i/>
        </w:rPr>
        <w:t xml:space="preserve">Advances in Neural Information Processing</w:t>
      </w:r>
      <w:r>
        <w:rPr>
          <w:iCs/>
          <w:i/>
        </w:rPr>
        <w:t xml:space="preserve"> </w:t>
      </w:r>
      <w:r>
        <w:rPr>
          <w:iCs/>
          <w:i/>
        </w:rPr>
        <w:t xml:space="preserve">Systems, 30</w:t>
      </w:r>
      <w:r>
        <w:t xml:space="preserve">, 3146–3154.</w:t>
      </w:r>
    </w:p>
    <w:p>
      <w:pPr>
        <w:pStyle w:val="BodyText"/>
      </w:pPr>
      <w:r>
        <w:t xml:space="preserve">Kimball, R., &amp; Ross, M. (2013).</w:t>
      </w:r>
      <w:r>
        <w:t xml:space="preserve"> </w:t>
      </w:r>
      <w:r>
        <w:rPr>
          <w:iCs/>
          <w:i/>
        </w:rPr>
        <w:t xml:space="preserve">The data warehouse toolkit: The definitive guide to dimensional</w:t>
      </w:r>
      <w:r>
        <w:rPr>
          <w:iCs/>
          <w:i/>
        </w:rPr>
        <w:t xml:space="preserve"> </w:t>
      </w:r>
      <w:r>
        <w:rPr>
          <w:iCs/>
          <w:i/>
        </w:rPr>
        <w:t xml:space="preserve">modeling</w:t>
      </w:r>
      <w:r>
        <w:t xml:space="preserve"> </w:t>
      </w:r>
      <w:r>
        <w:t xml:space="preserve">(3rd ed.). Wiley.</w:t>
      </w:r>
    </w:p>
    <w:p>
      <w:pPr>
        <w:pStyle w:val="BodyText"/>
      </w:pPr>
      <w:r>
        <w:t xml:space="preserve">Koenker, R., &amp; Bassett, G. (1978). Regression quantiles.</w:t>
      </w:r>
      <w:r>
        <w:t xml:space="preserve"> </w:t>
      </w:r>
      <w:r>
        <w:rPr>
          <w:iCs/>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Cs/>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Cs/>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Cs/>
          <w:i/>
        </w:rPr>
        <w:t xml:space="preserve">International</w:t>
      </w:r>
      <w:r>
        <w:rPr>
          <w:iCs/>
          <w:i/>
        </w:rPr>
        <w:t xml:space="preserve"> </w:t>
      </w:r>
      <w:r>
        <w:rPr>
          <w:iCs/>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Cs/>
          <w:i/>
        </w:rPr>
        <w:t xml:space="preserve">International Journal of Forecasting,</w:t>
      </w:r>
      <w:r>
        <w:rPr>
          <w:iCs/>
          <w:i/>
        </w:rPr>
        <w:t xml:space="preserve"> </w:t>
      </w:r>
      <w:r>
        <w:rPr>
          <w:iCs/>
          <w:i/>
        </w:rPr>
        <w:t xml:space="preserve">38</w:t>
      </w:r>
      <w:r>
        <w:t xml:space="preserve">(3), 705–871.</w:t>
      </w:r>
    </w:p>
    <w:p>
      <w:pPr>
        <w:pStyle w:val="BodyText"/>
      </w:pPr>
      <w:r>
        <w:t xml:space="preserve">Raasveldt, M., &amp; Mühleisen, H. (2019). DuckDB: An embeddable analytical database.</w:t>
      </w:r>
      <w:r>
        <w:t xml:space="preserve"> </w:t>
      </w:r>
      <w:r>
        <w:rPr>
          <w:iCs/>
          <w:i/>
        </w:rPr>
        <w:t xml:space="preserve">Proceedings</w:t>
      </w:r>
      <w:r>
        <w:rPr>
          <w:iCs/>
          <w:i/>
        </w:rPr>
        <w:t xml:space="preserve"> </w:t>
      </w:r>
      <w:r>
        <w:rPr>
          <w:iCs/>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Cs/>
          <w:i/>
        </w:rPr>
        <w:t xml:space="preserve">Advances</w:t>
      </w:r>
      <w:r>
        <w:rPr>
          <w:iCs/>
          <w:i/>
        </w:rPr>
        <w:t xml:space="preserve"> </w:t>
      </w:r>
      <w:r>
        <w:rPr>
          <w:iCs/>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Cs/>
          <w:i/>
        </w:rPr>
        <w:t xml:space="preserve">Journal of Computational and Applied Mathematics, 20</w:t>
      </w:r>
      <w:r>
        <w:t xml:space="preserve">, 53–65.</w:t>
      </w:r>
    </w:p>
    <w:p>
      <w:pPr>
        <w:pStyle w:val="BodyText"/>
      </w:pPr>
      <w:r>
        <w:t xml:space="preserve">Silver, E. A., Pyke, D. F., &amp; Thomas, D. J. (2016).</w:t>
      </w:r>
      <w:r>
        <w:t xml:space="preserve"> </w:t>
      </w:r>
      <w:r>
        <w:rPr>
          <w:iCs/>
          <w:i/>
        </w:rPr>
        <w:t xml:space="preserve">Inventory and production management in</w:t>
      </w:r>
      <w:r>
        <w:rPr>
          <w:iCs/>
          <w:i/>
        </w:rPr>
        <w:t xml:space="preserve"> </w:t>
      </w:r>
      <w:r>
        <w:rPr>
          <w:iCs/>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Cs/>
          <w:i/>
        </w:rPr>
        <w:t xml:space="preserve">International Journal of Production Economics, 71</w:t>
      </w:r>
      <w:r>
        <w:t xml:space="preserve">(1–3), 457–466.</w:t>
      </w:r>
    </w:p>
    <w:p>
      <w:pPr>
        <w:pStyle w:val="BodyText"/>
      </w:pPr>
      <w:r>
        <w:t xml:space="preserve">Taylor, S. J., &amp; Letham, B. (2018). Forecasting at scale.</w:t>
      </w:r>
      <w:r>
        <w:t xml:space="preserve"> </w:t>
      </w:r>
      <w:r>
        <w:rPr>
          <w:iCs/>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Cs/>
          <w:i/>
        </w:rPr>
        <w:t xml:space="preserve">Psychometrika, 18</w:t>
      </w:r>
      <w:r>
        <w:t xml:space="preserve">(4), 267–276.</w:t>
      </w:r>
    </w:p>
    <w:p>
      <w:pPr>
        <w:pStyle w:val="BodyText"/>
      </w:pPr>
      <w:r>
        <w:t xml:space="preserve">Villas-Boas, J. M., &amp; Winer, R. S. (1999). Endogeneity in brand choice models.</w:t>
      </w:r>
      <w:r>
        <w:t xml:space="preserve"> </w:t>
      </w:r>
      <w:r>
        <w:rPr>
          <w:iCs/>
          <w:i/>
        </w:rPr>
        <w:t xml:space="preserve">Management</w:t>
      </w:r>
      <w:r>
        <w:rPr>
          <w:iCs/>
          <w:i/>
        </w:rPr>
        <w:t xml:space="preserve"> </w:t>
      </w:r>
      <w:r>
        <w:rPr>
          <w:iCs/>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Cs/>
          <w:i/>
        </w:rPr>
        <w:t xml:space="preserve">Journal of</w:t>
      </w:r>
      <w:r>
        <w:rPr>
          <w:iCs/>
          <w:i/>
        </w:rPr>
        <w:t xml:space="preserve"> </w:t>
      </w:r>
      <w:r>
        <w:rPr>
          <w:iCs/>
          <w:i/>
        </w:rPr>
        <w:t xml:space="preserve">the American Statistical Association, 114</w:t>
      </w:r>
      <w:r>
        <w:t xml:space="preserve">(526), 804–819.</w:t>
      </w:r>
    </w:p>
    <w:p>
      <w:pPr>
        <w:pStyle w:val="BodyText"/>
      </w:pPr>
      <w:r>
        <w:t xml:space="preserve">Zipkin, P. H. (2000).</w:t>
      </w:r>
      <w:r>
        <w:t xml:space="preserve"> </w:t>
      </w:r>
      <w:r>
        <w:rPr>
          <w:iCs/>
          <w:i/>
        </w:rPr>
        <w:t xml:space="preserve">Foundations of inventory management</w:t>
      </w:r>
      <w:r>
        <w:t xml:space="preserve">. McGraw-Hill.</w:t>
      </w:r>
    </w:p>
    <w:p>
      <w:r>
        <w:pict>
          <v:rect style="width:0;height:1.5pt" o:hralign="center" o:hrstd="t" o:hr="t"/>
        </w:pict>
      </w:r>
    </w:p>
    <w:bookmarkEnd w:id="232"/>
    <w:bookmarkStart w:id="240" w:name="anexos"/>
    <w:p>
      <w:pPr>
        <w:pStyle w:val="Heading1"/>
      </w:pPr>
      <w:r>
        <w:t xml:space="preserve">9. Anexos</w:t>
      </w:r>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bookmarkStart w:id="233" w:name="X4deb3d807606c30ab159fa52b782ca60bae7d62"/>
    <w:p>
      <w:pPr>
        <w:pStyle w:val="Heading2"/>
      </w:pPr>
      <w:r>
        <w:t xml:space="preserve">Anexo A. Cuadernos de análisis y entrenamientos auxiliares</w:t>
      </w:r>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Cuaderno</w:t>
            </w:r>
          </w:p>
        </w:tc>
        <w:tc>
          <w:tcPr/>
          <w:p>
            <w:pPr>
              <w:pStyle w:val="Compact"/>
              <w:jc w:val="left"/>
            </w:pPr>
            <w:r>
              <w:t xml:space="preserve">Contenido</w:t>
            </w:r>
          </w:p>
        </w:tc>
        <w:tc>
          <w:tcPr/>
          <w:p>
            <w:pPr>
              <w:pStyle w:val="Compact"/>
              <w:jc w:val="left"/>
            </w:pPr>
            <w:r>
              <w:t xml:space="preserve">Sección</w:t>
            </w:r>
          </w:p>
        </w:tc>
      </w:tr>
      <w:tr>
        <w:tc>
          <w:tcPr/>
          <w:p>
            <w:pPr>
              <w:pStyle w:val="Compact"/>
              <w:jc w:val="left"/>
            </w:pPr>
            <w:r>
              <w:rPr>
                <w:rStyle w:val="VerbatimChar"/>
              </w:rPr>
              <w:t xml:space="preserve">01_EDA_DSMarket.ipynb</w:t>
            </w:r>
          </w:p>
        </w:tc>
        <w:tc>
          <w:tcPr/>
          <w:p>
            <w:pPr>
              <w:pStyle w:val="Compact"/>
              <w:jc w:val="left"/>
            </w:pPr>
            <w:r>
              <w:t xml:space="preserve">Análisis exploratorio, diagnóstico de calidad y eventos vistos por semanas</w:t>
            </w:r>
          </w:p>
        </w:tc>
        <w:tc>
          <w:tcPr/>
          <w:p>
            <w:pPr>
              <w:pStyle w:val="Compact"/>
              <w:jc w:val="left"/>
            </w:pPr>
            <w:r>
              <w:t xml:space="preserve">§7.1</w:t>
            </w:r>
          </w:p>
        </w:tc>
      </w:tr>
      <w:tr>
        <w:tc>
          <w:tcPr/>
          <w:p>
            <w:pPr>
              <w:pStyle w:val="Compact"/>
              <w:jc w:val="left"/>
            </w:pPr>
            <w:r>
              <w:rPr>
                <w:rStyle w:val="VerbatimChar"/>
              </w:rPr>
              <w:t xml:space="preserve">02_Clustering_DSMarket.ipynb</w:t>
            </w:r>
          </w:p>
        </w:tc>
        <w:tc>
          <w:tcPr/>
          <w:p>
            <w:pPr>
              <w:pStyle w:val="Compact"/>
              <w:jc w:val="left"/>
            </w:pPr>
            <w:r>
              <w:t xml:space="preserve">Segmentación de productos (método del codo, variables medidas desde la primera venta) y comparación de tiendas</w:t>
            </w:r>
          </w:p>
        </w:tc>
        <w:tc>
          <w:tcPr/>
          <w:p>
            <w:pPr>
              <w:pStyle w:val="Compact"/>
              <w:jc w:val="left"/>
            </w:pPr>
            <w:r>
              <w:t xml:space="preserve">§7.2</w:t>
            </w:r>
          </w:p>
        </w:tc>
      </w:tr>
      <w:tr>
        <w:tc>
          <w:tcPr/>
          <w:p>
            <w:pPr>
              <w:pStyle w:val="Compact"/>
              <w:jc w:val="left"/>
            </w:pPr>
            <w:r>
              <w:rPr>
                <w:rStyle w:val="VerbatimChar"/>
              </w:rPr>
              <w:t xml:space="preserve">03_Forecasting_DSMarket.ipynb</w:t>
            </w:r>
          </w:p>
        </w:tc>
        <w:tc>
          <w:tcPr/>
          <w:p>
            <w:pPr>
              <w:pStyle w:val="Compact"/>
              <w:jc w:val="left"/>
            </w:pPr>
            <w:r>
              <w:t xml:space="preserve">Comparación de modelos, validación y reconciliación; revisión con la segmentación vigente, métrica semanal, eventos semanales y modelo final de 400 días</w:t>
            </w:r>
          </w:p>
        </w:tc>
        <w:tc>
          <w:tcPr/>
          <w:p>
            <w:pPr>
              <w:pStyle w:val="Compact"/>
              <w:jc w:val="left"/>
            </w:pPr>
            <w:r>
              <w:t xml:space="preserve">§7.3</w:t>
            </w:r>
          </w:p>
        </w:tc>
      </w:tr>
      <w:tr>
        <w:tc>
          <w:tcPr/>
          <w:p>
            <w:pPr>
              <w:pStyle w:val="Compact"/>
              <w:jc w:val="left"/>
            </w:pPr>
            <w:r>
              <w:rPr>
                <w:rStyle w:val="VerbatimChar"/>
              </w:rPr>
              <w:t xml:space="preserve">04_Abastecimiento_DSMarket.ipynb</w:t>
            </w:r>
          </w:p>
        </w:tc>
        <w:tc>
          <w:tcPr/>
          <w:p>
            <w:pPr>
              <w:pStyle w:val="Compact"/>
              <w:jc w:val="left"/>
            </w:pPr>
            <w:r>
              <w:t xml:space="preserve">Política de reposición y simulación de costes con las predicciones del modelo final</w:t>
            </w:r>
          </w:p>
        </w:tc>
        <w:tc>
          <w:tcPr/>
          <w:p>
            <w:pPr>
              <w:pStyle w:val="Compact"/>
              <w:jc w:val="left"/>
            </w:pPr>
            <w:r>
              <w:t xml:space="preserve">§7.4</w:t>
            </w:r>
          </w:p>
        </w:tc>
      </w:tr>
      <w:tr>
        <w:tc>
          <w:tcPr/>
          <w:p>
            <w:pPr>
              <w:pStyle w:val="Compact"/>
              <w:jc w:val="left"/>
            </w:pPr>
            <w:r>
              <w:rPr>
                <w:rStyle w:val="VerbatimChar"/>
              </w:rPr>
              <w:t xml:space="preserve">05_Elasticidad_DSMarket.ipynb</w:t>
            </w:r>
          </w:p>
        </w:tc>
        <w:tc>
          <w:tcPr/>
          <w:p>
            <w:pPr>
              <w:pStyle w:val="Compact"/>
              <w:jc w:val="left"/>
            </w:pPr>
            <w:r>
              <w:t xml:space="preserve">Estimación de elasticidad y prueba de falsación</w:t>
            </w:r>
          </w:p>
        </w:tc>
        <w:tc>
          <w:tcPr/>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bookmarkEnd w:id="233"/>
    <w:bookmarkStart w:id="234" w:name="anexo-b.-el-almacén-analítico"/>
    <w:p>
      <w:pPr>
        <w:pStyle w:val="Heading2"/>
      </w:pPr>
      <w:r>
        <w:t xml:space="preserve">Anexo B. El almacén analítico</w:t>
      </w:r>
    </w:p>
    <w:p>
      <w:pPr>
        <w:pStyle w:val="FirstParagraph"/>
      </w:pPr>
      <w:r>
        <w:rPr>
          <w:bCs/>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Contenido</w:t>
            </w:r>
          </w:p>
        </w:tc>
        <w:tc>
          <w:tcPr/>
          <w:p>
            <w:pPr>
              <w:pStyle w:val="Compact"/>
              <w:jc w:val="left"/>
            </w:pPr>
            <w:r>
              <w:t xml:space="preserve">Regla</w:t>
            </w:r>
          </w:p>
        </w:tc>
      </w:tr>
      <w:tr>
        <w:tc>
          <w:tcPr/>
          <w:p>
            <w:pPr>
              <w:pStyle w:val="Compact"/>
              <w:jc w:val="left"/>
            </w:pPr>
            <w:r>
              <w:t xml:space="preserve">Bronce</w:t>
            </w:r>
          </w:p>
        </w:tc>
        <w:tc>
          <w:tcPr/>
          <w:p>
            <w:pPr>
              <w:pStyle w:val="Compact"/>
              <w:jc w:val="left"/>
            </w:pPr>
            <w:r>
              <w:t xml:space="preserve">Copia fiel de las tres fuentes, sin transformar</w:t>
            </w:r>
          </w:p>
        </w:tc>
        <w:tc>
          <w:tcPr/>
          <w:p>
            <w:pPr>
              <w:pStyle w:val="Compact"/>
              <w:jc w:val="left"/>
            </w:pPr>
            <w:r>
              <w:t xml:space="preserve">No se modifica: es la trazabilidad</w:t>
            </w:r>
          </w:p>
        </w:tc>
      </w:tr>
      <w:tr>
        <w:tc>
          <w:tcPr/>
          <w:p>
            <w:pPr>
              <w:pStyle w:val="Compact"/>
              <w:jc w:val="left"/>
            </w:pPr>
            <w:r>
              <w:t xml:space="preserve">Plata</w:t>
            </w:r>
          </w:p>
        </w:tc>
        <w:tc>
          <w:tcPr/>
          <w:p>
            <w:pPr>
              <w:pStyle w:val="Compact"/>
              <w:jc w:val="left"/>
            </w:pPr>
            <w:r>
              <w:t xml:space="preserve">Datos limpios, tipados y en formato largo</w:t>
            </w:r>
          </w:p>
        </w:tc>
        <w:tc>
          <w:tcPr/>
          <w:p>
            <w:pPr>
              <w:pStyle w:val="Compact"/>
              <w:jc w:val="left"/>
            </w:pPr>
            <w:r>
              <w:t xml:space="preserve">Contiene las reglas de negocio derivadas del análisis exploratorio</w:t>
            </w:r>
          </w:p>
        </w:tc>
      </w:tr>
      <w:tr>
        <w:tc>
          <w:tcPr/>
          <w:p>
            <w:pPr>
              <w:pStyle w:val="Compact"/>
              <w:jc w:val="left"/>
            </w:pPr>
            <w:r>
              <w:t xml:space="preserve">Oro</w:t>
            </w:r>
          </w:p>
        </w:tc>
        <w:tc>
          <w:tcPr/>
          <w:p>
            <w:pPr>
              <w:pStyle w:val="Compact"/>
              <w:jc w:val="left"/>
            </w:pPr>
            <w:r>
              <w:t xml:space="preserve">Modelo dimensional en estrella y tablas agregadas</w:t>
            </w:r>
          </w:p>
        </w:tc>
        <w:tc>
          <w:tcPr/>
          <w:p>
            <w:pPr>
              <w:pStyle w:val="Compact"/>
              <w:jc w:val="left"/>
            </w:pPr>
            <w:r>
              <w:t xml:space="preserve">Es lo que consumen el cuadro de mando, la interfaz de programación y los modelos</w:t>
            </w:r>
          </w:p>
        </w:tc>
      </w:tr>
    </w:tbl>
    <w:p>
      <w:pPr>
        <w:pStyle w:val="BodyText"/>
      </w:pPr>
      <w:r>
        <w:rPr>
          <w:bCs/>
          <w:b/>
        </w:rPr>
        <w:t xml:space="preserve">Reglas de negocio codificadas en la capa plata.</w:t>
      </w:r>
    </w:p>
    <w:p>
      <w:pPr>
        <w:numPr>
          <w:ilvl w:val="0"/>
          <w:numId w:val="1011"/>
        </w:numPr>
        <w:pStyle w:val="Compact"/>
      </w:pPr>
      <w:r>
        <w:rPr>
          <w:iCs/>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Cs/>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Cs/>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Cs/>
          <w:b/>
        </w:rPr>
        <w:t xml:space="preserve">Diccionario de la capa 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Tabla</w:t>
            </w:r>
          </w:p>
        </w:tc>
        <w:tc>
          <w:tcPr/>
          <w:p>
            <w:pPr>
              <w:pStyle w:val="Compact"/>
              <w:jc w:val="left"/>
            </w:pPr>
            <w:r>
              <w:t xml:space="preserve">Grano</w:t>
            </w:r>
          </w:p>
        </w:tc>
        <w:tc>
          <w:tcPr/>
          <w:p>
            <w:pPr>
              <w:pStyle w:val="Compact"/>
              <w:jc w:val="left"/>
            </w:pPr>
            <w:r>
              <w:t xml:space="preserve">Filas</w:t>
            </w:r>
          </w:p>
        </w:tc>
      </w:tr>
      <w:tr>
        <w:tc>
          <w:tcPr/>
          <w:p>
            <w:pPr>
              <w:pStyle w:val="Compact"/>
              <w:jc w:val="left"/>
            </w:pPr>
            <w:r>
              <w:rPr>
                <w:rStyle w:val="VerbatimChar"/>
              </w:rPr>
              <w:t xml:space="preserve">dim_calendario</w:t>
            </w:r>
          </w:p>
        </w:tc>
        <w:tc>
          <w:tcPr/>
          <w:p>
            <w:pPr>
              <w:pStyle w:val="Compact"/>
              <w:jc w:val="left"/>
            </w:pPr>
            <w:r>
              <w:t xml:space="preserve">día (incluye los 28 días de horizonte)</w:t>
            </w:r>
          </w:p>
        </w:tc>
        <w:tc>
          <w:tcPr/>
          <w:p>
            <w:pPr>
              <w:pStyle w:val="Compact"/>
              <w:jc w:val="left"/>
            </w:pPr>
            <w:r>
              <w:t xml:space="preserve">1.941</w:t>
            </w:r>
          </w:p>
        </w:tc>
      </w:tr>
      <w:tr>
        <w:tc>
          <w:tcPr/>
          <w:p>
            <w:pPr>
              <w:pStyle w:val="Compact"/>
              <w:jc w:val="left"/>
            </w:pPr>
            <w:r>
              <w:rPr>
                <w:rStyle w:val="VerbatimChar"/>
              </w:rPr>
              <w:t xml:space="preserve">dim_producto</w:t>
            </w:r>
          </w:p>
        </w:tc>
        <w:tc>
          <w:tcPr/>
          <w:p>
            <w:pPr>
              <w:pStyle w:val="Compact"/>
              <w:jc w:val="left"/>
            </w:pPr>
            <w:r>
              <w:t xml:space="preserve">producto, con su grupo de comportamiento</w:t>
            </w:r>
          </w:p>
        </w:tc>
        <w:tc>
          <w:tcPr/>
          <w:p>
            <w:pPr>
              <w:pStyle w:val="Compact"/>
              <w:jc w:val="left"/>
            </w:pPr>
            <w:r>
              <w:t xml:space="preserve">3.049</w:t>
            </w:r>
          </w:p>
        </w:tc>
      </w:tr>
      <w:tr>
        <w:tc>
          <w:tcPr/>
          <w:p>
            <w:pPr>
              <w:pStyle w:val="Compact"/>
              <w:jc w:val="left"/>
            </w:pPr>
            <w:r>
              <w:rPr>
                <w:rStyle w:val="VerbatimChar"/>
              </w:rPr>
              <w:t xml:space="preserve">dim_tienda</w:t>
            </w:r>
          </w:p>
        </w:tc>
        <w:tc>
          <w:tcPr/>
          <w:p>
            <w:pPr>
              <w:pStyle w:val="Compact"/>
              <w:jc w:val="left"/>
            </w:pPr>
            <w:r>
              <w:t xml:space="preserve">tienda, con la tienda más parecida</w:t>
            </w:r>
          </w:p>
        </w:tc>
        <w:tc>
          <w:tcPr/>
          <w:p>
            <w:pPr>
              <w:pStyle w:val="Compact"/>
              <w:jc w:val="left"/>
            </w:pPr>
            <w:r>
              <w:t xml:space="preserve">10</w:t>
            </w:r>
          </w:p>
        </w:tc>
      </w:tr>
      <w:tr>
        <w:tc>
          <w:tcPr/>
          <w:p>
            <w:pPr>
              <w:pStyle w:val="Compact"/>
              <w:jc w:val="left"/>
            </w:pPr>
            <w:r>
              <w:rPr>
                <w:rStyle w:val="VerbatimChar"/>
              </w:rPr>
              <w:t xml:space="preserve">dim_serie</w:t>
            </w:r>
          </w:p>
        </w:tc>
        <w:tc>
          <w:tcPr/>
          <w:p>
            <w:pPr>
              <w:pStyle w:val="Compact"/>
              <w:jc w:val="left"/>
            </w:pPr>
            <w:r>
              <w:t xml:space="preserve">producto × tienda, con clase ABC/XYZ</w:t>
            </w:r>
          </w:p>
        </w:tc>
        <w:tc>
          <w:tcPr/>
          <w:p>
            <w:pPr>
              <w:pStyle w:val="Compact"/>
              <w:jc w:val="left"/>
            </w:pPr>
            <w:r>
              <w:t xml:space="preserve">30.490</w:t>
            </w:r>
          </w:p>
        </w:tc>
      </w:tr>
      <w:tr>
        <w:tc>
          <w:tcPr/>
          <w:p>
            <w:pPr>
              <w:pStyle w:val="Compact"/>
              <w:jc w:val="left"/>
            </w:pPr>
            <w:r>
              <w:rPr>
                <w:rStyle w:val="VerbatimChar"/>
              </w:rPr>
              <w:t xml:space="preserve">fact_ventas</w:t>
            </w:r>
          </w:p>
        </w:tc>
        <w:tc>
          <w:tcPr/>
          <w:p>
            <w:pPr>
              <w:pStyle w:val="Compact"/>
              <w:jc w:val="left"/>
            </w:pPr>
            <w:r>
              <w:t xml:space="preserve">producto × tienda × día, valorizado</w:t>
            </w:r>
          </w:p>
        </w:tc>
        <w:tc>
          <w:tcPr/>
          <w:p>
            <w:pPr>
              <w:pStyle w:val="Compact"/>
              <w:jc w:val="left"/>
            </w:pPr>
            <w:r>
              <w:t xml:space="preserve">58.327.370</w:t>
            </w:r>
          </w:p>
        </w:tc>
      </w:tr>
      <w:tr>
        <w:tc>
          <w:tcPr/>
          <w:p>
            <w:pPr>
              <w:pStyle w:val="Compact"/>
              <w:jc w:val="left"/>
            </w:pPr>
            <w:r>
              <w:rPr>
                <w:rStyle w:val="VerbatimChar"/>
              </w:rPr>
              <w:t xml:space="preserve">fact_predicciones</w:t>
            </w:r>
          </w:p>
        </w:tc>
        <w:tc>
          <w:tcPr/>
          <w:p>
            <w:pPr>
              <w:pStyle w:val="Compact"/>
              <w:jc w:val="left"/>
            </w:pPr>
            <w:r>
              <w:t xml:space="preserve">producto × tienda × día futuro (media y percentil 90)</w:t>
            </w:r>
          </w:p>
        </w:tc>
        <w:tc>
          <w:tcPr/>
          <w:p>
            <w:pPr>
              <w:pStyle w:val="Compact"/>
              <w:jc w:val="left"/>
            </w:pPr>
            <w:r>
              <w:t xml:space="preserve">853.720</w:t>
            </w:r>
          </w:p>
        </w:tc>
      </w:tr>
      <w:tr>
        <w:tc>
          <w:tcPr/>
          <w:p>
            <w:pPr>
              <w:pStyle w:val="Compact"/>
              <w:jc w:val="left"/>
            </w:pPr>
            <w:r>
              <w:rPr>
                <w:rStyle w:val="VerbatimChar"/>
              </w:rPr>
              <w:t xml:space="preserve">fact_reposicion</w:t>
            </w:r>
          </w:p>
        </w:tc>
        <w:tc>
          <w:tcPr/>
          <w:p>
            <w:pPr>
              <w:pStyle w:val="Compact"/>
              <w:jc w:val="left"/>
            </w:pPr>
            <w:r>
              <w:t xml:space="preserve">producto × tienda × revisión (nivel objetivo y stock de seguridad)</w:t>
            </w:r>
          </w:p>
        </w:tc>
        <w:tc>
          <w:tcPr/>
          <w:p>
            <w:pPr>
              <w:pStyle w:val="Compact"/>
              <w:jc w:val="left"/>
            </w:pPr>
            <w:r>
              <w:t xml:space="preserve">121.960</w:t>
            </w:r>
          </w:p>
        </w:tc>
      </w:tr>
      <w:tr>
        <w:tc>
          <w:tcPr/>
          <w:p>
            <w:pPr>
              <w:pStyle w:val="Compact"/>
              <w:jc w:val="left"/>
            </w:pPr>
            <w:r>
              <w:rPr>
                <w:rStyle w:val="VerbatimChar"/>
              </w:rPr>
              <w:t xml:space="preserve">mart_ventas_dia</w:t>
            </w:r>
          </w:p>
        </w:tc>
        <w:tc>
          <w:tcPr/>
          <w:p>
            <w:pPr>
              <w:pStyle w:val="Compact"/>
              <w:jc w:val="left"/>
            </w:pPr>
            <w:r>
              <w:t xml:space="preserve">día × tienda × departamento</w:t>
            </w:r>
          </w:p>
        </w:tc>
        <w:tc>
          <w:tcPr/>
          <w:p>
            <w:pPr>
              <w:pStyle w:val="Compact"/>
              <w:jc w:val="left"/>
            </w:pPr>
            <w:r>
              <w:t xml:space="preserve">133.910</w:t>
            </w:r>
          </w:p>
        </w:tc>
      </w:tr>
      <w:tr>
        <w:tc>
          <w:tcPr/>
          <w:p>
            <w:pPr>
              <w:pStyle w:val="Compact"/>
              <w:jc w:val="left"/>
            </w:pPr>
            <w:r>
              <w:rPr>
                <w:rStyle w:val="VerbatimChar"/>
              </w:rPr>
              <w:t xml:space="preserve">mart_producto_tienda</w:t>
            </w:r>
          </w:p>
        </w:tc>
        <w:tc>
          <w:tcPr/>
          <w:p>
            <w:pPr>
              <w:pStyle w:val="Compact"/>
              <w:jc w:val="left"/>
            </w:pPr>
            <w:r>
              <w:t xml:space="preserve">producto × tienda, agregados</w:t>
            </w:r>
          </w:p>
        </w:tc>
        <w:tc>
          <w:tcPr/>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Cs/>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Cs/>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Cs/>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bookmarkEnd w:id="234"/>
    <w:bookmarkStart w:id="235" w:name="anexo-c.-el-servicio-de-reposición"/>
    <w:p>
      <w:pPr>
        <w:pStyle w:val="Heading2"/>
      </w:pPr>
      <w:r>
        <w:t xml:space="preserve">Anexo C. El servicio de reposición</w:t>
      </w:r>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Función</w:t>
            </w:r>
          </w:p>
        </w:tc>
      </w:tr>
      <w:tr>
        <w:tc>
          <w:tcPr/>
          <w:p>
            <w:pPr>
              <w:pStyle w:val="Compact"/>
              <w:jc w:val="left"/>
            </w:pPr>
            <w:r>
              <w:rPr>
                <w:rStyle w:val="VerbatimChar"/>
              </w:rPr>
              <w:t xml:space="preserve">POST</w:t>
            </w:r>
          </w:p>
        </w:tc>
        <w:tc>
          <w:tcPr/>
          <w:p>
            <w:pPr>
              <w:pStyle w:val="Compact"/>
              <w:jc w:val="left"/>
            </w:pPr>
            <w:r>
              <w:rPr>
                <w:rStyle w:val="VerbatimChar"/>
              </w:rPr>
              <w:t xml:space="preserve">/reposicion/sugerencia</w:t>
            </w:r>
          </w:p>
        </w:tc>
        <w:tc>
          <w:tcPr/>
          <w:p>
            <w:pPr>
              <w:pStyle w:val="Compact"/>
              <w:jc w:val="left"/>
            </w:pPr>
            <w:r>
              <w:t xml:space="preserve">Cantidad que debe pedirse de cada producto</w:t>
            </w:r>
          </w:p>
        </w:tc>
      </w:tr>
      <w:tr>
        <w:tc>
          <w:tcPr/>
          <w:p>
            <w:pPr>
              <w:pStyle w:val="Compact"/>
              <w:jc w:val="left"/>
            </w:pPr>
            <w:r>
              <w:rPr>
                <w:rStyle w:val="VerbatimChar"/>
              </w:rPr>
              <w:t xml:space="preserve">GET</w:t>
            </w:r>
          </w:p>
        </w:tc>
        <w:tc>
          <w:tcPr/>
          <w:p>
            <w:pPr>
              <w:pStyle w:val="Compact"/>
              <w:jc w:val="left"/>
            </w:pPr>
            <w:r>
              <w:rPr>
                <w:rStyle w:val="VerbatimChar"/>
              </w:rPr>
              <w:t xml:space="preserve">/prediccion/{tienda}/{item}</w:t>
            </w:r>
          </w:p>
        </w:tc>
        <w:tc>
          <w:tcPr/>
          <w:p>
            <w:pPr>
              <w:pStyle w:val="Compact"/>
              <w:jc w:val="left"/>
            </w:pPr>
            <w:r>
              <w:t xml:space="preserve">Serie de predicción diaria (media y percentil 90)</w:t>
            </w:r>
          </w:p>
        </w:tc>
      </w:tr>
      <w:tr>
        <w:tc>
          <w:tcPr/>
          <w:p>
            <w:pPr>
              <w:pStyle w:val="Compact"/>
              <w:jc w:val="left"/>
            </w:pPr>
            <w:r>
              <w:rPr>
                <w:rStyle w:val="VerbatimChar"/>
              </w:rPr>
              <w:t xml:space="preserve">GET</w:t>
            </w:r>
          </w:p>
        </w:tc>
        <w:tc>
          <w:tcPr/>
          <w:p>
            <w:pPr>
              <w:pStyle w:val="Compact"/>
              <w:jc w:val="left"/>
            </w:pPr>
            <w:r>
              <w:rPr>
                <w:rStyle w:val="VerbatimChar"/>
              </w:rPr>
              <w:t xml:space="preserve">/tiendas</w:t>
            </w:r>
          </w:p>
        </w:tc>
        <w:tc>
          <w:tcPr/>
          <w:p>
            <w:pPr>
              <w:pStyle w:val="Compact"/>
              <w:jc w:val="left"/>
            </w:pPr>
            <w:r>
              <w:t xml:space="preserve">Catálogo de tiendas con su tienda más parecida</w:t>
            </w:r>
          </w:p>
        </w:tc>
      </w:tr>
      <w:tr>
        <w:tc>
          <w:tcPr/>
          <w:p>
            <w:pPr>
              <w:pStyle w:val="Compact"/>
              <w:jc w:val="left"/>
            </w:pPr>
            <w:r>
              <w:rPr>
                <w:rStyle w:val="VerbatimChar"/>
              </w:rPr>
              <w:t xml:space="preserve">GET</w:t>
            </w:r>
          </w:p>
        </w:tc>
        <w:tc>
          <w:tcPr/>
          <w:p>
            <w:pPr>
              <w:pStyle w:val="Compact"/>
              <w:jc w:val="left"/>
            </w:pPr>
            <w:r>
              <w:rPr>
                <w:rStyle w:val="VerbatimChar"/>
              </w:rPr>
              <w:t xml:space="preserve">/segmentos</w:t>
            </w:r>
          </w:p>
        </w:tc>
        <w:tc>
          <w:tcPr/>
          <w:p>
            <w:pPr>
              <w:pStyle w:val="Compact"/>
              <w:jc w:val="left"/>
            </w:pPr>
            <w:r>
              <w:t xml:space="preserve">Distribución ABC/XYZ y método de reposición de cada celda</w:t>
            </w:r>
          </w:p>
        </w:tc>
      </w:tr>
      <w:tr>
        <w:tc>
          <w:tcPr/>
          <w:p>
            <w:pPr>
              <w:pStyle w:val="Compact"/>
              <w:jc w:val="left"/>
            </w:pPr>
            <w:r>
              <w:rPr>
                <w:rStyle w:val="VerbatimChar"/>
              </w:rPr>
              <w:t xml:space="preserve">GET</w:t>
            </w:r>
          </w:p>
        </w:tc>
        <w:tc>
          <w:tcPr/>
          <w:p>
            <w:pPr>
              <w:pStyle w:val="Compact"/>
              <w:jc w:val="left"/>
            </w:pPr>
            <w:r>
              <w:rPr>
                <w:rStyle w:val="VerbatimChar"/>
              </w:rPr>
              <w:t xml:space="preserve">/salud</w:t>
            </w:r>
          </w:p>
        </w:tc>
        <w:tc>
          <w:tcPr/>
          <w:p>
            <w:pPr>
              <w:pStyle w:val="Compact"/>
              <w:jc w:val="left"/>
            </w:pPr>
            <w:r>
              <w:t xml:space="preserve">Comprobación de vida y horizonte de datos cargado</w:t>
            </w:r>
          </w:p>
        </w:tc>
      </w:tr>
    </w:tbl>
    <w:p>
      <w:pPr>
        <w:pStyle w:val="BodyText"/>
      </w:pPr>
      <w:r>
        <w:rPr>
          <w:bCs/>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Cs/>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Cs/>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rPr>
              <m:sty m:val="p"/>
            </m:rPr>
            <m:t>=</m:t>
          </m:r>
          <m:sSub>
            <m:e>
              <m:acc>
                <m:accPr>
                  <m:chr m:val="̂"/>
                </m:accPr>
                <m:e>
                  <m:r>
                    <m:t>μ</m:t>
                  </m:r>
                </m:e>
              </m:acc>
            </m:e>
            <m:sub>
              <m:r>
                <m:t>R</m:t>
              </m:r>
              <m:r>
                <m:rPr>
                  <m:sty m:val="p"/>
                </m:rPr>
                <m:t>+</m:t>
              </m:r>
              <m:r>
                <m:t>L</m:t>
              </m:r>
            </m:sub>
          </m:sSub>
          <m:r>
            <m:rPr>
              <m:sty m:val="p"/>
            </m:rPr>
            <m:t>+</m:t>
          </m:r>
          <m:sSub>
            <m:e>
              <m:r>
                <m:t>z</m:t>
              </m:r>
            </m:e>
            <m:sub>
              <m:r>
                <m:t>τ</m:t>
              </m:r>
            </m:sub>
          </m:sSub>
          <m:r>
            <m:t> </m:t>
          </m:r>
          <m:sSub>
            <m:e>
              <m:acc>
                <m:accPr>
                  <m:chr m:val="̂"/>
                </m:accPr>
                <m:e>
                  <m:r>
                    <m:t>σ</m:t>
                  </m:r>
                </m:e>
              </m:acc>
            </m:e>
            <m:sub>
              <m:r>
                <m:t>R</m:t>
              </m:r>
              <m:r>
                <m:rPr>
                  <m:sty m:val="p"/>
                </m:rPr>
                <m:t>+</m:t>
              </m:r>
              <m:r>
                <m:t>L</m:t>
              </m:r>
            </m:sub>
          </m:sSub>
          <m:r>
            <m:rPr>
              <m:sty m:val="p"/>
            </m:rPr>
            <m:t>,</m:t>
          </m:r>
          <m:r>
            <m:t>  </m:t>
          </m:r>
          <m:r>
            <m:rPr>
              <m:nor/>
              <m:sty m:val="p"/>
            </m:rPr>
            <m:t>pedido</m:t>
          </m:r>
          <m:r>
            <m:rPr>
              <m:sty m:val="p"/>
            </m:rPr>
            <m:t>=</m:t>
          </m:r>
          <m:r>
            <m:rPr>
              <m:sty m:val="p"/>
            </m:rPr>
            <m:t>max</m:t>
          </m:r>
          <m:d>
            <m:dPr>
              <m:begChr m:val="("/>
              <m:endChr m:val=")"/>
              <m:sepChr m:val=""/>
              <m:grow/>
            </m:dPr>
            <m:e>
              <m:r>
                <m:t>S</m:t>
              </m:r>
              <m:r>
                <m:rPr>
                  <m:sty m:val="p"/>
                </m:rPr>
                <m:t>−</m:t>
              </m:r>
              <m:r>
                <m:rPr>
                  <m:nor/>
                  <m:sty m:val="p"/>
                </m:rPr>
                <m:t>stock</m:t>
              </m:r>
              <m:r>
                <m:rPr>
                  <m:sty m:val="p"/>
                </m:rPr>
                <m:t>−</m:t>
              </m:r>
              <m:r>
                <m:rPr>
                  <m:nor/>
                  <m:sty m:val="p"/>
                </m:rPr>
                <m:t>tránsito</m:t>
              </m:r>
              <m:r>
                <m:rPr>
                  <m:sty m:val="p"/>
                </m:rPr>
                <m:t>,</m:t>
              </m:r>
              <m:r>
                <m:t> </m:t>
              </m:r>
              <m:r>
                <m:t>0</m:t>
              </m:r>
            </m:e>
          </m:d>
        </m:oMath>
      </m:oMathPara>
    </w:p>
    <w:p>
      <w:pPr>
        <w:pStyle w:val="FirstParagraph"/>
      </w:pPr>
      <w:r>
        <w:rPr>
          <w:bCs/>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bookmarkEnd w:id="235"/>
    <w:bookmarkStart w:id="236" w:name="anexo-d.-el-panel-interactivo"/>
    <w:p>
      <w:pPr>
        <w:pStyle w:val="Heading2"/>
      </w:pPr>
      <w:r>
        <w:t xml:space="preserve">Anexo D. El panel interactivo</w:t>
      </w:r>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Pestaña</w:t>
            </w:r>
          </w:p>
        </w:tc>
        <w:tc>
          <w:tcPr/>
          <w:p>
            <w:pPr>
              <w:pStyle w:val="Compact"/>
              <w:jc w:val="left"/>
            </w:pPr>
            <w:r>
              <w:t xml:space="preserve">Función</w:t>
            </w:r>
          </w:p>
        </w:tc>
      </w:tr>
      <w:tr>
        <w:tc>
          <w:tcPr/>
          <w:p>
            <w:pPr>
              <w:pStyle w:val="Compact"/>
              <w:jc w:val="left"/>
            </w:pPr>
            <w:r>
              <w:t xml:space="preserve">Hoy en la tienda</w:t>
            </w:r>
          </w:p>
        </w:tc>
        <w:tc>
          <w:tcPr/>
          <w:p>
            <w:pPr>
              <w:pStyle w:val="Compact"/>
              <w:jc w:val="left"/>
            </w:pPr>
            <w:r>
              <w:t xml:space="preserve">Lista de trabajo del día: referencias que deben pedirse, ordenadas por el coste de no pedirlas, con columna de pedido final editable</w:t>
            </w:r>
          </w:p>
        </w:tc>
      </w:tr>
      <w:tr>
        <w:tc>
          <w:tcPr/>
          <w:p>
            <w:pPr>
              <w:pStyle w:val="Compact"/>
              <w:jc w:val="left"/>
            </w:pPr>
            <w:r>
              <w:t xml:space="preserve">Reposición</w:t>
            </w:r>
          </w:p>
        </w:tc>
        <w:tc>
          <w:tcPr/>
          <w:p>
            <w:pPr>
              <w:pStyle w:val="Compact"/>
              <w:jc w:val="left"/>
            </w:pPr>
            <w:r>
              <w:t xml:space="preserve">Selección de tienda y producto, histórico y previsión con banda del percentil 90, y cálculo de la cantidad a pedir con su justificación</w:t>
            </w:r>
          </w:p>
        </w:tc>
      </w:tr>
      <w:tr>
        <w:tc>
          <w:tcPr/>
          <w:p>
            <w:pPr>
              <w:pStyle w:val="Compact"/>
              <w:jc w:val="left"/>
            </w:pPr>
            <w:r>
              <w:t xml:space="preserve">Explorador del catálogo</w:t>
            </w:r>
          </w:p>
        </w:tc>
        <w:tc>
          <w:tcPr/>
          <w:p>
            <w:pPr>
              <w:pStyle w:val="Compact"/>
              <w:jc w:val="left"/>
            </w:pPr>
            <w:r>
              <w:t xml:space="preserve">Matriz ABC/XYZ y mayores pedidos sugeridos de la tienda seleccionada</w:t>
            </w:r>
          </w:p>
        </w:tc>
      </w:tr>
      <w:tr>
        <w:tc>
          <w:tcPr/>
          <w:p>
            <w:pPr>
              <w:pStyle w:val="Compact"/>
              <w:jc w:val="left"/>
            </w:pPr>
            <w:r>
              <w:t xml:space="preserve">Curva de servicio</w:t>
            </w:r>
          </w:p>
        </w:tc>
        <w:tc>
          <w:tcPr/>
          <w:p>
            <w:pPr>
              <w:pStyle w:val="Compact"/>
              <w:jc w:val="left"/>
            </w:pPr>
            <w:r>
              <w:t xml:space="preserve">Coste de cada punto de nivel de servicio, con control de la merma para observar el desplazamiento del óptimo</w:t>
            </w:r>
          </w:p>
        </w:tc>
      </w:tr>
      <w:tr>
        <w:tc>
          <w:tcPr/>
          <w:p>
            <w:pPr>
              <w:pStyle w:val="Compact"/>
              <w:jc w:val="left"/>
            </w:pPr>
            <w:r>
              <w:t xml:space="preserve">Preguntar</w:t>
            </w:r>
          </w:p>
        </w:tc>
        <w:tc>
          <w:tcPr/>
          <w:p>
            <w:pPr>
              <w:pStyle w:val="Compact"/>
              <w:jc w:val="left"/>
            </w:pPr>
            <w:r>
              <w:t xml:space="preserve">Consultas en lenguaje natural traducidas a SQL sobre el almacén</w:t>
            </w:r>
          </w:p>
        </w:tc>
      </w:tr>
      <w:tr>
        <w:tc>
          <w:tcPr/>
          <w:p>
            <w:pPr>
              <w:pStyle w:val="Compact"/>
              <w:jc w:val="left"/>
            </w:pPr>
            <w:r>
              <w:t xml:space="preserve">Cómo se integra</w:t>
            </w:r>
          </w:p>
        </w:tc>
        <w:tc>
          <w:tcPr/>
          <w:p>
            <w:pPr>
              <w:pStyle w:val="Compact"/>
              <w:jc w:val="left"/>
            </w:pPr>
            <w:r>
              <w:t xml:space="preserve">Petición y respuesta JSON equivalentes del servicio y diagrama del flujo completo</w:t>
            </w:r>
          </w:p>
        </w:tc>
      </w:tr>
    </w:tbl>
    <w:p>
      <w:pPr>
        <w:pStyle w:val="BodyText"/>
      </w:pPr>
      <w:r>
        <w:rPr>
          <w:bCs/>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bookmarkEnd w:id="236"/>
    <w:bookmarkStart w:id="237" w:name="anexo-e.-el-cuadro-de-mando"/>
    <w:p>
      <w:pPr>
        <w:pStyle w:val="Heading2"/>
      </w:pPr>
      <w:r>
        <w:t xml:space="preserve">Anexo E. El cuadro de mando</w:t>
      </w:r>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Cs/>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Cs/>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Cs/>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bookmarkEnd w:id="237"/>
    <w:bookmarkStart w:id="238" w:name="anexo-f.-manual-de-ejecución"/>
    <w:p>
      <w:pPr>
        <w:pStyle w:val="Heading2"/>
      </w:pPr>
      <w:r>
        <w:t xml:space="preserve">Anexo F. Manual de ejecución</w:t>
      </w:r>
    </w:p>
    <w:p>
      <w:pPr>
        <w:pStyle w:val="FirstParagraph"/>
      </w:pPr>
      <w:r>
        <w:rPr>
          <w:bCs/>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Cs/>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Cs/>
          <w:b/>
        </w:rPr>
        <w:t xml:space="preserve">Ejecución por componentes.</w:t>
      </w:r>
    </w:p>
    <w:p>
      <w:pPr>
        <w:pStyle w:val="SourceCode"/>
      </w:pPr>
      <w:r>
        <w:rPr>
          <w:rStyle w:val="ExtensionTok"/>
        </w:rPr>
        <w:t xml:space="preserve">python3</w:t>
      </w:r>
      <w:r>
        <w:rPr>
          <w:rStyle w:val="NormalTok"/>
        </w:rPr>
        <w:t xml:space="preserve"> lakehouse/scripts/pipeline.py all        </w:t>
      </w:r>
      <w:r>
        <w:rPr>
          <w:rStyle w:val="CommentTok"/>
        </w:rPr>
        <w:t xml:space="preserve"># capas bronce, plata y oro</w:t>
      </w:r>
      <w:r>
        <w:br/>
      </w:r>
      <w:r>
        <w:rPr>
          <w:rStyle w:val="ExtensionTok"/>
        </w:rPr>
        <w:t xml:space="preserve">python3</w:t>
      </w:r>
      <w:r>
        <w:rPr>
          <w:rStyle w:val="NormalTok"/>
        </w:rPr>
        <w:t xml:space="preserve"> </w:t>
      </w:r>
      <w:r>
        <w:rPr>
          <w:rStyle w:val="AttributeTok"/>
        </w:rPr>
        <w:t xml:space="preserve">-m</w:t>
      </w:r>
      <w:r>
        <w:rPr>
          <w:rStyle w:val="NormalTok"/>
        </w:rPr>
        <w:t xml:space="preserve"> pytest pruebas                        </w:t>
      </w:r>
      <w:r>
        <w:rPr>
          <w:rStyle w:val="CommentTok"/>
        </w:rPr>
        <w:t xml:space="preserve"># 86 pruebas, sin datos de origen</w:t>
      </w:r>
      <w:r>
        <w:br/>
      </w:r>
      <w:r>
        <w:rPr>
          <w:rStyle w:val="ExtensionTok"/>
        </w:rPr>
        <w:t xml:space="preserve">uvicorn</w:t>
      </w:r>
      <w:r>
        <w:rPr>
          <w:rStyle w:val="NormalTok"/>
        </w:rPr>
        <w:t xml:space="preserve"> api.main:app                             </w:t>
      </w:r>
      <w:r>
        <w:rPr>
          <w:rStyle w:val="CommentTok"/>
        </w:rPr>
        <w:t xml:space="preserve"># servicio de reposición</w:t>
      </w:r>
      <w:r>
        <w:br/>
      </w:r>
      <w:r>
        <w:rPr>
          <w:rStyle w:val="ExtensionTok"/>
        </w:rPr>
        <w:t xml:space="preserve">streamlit</w:t>
      </w:r>
      <w:r>
        <w:rPr>
          <w:rStyle w:val="NormalTok"/>
        </w:rPr>
        <w:t xml:space="preserve"> run app/inicio.py                      </w:t>
      </w:r>
      <w:r>
        <w:rPr>
          <w:rStyle w:val="CommentTok"/>
        </w:rPr>
        <w:t xml:space="preserve"># panel interactivo</w:t>
      </w:r>
    </w:p>
    <w:p>
      <w:pPr>
        <w:pStyle w:val="FirstParagraph"/>
      </w:pPr>
      <w:r>
        <w:rPr>
          <w:bCs/>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Cs/>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bookmarkEnd w:id="238"/>
    <w:bookmarkStart w:id="239" w:name="X4b1a222c1a47853c33be7695272db975156fd01"/>
    <w:p>
      <w:pPr>
        <w:pStyle w:val="Heading2"/>
      </w:pPr>
      <w:r>
        <w:t xml:space="preserve">Anexo G. Alternativas evaluadas y descartadas</w:t>
      </w:r>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Experimento</w:t>
            </w:r>
          </w:p>
        </w:tc>
        <w:tc>
          <w:tcPr/>
          <w:p>
            <w:pPr>
              <w:pStyle w:val="Compact"/>
              <w:jc w:val="left"/>
            </w:pPr>
            <w:r>
              <w:t xml:space="preserve">Resultado</w:t>
            </w:r>
          </w:p>
        </w:tc>
        <w:tc>
          <w:tcPr/>
          <w:p>
            <w:pPr>
              <w:pStyle w:val="Compact"/>
              <w:jc w:val="left"/>
            </w:pPr>
            <w:r>
              <w:t xml:space="preserve">Destino</w:t>
            </w:r>
          </w:p>
        </w:tc>
      </w:tr>
      <w:tr>
        <w:tc>
          <w:tcPr/>
          <w:p>
            <w:pPr>
              <w:pStyle w:val="Compact"/>
              <w:jc w:val="left"/>
            </w:pPr>
            <w:r>
              <w:t xml:space="preserve">Selección del modelo por coste en lugar de error</w:t>
            </w:r>
          </w:p>
        </w:tc>
        <w:tc>
          <w:tcPr/>
          <w:p>
            <w:pPr>
              <w:pStyle w:val="Compact"/>
              <w:jc w:val="left"/>
            </w:pPr>
            <w:r>
              <w:t xml:space="preserve">El criterio por coste sitúa el nivel de servicio uniforme del 90 % como 2,45 veces más caro que la mejor alternativa</w:t>
            </w:r>
          </w:p>
        </w:tc>
        <w:tc>
          <w:tcPr/>
          <w:p>
            <w:pPr>
              <w:pStyle w:val="Compact"/>
              <w:jc w:val="left"/>
            </w:pPr>
            <w:r>
              <w:t xml:space="preserve">Incorporado en §7.4</w:t>
            </w:r>
          </w:p>
        </w:tc>
      </w:tr>
      <w:tr>
        <w:tc>
          <w:tcPr/>
          <w:p>
            <w:pPr>
              <w:pStyle w:val="Compact"/>
              <w:jc w:val="left"/>
            </w:pPr>
            <w:r>
              <w:t xml:space="preserve">Objetivo agregado (total del ciclo en lugar de suma diaria)</w:t>
            </w:r>
          </w:p>
        </w:tc>
        <w:tc>
          <w:tcPr/>
          <w:p>
            <w:pPr>
              <w:pStyle w:val="Compact"/>
              <w:jc w:val="left"/>
            </w:pPr>
            <w:r>
              <w:t xml:space="preserve">Reduce el MAE un 15,7 % (de 4,73 a 3,99) y elimina un sesgo del −7,4 %</w:t>
            </w:r>
          </w:p>
        </w:tc>
        <w:tc>
          <w:tcPr/>
          <w:p>
            <w:pPr>
              <w:pStyle w:val="Compact"/>
              <w:jc w:val="left"/>
            </w:pPr>
            <w:r>
              <w:t xml:space="preserve">Incorporado en §7.3</w:t>
            </w:r>
          </w:p>
        </w:tc>
      </w:tr>
      <w:tr>
        <w:tc>
          <w:tcPr/>
          <w:p>
            <w:pPr>
              <w:pStyle w:val="Compact"/>
              <w:jc w:val="left"/>
            </w:pPr>
            <w:r>
              <w:t xml:space="preserve">Acotación de la demanda censurada</w:t>
            </w:r>
          </w:p>
        </w:tc>
        <w:tc>
          <w:tcPr/>
          <w:p>
            <w:pPr>
              <w:pStyle w:val="Compact"/>
              <w:jc w:val="left"/>
            </w:pPr>
            <w:r>
              <w:t xml:space="preserve">Entre 4,79 % y 14,83 % de unidades no observadas; la conclusión de reposición se refuerza</w:t>
            </w:r>
          </w:p>
        </w:tc>
        <w:tc>
          <w:tcPr/>
          <w:p>
            <w:pPr>
              <w:pStyle w:val="Compact"/>
              <w:jc w:val="left"/>
            </w:pPr>
            <w:r>
              <w:t xml:space="preserve">Incorporado en §6.2.4 y §7.4.7</w:t>
            </w:r>
          </w:p>
        </w:tc>
      </w:tr>
      <w:tr>
        <w:tc>
          <w:tcPr/>
          <w:p>
            <w:pPr>
              <w:pStyle w:val="Compact"/>
              <w:jc w:val="left"/>
            </w:pPr>
            <w:r>
              <w:t xml:space="preserve">Búsqueda de hiperparámetros (Optuna)</w:t>
            </w:r>
          </w:p>
        </w:tc>
        <w:tc>
          <w:tcPr/>
          <w:p>
            <w:pPr>
              <w:pStyle w:val="Compact"/>
              <w:jc w:val="left"/>
            </w:pPr>
            <w:r>
              <w:t xml:space="preserve">WRMSSE de validación 0,9788 con la configuración original y 0,9790 con la afinada: el modelo está en una zona plana</w:t>
            </w:r>
          </w:p>
        </w:tc>
        <w:tc>
          <w:tcPr/>
          <w:p>
            <w:pPr>
              <w:pStyle w:val="Compact"/>
              <w:jc w:val="left"/>
            </w:pPr>
            <w:r>
              <w:t xml:space="preserve">Descartado</w:t>
            </w:r>
          </w:p>
        </w:tc>
      </w:tr>
      <w:tr>
        <w:tc>
          <w:tcPr/>
          <w:p>
            <w:pPr>
              <w:pStyle w:val="Compact"/>
              <w:jc w:val="left"/>
            </w:pPr>
            <w:r>
              <w:t xml:space="preserve">Predicción conforme</w:t>
            </w:r>
          </w:p>
        </w:tc>
        <w:tc>
          <w:tcPr/>
          <w:p>
            <w:pPr>
              <w:pStyle w:val="Compact"/>
              <w:jc w:val="left"/>
            </w:pPr>
            <w:r>
              <w:t xml:space="preserve">Cobertura del 89,9 % sin ajustar y del 90,5 % con garantía formal; la clase Z queda en el 91,8 %</w:t>
            </w:r>
          </w:p>
        </w:tc>
        <w:tc>
          <w:tcPr/>
          <w:p>
            <w:pPr>
              <w:pStyle w:val="Compact"/>
              <w:jc w:val="left"/>
            </w:pPr>
            <w:r>
              <w:t xml:space="preserve">Referido en §7.3</w:t>
            </w:r>
          </w:p>
        </w:tc>
      </w:tr>
      <w:tr>
        <w:tc>
          <w:tcPr/>
          <w:p>
            <w:pPr>
              <w:pStyle w:val="Compact"/>
              <w:jc w:val="left"/>
            </w:pPr>
            <w:r>
              <w:t xml:space="preserve">Afinidad de demanda entre productos</w:t>
            </w:r>
          </w:p>
        </w:tc>
        <w:tc>
          <w:tcPr/>
          <w:p>
            <w:pPr>
              <w:pStyle w:val="Compact"/>
              <w:jc w:val="left"/>
            </w:pPr>
            <w:r>
              <w:t xml:space="preserve">Las parejas de una misma tienda no superan el ruido medido entre tiendas distintas: sin señal</w:t>
            </w:r>
          </w:p>
        </w:tc>
        <w:tc>
          <w:tcPr/>
          <w:p>
            <w:pPr>
              <w:pStyle w:val="Compact"/>
              <w:jc w:val="left"/>
            </w:pPr>
            <w:r>
              <w:t xml:space="preserve">§7.2.6</w:t>
            </w:r>
          </w:p>
        </w:tc>
      </w:tr>
      <w:tr>
        <w:tc>
          <w:tcPr/>
          <w:p>
            <w:pPr>
              <w:pStyle w:val="Compact"/>
              <w:jc w:val="left"/>
            </w:pPr>
            <w:r>
              <w:t xml:space="preserve">Arranque en frío</w:t>
            </w:r>
          </w:p>
        </w:tc>
        <w:tc>
          <w:tcPr/>
          <w:p>
            <w:pPr>
              <w:pStyle w:val="Compact"/>
              <w:jc w:val="left"/>
            </w:pPr>
            <w:r>
              <w:t xml:space="preserve">Copiar la referencia de la tienda más parecida alcanza un MAE de 0,918 unidades/día, un 34,6 % mejor que la media de la categoría (1,404) y mejor que un modelo por atributos (1,028)</w:t>
            </w:r>
          </w:p>
        </w:tc>
        <w:tc>
          <w:tcPr/>
          <w:p>
            <w:pPr>
              <w:pStyle w:val="Compact"/>
              <w:jc w:val="left"/>
            </w:pPr>
            <w:r>
              <w:t xml:space="preserve">§7.8</w:t>
            </w:r>
          </w:p>
        </w:tc>
      </w:tr>
      <w:tr>
        <w:tc>
          <w:tcPr/>
          <w:p>
            <w:pPr>
              <w:pStyle w:val="Compact"/>
              <w:jc w:val="left"/>
            </w:pPr>
            <w:r>
              <w:t xml:space="preserve">Surtido: candidatas a descatalogar</w:t>
            </w:r>
          </w:p>
        </w:tc>
        <w:tc>
          <w:tcPr/>
          <w:p>
            <w:pPr>
              <w:pStyle w:val="Compact"/>
              <w:jc w:val="left"/>
            </w:pPr>
            <w:r>
              <w:t xml:space="preserve">Ranking de series de la celda CZ con dos frenos (referencia única del departamento y rotación superior en la tienda)</w:t>
            </w:r>
          </w:p>
        </w:tc>
        <w:tc>
          <w:tcPr/>
          <w:p>
            <w:pPr>
              <w:pStyle w:val="Compact"/>
              <w:jc w:val="left"/>
            </w:pPr>
            <w:r>
              <w:t xml:space="preserve">§7.8</w:t>
            </w:r>
          </w:p>
        </w:tc>
      </w:tr>
      <w:tr>
        <w:tc>
          <w:tcPr/>
          <w:p>
            <w:pPr>
              <w:pStyle w:val="Compact"/>
              <w:jc w:val="left"/>
            </w:pPr>
            <w:r>
              <w:t xml:space="preserve">Redes neuronales (NHITS, TFT)</w:t>
            </w:r>
          </w:p>
        </w:tc>
        <w:tc>
          <w:tcPr/>
          <w:p>
            <w:pPr>
              <w:pStyle w:val="Compact"/>
              <w:jc w:val="left"/>
            </w:pPr>
            <w:r>
              <w:t xml:space="preserve">No ejecutado: la literatura de la competición M5 señala la superioridad de los conjuntos de árboles</w:t>
            </w:r>
          </w:p>
        </w:tc>
        <w:tc>
          <w:tcPr/>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bookmarkEnd w:id="239"/>
    <w:bookmarkEnd w:id="240"/>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86" Target="media/rId86.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2026-10-26T17:24:41Z</dcterms:created>
  <dcterms:modified xsi:type="dcterms:W3CDTF">2026-10-26T17:24:41Z</dcterms:modified>
</cp:coreProperties>
</file>

<file path=docProps/custom.xml><?xml version="1.0" encoding="utf-8"?>
<Properties xmlns="http://schemas.openxmlformats.org/officeDocument/2006/custom-properties" xmlns:vt="http://schemas.openxmlformats.org/officeDocument/2006/docPropsVTypes"/>
</file>