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6.png" ContentType="image/png"/>
  <Override PartName="/word/media/rId66.png" ContentType="image/png"/>
  <Override PartName="/word/media/rId76.png" ContentType="image/png"/>
  <Override PartName="/word/media/rId99.png" ContentType="image/png"/>
  <Override PartName="/word/media/rId100.png" ContentType="image/png"/>
  <Override PartName="/word/media/rId102.png" ContentType="image/png"/>
  <Override PartName="/word/media/rId104.png" ContentType="image/png"/>
  <Override PartName="/word/media/rId106.png" ContentType="image/png"/>
  <Override PartName="/word/media/rId109.png" ContentType="image/png"/>
  <Override PartName="/word/media/rId111.png" ContentType="image/png"/>
  <Override PartName="/word/media/rId119.png" ContentType="image/png"/>
  <Override PartName="/word/media/rId121.png" ContentType="image/png"/>
  <Override PartName="/word/media/rId123.png" ContentType="image/png"/>
  <Override PartName="/word/media/rId78.png" ContentType="image/png"/>
  <Override PartName="/word/media/rId125.png" ContentType="image/png"/>
  <Override PartName="/word/media/rId127.png" ContentType="image/png"/>
  <Override PartName="/word/media/rId131.png" ContentType="image/png"/>
  <Override PartName="/word/media/rId133.png" ContentType="image/png"/>
  <Override PartName="/word/media/rId136.png" ContentType="image/png"/>
  <Override PartName="/word/media/rId141.png" ContentType="image/png"/>
  <Override PartName="/word/media/rId143.png" ContentType="image/png"/>
  <Override PartName="/word/media/rId152.png" ContentType="image/png"/>
  <Override PartName="/word/media/rId80.png" ContentType="image/png"/>
  <Override PartName="/word/media/rId82.png" ContentType="image/png"/>
  <Override PartName="/word/media/rId86.png" ContentType="image/png"/>
  <Override PartName="/word/media/rId88.png" ContentType="image/png"/>
  <Override PartName="/word/media/rId89.png" ContentType="image/png"/>
  <Override PartName="/word/media/rId91.png" ContentType="image/png"/>
  <Override PartName="/word/media/rId9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w:t>
      </w:r>
      <w:r>
        <w:t xml:space="preserve"> </w:t>
      </w:r>
      <w:r>
        <w:t xml:space="preserve">de</w:t>
      </w:r>
      <w:r>
        <w:t xml:space="preserve"> </w:t>
      </w:r>
      <w:r>
        <w:t xml:space="preserve">la</w:t>
      </w:r>
      <w:r>
        <w:t xml:space="preserve"> </w:t>
      </w:r>
      <w:r>
        <w:t xml:space="preserve">venta</w:t>
      </w:r>
      <w:r>
        <w:t xml:space="preserve"> </w:t>
      </w:r>
      <w:r>
        <w:t xml:space="preserve">diaria</w:t>
      </w:r>
      <w:r>
        <w:t xml:space="preserve"> </w:t>
      </w:r>
      <w:r>
        <w:t xml:space="preserve">a</w:t>
      </w:r>
      <w:r>
        <w:t xml:space="preserve"> </w:t>
      </w:r>
      <w:r>
        <w:t xml:space="preserve">la</w:t>
      </w:r>
      <w:r>
        <w:t xml:space="preserve"> </w:t>
      </w:r>
      <w:r>
        <w:t xml:space="preserve">decisión</w:t>
      </w:r>
      <w:r>
        <w:t xml:space="preserve"> </w:t>
      </w:r>
      <w:r>
        <w:t xml:space="preserve">de</w:t>
      </w:r>
      <w:r>
        <w:t xml:space="preserve"> </w:t>
      </w:r>
      <w:r>
        <w:t xml:space="preserve">reposición</w:t>
      </w:r>
    </w:p>
    <w:p>
      <w:pPr>
        <w:pStyle w:val="Subtitle"/>
      </w:pPr>
      <w:r>
        <w:t xml:space="preserve">Trabajo</w:t>
      </w:r>
      <w:r>
        <w:t xml:space="preserve"> </w:t>
      </w:r>
      <w:r>
        <w:t xml:space="preserve">de</w:t>
      </w:r>
      <w:r>
        <w:t xml:space="preserve"> </w:t>
      </w:r>
      <w:r>
        <w:t xml:space="preserve">Fin</w:t>
      </w:r>
      <w:r>
        <w:t xml:space="preserve"> </w:t>
      </w:r>
      <w:r>
        <w:t xml:space="preserve">de</w:t>
      </w:r>
      <w:r>
        <w:t xml:space="preserve"> </w:t>
      </w:r>
      <w:r>
        <w:t xml:space="preserve">Máster</w:t>
      </w:r>
      <w:r>
        <w:t xml:space="preserve"> </w:t>
      </w:r>
      <w:r>
        <w:t xml:space="preserve">—</w:t>
      </w:r>
      <w:r>
        <w:t xml:space="preserve"> </w:t>
      </w:r>
      <w:r>
        <w:t xml:space="preserve">Máster</w:t>
      </w:r>
      <w:r>
        <w:t xml:space="preserve"> </w:t>
      </w:r>
      <w:r>
        <w:t xml:space="preserve">en</w:t>
      </w:r>
      <w:r>
        <w:t xml:space="preserve"> </w:t>
      </w:r>
      <w:r>
        <w:t xml:space="preserve">Data</w:t>
      </w:r>
      <w:r>
        <w:t xml:space="preserve"> </w:t>
      </w:r>
      <w:r>
        <w:t xml:space="preserve">Science</w:t>
      </w:r>
      <w:r>
        <w:t xml:space="preserve"> </w:t>
      </w:r>
      <w:r>
        <w:t xml:space="preserve">&amp;</w:t>
      </w:r>
      <w:r>
        <w:t xml:space="preserve"> </w:t>
      </w:r>
      <w:r>
        <w:t xml:space="preserve">Inteligencia</w:t>
      </w:r>
      <w:r>
        <w:t xml:space="preserve"> </w:t>
      </w:r>
      <w:r>
        <w:t xml:space="preserve">Artificial</w:t>
      </w:r>
    </w:p>
    <w:p>
      <w:pPr>
        <w:pStyle w:val="Author"/>
      </w:pPr>
      <w:r>
        <w:t xml:space="preserve">Nuclio</w:t>
      </w:r>
      <w:r>
        <w:t xml:space="preserve"> </w:t>
      </w:r>
      <w:r>
        <w:t xml:space="preserve">Digital</w:t>
      </w:r>
      <w:r>
        <w:t xml:space="preserve"> </w:t>
      </w:r>
      <w:r>
        <w:t xml:space="preserve">School</w:t>
      </w:r>
      <w:r>
        <w:t xml:space="preserve"> </w:t>
      </w:r>
      <w:r>
        <w:t xml:space="preserve">·</w:t>
      </w:r>
      <w:r>
        <w:t xml:space="preserve"> </w:t>
      </w:r>
      <w:r>
        <w:t xml:space="preserve">Barcelona</w:t>
      </w:r>
    </w:p>
    <w:p>
      <w:pPr>
        <w:pStyle w:val="Date"/>
      </w:pP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NUCLIO DIGITAL SCHOOL</w:t>
      </w:r>
    </w:p>
    <w:p>
      <w:pPr>
        <w:pStyle w:val="BodyText"/>
      </w:pPr>
      <w:r>
        <w:t xml:space="preserve">Máster en Data Science &amp; Inteligencia Artificial</w:t>
      </w:r>
    </w:p>
    <w:p>
      <w:pPr>
        <w:pStyle w:val="Heading1"/>
      </w:pPr>
      <w:bookmarkStart w:id="20" w:name="X89d6cb43e41eb80f3ced779075d2b74e2aec38a"/>
      <w:r>
        <w:t xml:space="preserve">DSMarket: de la venta diaria a la decisión de reposición</w:t>
      </w:r>
      <w:bookmarkEnd w:id="20"/>
    </w:p>
    <w:p>
      <w:pPr>
        <w:pStyle w:val="Heading3"/>
      </w:pPr>
      <w:bookmarkStart w:id="21" w:name="X6a1d382f8b599a476dfdc46e5b868e6fe329c12"/>
      <w:r>
        <w:t xml:space="preserve">Previsión de demanda, segmentación e inventario en una cadena de distribución minorista</w:t>
      </w:r>
      <w:bookmarkEnd w:id="21"/>
    </w:p>
    <w:p>
      <w:pPr>
        <w:pStyle w:val="FirstParagraph"/>
      </w:pPr>
      <w:r>
        <w:rPr>
          <w:b/>
        </w:rPr>
        <w:t xml:space="preserve">Trabajo de Fin de Máster</w:t>
      </w:r>
    </w:p>
    <w:p>
      <w:pPr>
        <w:pStyle w:val="BodyText"/>
      </w:pPr>
      <w:r>
        <w:t xml:space="preserve">Autores</w:t>
      </w:r>
    </w:p>
    <w:p>
      <w:pPr>
        <w:pStyle w:val="BodyText"/>
      </w:pPr>
      <w:r>
        <w:t xml:space="preserve">[Nombre y apellidos] · [Nombre y apellidos]</w:t>
      </w:r>
      <w:r>
        <w:t xml:space="preserve"> </w:t>
      </w:r>
      <w:r>
        <w:t xml:space="preserve">[Nombre y apellidos] · [Nombre y apellidos]</w:t>
      </w:r>
    </w:p>
    <w:p>
      <w:pPr>
        <w:pStyle w:val="BodyText"/>
      </w:pPr>
      <w:r>
        <w:t xml:space="preserve">Tutor o tutora</w:t>
      </w:r>
    </w:p>
    <w:p>
      <w:pPr>
        <w:pStyle w:val="BodyText"/>
      </w:pPr>
      <w:r>
        <w:t xml:space="preserve">[Nombre y apellidos]</w:t>
      </w:r>
    </w:p>
    <w:p>
      <w:pPr>
        <w:pStyle w:val="BodyText"/>
      </w:pPr>
      <w:r>
        <w:t xml:space="preserve">Barcelona, octubre de 2026</w:t>
      </w:r>
    </w:p>
    <w:p>
      <w:r>
        <w:pict>
          <v:rect style="width:0;height:1.5pt" o:hralign="center" o:hrstd="t" o:hr="t"/>
        </w:pict>
      </w:r>
    </w:p>
    <w:p>
      <w:pPr>
        <w:pStyle w:val="Heading2"/>
      </w:pPr>
      <w:bookmarkStart w:id="22" w:name="resumen"/>
      <w:r>
        <w:t xml:space="preserve">Resumen</w:t>
      </w:r>
      <w:bookmarkEnd w:id="22"/>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pict>
          <v:rect style="width:0;height:1.5pt" o:hralign="center" o:hrstd="t" o:hr="t"/>
        </w:pict>
      </w:r>
    </w:p>
    <w:p>
      <w:pPr>
        <w:pStyle w:val="Heading2"/>
      </w:pPr>
      <w:bookmarkStart w:id="23" w:name="abstract"/>
      <w:r>
        <w:t xml:space="preserve">Abstract</w:t>
      </w:r>
      <w:bookmarkEnd w:id="23"/>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pict>
          <v:rect style="width:0;height:1.5pt" o:hralign="center" o:hrstd="t" o:hr="t"/>
        </w:pict>
      </w:r>
    </w:p>
    <w:p>
      <w:pPr>
        <w:pStyle w:val="Heading1"/>
      </w:pPr>
      <w:bookmarkStart w:id="24" w:name="introducción"/>
      <w:r>
        <w:t xml:space="preserve">3. Introducción</w:t>
      </w:r>
      <w:bookmarkEnd w:id="24"/>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cuatro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5" w:name="el-problema-formulado-con-precisión"/>
      <w:r>
        <w:t xml:space="preserve">3.1. El problema, formulado con precisión</w:t>
      </w:r>
      <w:bookmarkEnd w:id="25"/>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6" w:name="alcance"/>
      <w:r>
        <w:t xml:space="preserve">3.2. Alcance</w:t>
      </w:r>
      <w:bookmarkEnd w:id="26"/>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7" w:name="qué-encontrará-el-lector"/>
      <w:r>
        <w:t xml:space="preserve">3.3. Qué encontrará el lector</w:t>
      </w:r>
      <w:bookmarkEnd w:id="27"/>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seis capítulos de la narrativa, cada uno</w:t>
      </w:r>
      <w:r>
        <w:t xml:space="preserve"> </w:t>
      </w:r>
      <w:r>
        <w:t xml:space="preserve">abierto por la pregunta de negocio que lo motiva y cerrado por la que abre el siguiente.</w:t>
      </w:r>
    </w:p>
    <w:p>
      <w:pPr>
        <w:pStyle w:val="BodyText"/>
      </w:pPr>
      <w:r>
        <w:t xml:space="preserve">El lector encontrará también tres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w:t>
      </w:r>
      <w:r>
        <w:t xml:space="preserve"> </w:t>
      </w:r>
      <w:r>
        <w:t xml:space="preserve">la política invirtió, y una elasticidad estadísticamente significativa que una prueba de</w:t>
      </w:r>
      <w:r>
        <w:t xml:space="preserve"> </w:t>
      </w:r>
      <w:r>
        <w:t xml:space="preserve">falsación dejó sin interpretación causal.</w:t>
      </w:r>
      <w:r>
        <w:t xml:space="preserve"> </w:t>
      </w:r>
      <w:r>
        <w:t xml:space="preserve"># 4. Justificación y contextualización</w:t>
      </w:r>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alimentación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—catorce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tres ocasiones la prueba desmintió efectivamente una</w:t>
      </w:r>
      <w:r>
        <w:t xml:space="preserve"> </w:t>
      </w:r>
      <w:r>
        <w:t xml:space="preserve">conclusión propia, y esos tres casos se documentan como resultado y no como incidencia.</w:t>
      </w:r>
      <w:r>
        <w:t xml:space="preserve"> </w:t>
      </w:r>
      <w:r>
        <w:t xml:space="preserve"># 5. Objetivos</w:t>
      </w:r>
    </w:p>
    <w:p>
      <w:pPr>
        <w:pStyle w:val="Heading2"/>
      </w:pPr>
      <w:bookmarkStart w:id="40" w:name="objetivo-general"/>
      <w:r>
        <w:t xml:space="preserve">5.1. Objetivo general</w:t>
      </w:r>
      <w:bookmarkEnd w:id="40"/>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1" w:name="objetivos-específicos"/>
      <w:r>
        <w:t xml:space="preserve">5.2. Objetivos específicos</w:t>
      </w:r>
      <w:bookmarkEnd w:id="41"/>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agrupaciones de productos y de</w:t>
      </w:r>
      <w:r>
        <w:t xml:space="preserve"> </w:t>
      </w:r>
      <w:r>
        <w:t xml:space="preserve">tiendas basadas en el perfil de demanda, con una elección de número de grupos justificada por</w:t>
      </w:r>
      <w:r>
        <w:t xml:space="preserve"> </w:t>
      </w:r>
      <w:r>
        <w:t xml:space="preserve">métricas internas y con una comprobación de estabilidad. Criterio de cumplimiento: que la</w:t>
      </w:r>
      <w:r>
        <w:t xml:space="preserve"> </w:t>
      </w:r>
      <w:r>
        <w:t xml:space="preserve">partición resista una validación</w:t>
      </w:r>
      <w:r>
        <w:t xml:space="preserve"> </w:t>
      </w:r>
      <w:r>
        <w:rPr>
          <w:i/>
        </w:rPr>
        <w:t xml:space="preserve">leave-one-out</w:t>
      </w:r>
      <w:r>
        <w:t xml:space="preserve"> </w:t>
      </w:r>
      <w:r>
        <w:t xml:space="preserve">y que los grupos admitan una interpretación de</w:t>
      </w:r>
      <w:r>
        <w:t xml:space="preserve"> </w:t>
      </w:r>
      <w:r>
        <w:t xml:space="preserve">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los seis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2" w:name="correspondencia-con-el-encargo"/>
      <w:r>
        <w:t xml:space="preserve">5.3. Correspondencia con el encargo</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3" w:name="metodología"/>
      <w:r>
        <w:t xml:space="preserve">6. Metodología</w:t>
      </w:r>
      <w:bookmarkEnd w:id="43"/>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4" w:name="origen-y-descripción-de-los-datos"/>
      <w:r>
        <w:t xml:space="preserve">6.1. Origen y descripción de los datos</w:t>
      </w:r>
      <w:bookmarkEnd w:id="44"/>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w:t>
      </w:r>
      <w:r>
        <w:t xml:space="preserve"> </w:t>
      </w:r>
      <w:r>
        <w:rPr>
          <w:rStyle w:val="VerbatimChar"/>
        </w:rPr>
        <w:t xml:space="preserve">wm_yr_wk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5" w:name="la-unidad-de-análisis"/>
      <w:r>
        <w:t xml:space="preserve">6.1.1. La unidad de análisis</w:t>
      </w:r>
      <w:bookmarkEnd w:id="45"/>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6" w:name="Xb3c46f3f79282c0cd28b6d7383aadeb57a56278"/>
      <w:r>
        <w:t xml:space="preserve">6.2. Calidad de los datos y decisiones de tratamiento</w:t>
      </w:r>
      <w:bookmarkEnd w:id="46"/>
    </w:p>
    <w:p>
      <w:pPr>
        <w:pStyle w:val="Heading3"/>
      </w:pPr>
      <w:bookmarkStart w:id="47" w:name="el-desfase-entre-precios-y-ventas"/>
      <w:r>
        <w:t xml:space="preserve">6.2.1. El desfase entre precios y ventas</w:t>
      </w:r>
      <w:bookmarkEnd w:id="47"/>
    </w:p>
    <w:p>
      <w:pPr>
        <w:pStyle w:val="FirstParagraph"/>
      </w:pPr>
      <w:r>
        <w:t xml:space="preserve">La comprobación de integridad más relevante del trabajo surgió al cruzar los dos ficheros</w:t>
      </w:r>
      <w:r>
        <w:t xml:space="preserve"> </w:t>
      </w:r>
      <w:r>
        <w:t xml:space="preserve">principales. El histórico de precios</w:t>
      </w:r>
      <w:r>
        <w:t xml:space="preserve"> </w:t>
      </w:r>
      <w:r>
        <w:rPr>
          <w:b/>
        </w:rPr>
        <w:t xml:space="preserve">comienza cinco semanas antes que el de ventas</w:t>
      </w:r>
      <w:r>
        <w:t xml:space="preserve">. Una</w:t>
      </w:r>
      <w:r>
        <w:t xml:space="preserve"> </w:t>
      </w:r>
      <w:r>
        <w:t xml:space="preserve">lectura ingenua del cruce interpretaría esas semanas como períodos con precio y sin demanda, es</w:t>
      </w:r>
      <w:r>
        <w:t xml:space="preserve"> </w:t>
      </w:r>
      <w:r>
        <w:t xml:space="preserve">decir, como ceros de venta, e introduciría un sesgo a la baja en todas las medias y en todos los</w:t>
      </w:r>
      <w:r>
        <w:t xml:space="preserve"> </w:t>
      </w:r>
      <w:r>
        <w:t xml:space="preserve">modelos entrenados sobre ellas.</w:t>
      </w:r>
    </w:p>
    <w:p>
      <w:pPr>
        <w:pStyle w:val="BodyText"/>
      </w:pPr>
      <w:r>
        <w:t xml:space="preserve">La hipótesis se contrastó de forma directa: se contaron las unidades vendidas en las</w:t>
      </w:r>
      <w:r>
        <w:t xml:space="preserve"> </w:t>
      </w:r>
      <w:r>
        <w:t xml:space="preserve">combinaciones producto-tienda-semana</w:t>
      </w:r>
      <w:r>
        <w:t xml:space="preserve"> </w:t>
      </w:r>
      <w:r>
        <w:rPr>
          <w:b/>
        </w:rPr>
        <w:t xml:space="preserve">sin</w:t>
      </w:r>
      <w:r>
        <w:t xml:space="preserve"> </w:t>
      </w:r>
      <w:r>
        <w:t xml:space="preserve">precio registrado y en las que</w:t>
      </w:r>
      <w:r>
        <w:t xml:space="preserve"> </w:t>
      </w:r>
      <w:r>
        <w:rPr>
          <w:b/>
        </w:rPr>
        <w:t xml:space="preserve">sí</w:t>
      </w:r>
      <w:r>
        <w:t xml:space="preserve"> </w:t>
      </w:r>
      <w:r>
        <w:t xml:space="preserve">lo tenían. El</w:t>
      </w:r>
      <w:r>
        <w:t xml:space="preserve"> </w:t>
      </w:r>
      <w:r>
        <w:t xml:space="preserve">resultado fue</w:t>
      </w:r>
      <w:r>
        <w:t xml:space="preserve"> </w:t>
      </w:r>
      <w:r>
        <w:rPr>
          <w:b/>
        </w:rPr>
        <w:t xml:space="preserve">0 unidades frente a 164.349</w:t>
      </w:r>
      <w:r>
        <w:t xml:space="preserve">. La ausencia de precio no señala una semana sin</w:t>
      </w:r>
      <w:r>
        <w:t xml:space="preserve"> </w:t>
      </w:r>
      <w:r>
        <w:t xml:space="preserve">ventas: señala una semana anterior al inicio del registro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8" w:name="los-ceros"/>
      <w:r>
        <w:t xml:space="preserve">6.2.2. Los ceros</w:t>
      </w:r>
      <w:bookmarkEnd w:id="48"/>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49" w:name="eventos-del-calendario"/>
      <w:r>
        <w:t xml:space="preserve">6.2.3. Eventos del calendario</w:t>
      </w:r>
      <w:bookmarkEnd w:id="49"/>
    </w:p>
    <w:p>
      <w:pPr>
        <w:pStyle w:val="FirstParagraph"/>
      </w:pPr>
      <w:r>
        <w:t xml:space="preserve">El fichero de calendario etiqueta días con eventos de cuatro tipos (deportivos, culturales,</w:t>
      </w:r>
      <w:r>
        <w:t xml:space="preserve"> </w:t>
      </w:r>
      <w:r>
        <w:t xml:space="preserve">nacionales y religiosos).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0" w:name="demanda-censurada"/>
      <w:r>
        <w:t xml:space="preserve">6.2.4. Demanda censurada</w:t>
      </w:r>
      <w:bookmarkEnd w:id="50"/>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2"/>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2"/>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2"/>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§7.4.8: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1" w:name="días-de-cierre"/>
      <w:r>
        <w:t xml:space="preserve">6.2.5. Días de cierre</w:t>
      </w:r>
      <w:bookmarkEnd w:id="51"/>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2" w:name="arquitectura-del-almacén-analítico"/>
      <w:r>
        <w:t xml:space="preserve">6.3. Arquitectura del almacén analítico</w:t>
      </w:r>
      <w:bookmarkEnd w:id="52"/>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3" w:name="arquitectura-medallón"/>
      <w:r>
        <w:t xml:space="preserve">6.3.1. Arquitectura medallón</w:t>
      </w:r>
      <w:bookmarkEnd w:id="53"/>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4"/>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5" w:name="modelo-dimensional"/>
      <w:r>
        <w:t xml:space="preserve">6.3.2. Modelo dimensional</w:t>
      </w:r>
      <w:bookmarkEnd w:id="55"/>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7" w:name="motor-y-decisiones-de-implementación"/>
      <w:r>
        <w:t xml:space="preserve">6.3.3. Motor y decisiones de implementación</w:t>
      </w:r>
      <w:bookmarkEnd w:id="57"/>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8" w:name="la-trampa-del-abanico"/>
      <w:r>
        <w:t xml:space="preserve">6.3.4. La trampa del abanico</w:t>
      </w:r>
      <w:bookmarkEnd w:id="58"/>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59" w:name="ingeniería-de-variables"/>
      <w:r>
        <w:t xml:space="preserve">6.4. Ingeniería de variables</w:t>
      </w:r>
      <w:bookmarkEnd w:id="59"/>
    </w:p>
    <w:p>
      <w:pPr>
        <w:pStyle w:val="Heading3"/>
      </w:pPr>
      <w:bookmarkStart w:id="60" w:name="variables-construidas"/>
      <w:r>
        <w:t xml:space="preserve">6.4.1. Variables construidas</w:t>
      </w:r>
      <w:bookmarkEnd w:id="60"/>
    </w:p>
    <w:p>
      <w:pPr>
        <w:pStyle w:val="FirstParagraph"/>
      </w:pPr>
      <w:r>
        <w:t xml:space="preserve">El conjunto de variables predictoras se organiza en cuatro bloques:</w:t>
      </w:r>
    </w:p>
    <w:p>
      <w:pPr>
        <w:numPr>
          <w:ilvl w:val="0"/>
          <w:numId w:val="1003"/>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3"/>
        </w:numPr>
        <w:pStyle w:val="Compact"/>
      </w:pPr>
      <w:r>
        <w:rPr>
          <w:b/>
        </w:rPr>
        <w:t xml:space="preserve">Medias móviles.</w:t>
      </w:r>
      <w:r>
        <w:t xml:space="preserve"> </w:t>
      </w:r>
      <w:r>
        <w:t xml:space="preserve">Promedios de la serie sobre ventanas de 7, 28, 91 y 364 días.</w:t>
      </w:r>
    </w:p>
    <w:p>
      <w:pPr>
        <w:numPr>
          <w:ilvl w:val="0"/>
          <w:numId w:val="1003"/>
        </w:numPr>
        <w:pStyle w:val="Compact"/>
      </w:pPr>
      <w:r>
        <w:rPr>
          <w:b/>
        </w:rPr>
        <w:t xml:space="preserve">Calendario.</w:t>
      </w:r>
      <w:r>
        <w:t xml:space="preserve"> </w:t>
      </w:r>
      <w:r>
        <w:t xml:space="preserve">Día de la semana, mes, semana del año, bandera de fin de semana y evento del</w:t>
      </w:r>
      <w:r>
        <w:t xml:space="preserve"> </w:t>
      </w:r>
      <w:r>
        <w:t xml:space="preserve">día.</w:t>
      </w:r>
    </w:p>
    <w:p>
      <w:pPr>
        <w:numPr>
          <w:ilvl w:val="0"/>
          <w:numId w:val="1003"/>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3"/>
        </w:numPr>
        <w:pStyle w:val="Compact"/>
      </w:pPr>
      <w:r>
        <w:rPr>
          <w:b/>
        </w:rPr>
        <w:t xml:space="preserve">Precio y segmento.</w:t>
      </w:r>
      <w:r>
        <w:t xml:space="preserve"> </w:t>
      </w:r>
      <w:r>
        <w:t xml:space="preserve">Precio de la semana, variación relativa respecto de la semana anterior,</w:t>
      </w:r>
      <w:r>
        <w:t xml:space="preserve"> </w:t>
      </w:r>
      <w:r>
        <w:t xml:space="preserve">categoría, departamento, tienda, ciudad y el grupo de producto obtenido en §7.2.</w:t>
      </w:r>
    </w:p>
    <w:p>
      <w:pPr>
        <w:pStyle w:val="Heading3"/>
      </w:pPr>
      <w:bookmarkStart w:id="61" w:name="la-restricción-de-retardo-mínimo"/>
      <w:r>
        <w:t xml:space="preserve">6.4.2. La restricción de retardo mínimo</w:t>
      </w:r>
      <w:bookmarkEnd w:id="61"/>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2" w:name="función-de-pérdida"/>
      <w:r>
        <w:t xml:space="preserve">6.4.3. Función de pérdida</w:t>
      </w:r>
      <w:bookmarkEnd w:id="62"/>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3" w:name="precisión-numérica"/>
      <w:r>
        <w:t xml:space="preserve">6.4.4. Precisión numérica</w:t>
      </w:r>
      <w:bookmarkEnd w:id="63"/>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4" w:name="protocolo-de-validación"/>
      <w:r>
        <w:t xml:space="preserve">6.5. Protocolo de validación</w:t>
      </w:r>
      <w:bookmarkEnd w:id="64"/>
    </w:p>
    <w:p>
      <w:pPr>
        <w:pStyle w:val="Heading3"/>
      </w:pPr>
      <w:bookmarkStart w:id="65" w:name="validación-temporal-por-avance"/>
      <w:r>
        <w:t xml:space="preserve">6.5.1. Validación temporal por avance</w:t>
      </w:r>
      <w:bookmarkEnd w:id="65"/>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6"/>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7" w:name="ventana-de-entrenamiento"/>
      <w:r>
        <w:t xml:space="preserve">6.5.2. Ventana de entrenamiento</w:t>
      </w:r>
      <w:bookmarkEnd w:id="67"/>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5,7 % en diciembre y</w:t>
      </w:r>
      <w:r>
        <w:t xml:space="preserve"> </w:t>
      </w:r>
      <w:r>
        <w:t xml:space="preserve">un 3,4 %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8" w:name="validación-de-la-segmentación"/>
      <w:r>
        <w:t xml:space="preserve">6.5.3. Validación de la segmentación</w:t>
      </w:r>
      <w:bookmarkEnd w:id="68"/>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69" w:name="métricas"/>
      <w:r>
        <w:t xml:space="preserve">6.6. Métricas</w:t>
      </w:r>
      <w:bookmarkEnd w:id="69"/>
    </w:p>
    <w:p>
      <w:pPr>
        <w:pStyle w:val="Heading3"/>
      </w:pPr>
      <w:bookmarkStart w:id="70" w:name="error-de-predicción"/>
      <w:r>
        <w:t xml:space="preserve">6.6.1. Error de predicción</w:t>
      </w:r>
      <w:bookmarkEnd w:id="70"/>
    </w:p>
    <w:p>
      <w:pPr>
        <w:pStyle w:val="FirstParagraph"/>
      </w:pPr>
      <w:r>
        <w:t xml:space="preserve">Se emplean cuatro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1" w:name="métricas-de-segmentación"/>
      <w:r>
        <w:t xml:space="preserve">6.6.2. Métricas de segmentación</w:t>
      </w:r>
      <w:bookmarkEnd w:id="71"/>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2" w:name="métricas-económicas"/>
      <w:r>
        <w:t xml:space="preserve">6.6.3. Métricas económicas</w:t>
      </w:r>
      <w:bookmarkEnd w:id="72"/>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4"/>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4"/>
        </w:numPr>
        <w:pStyle w:val="Compact"/>
      </w:pPr>
      <w:r>
        <w:rPr>
          <w:b/>
        </w:rPr>
        <w:t xml:space="preserve">Coste de mantenimiento</w:t>
      </w:r>
      <w:r>
        <w:t xml:space="preserve">, proporcional al inventario medio inmovilizado.</w:t>
      </w:r>
    </w:p>
    <w:p>
      <w:pPr>
        <w:numPr>
          <w:ilvl w:val="0"/>
          <w:numId w:val="1004"/>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3" w:name="reproducibilidad"/>
      <w:r>
        <w:t xml:space="preserve">6.7. Reproducibilidad</w:t>
      </w:r>
      <w:bookmarkEnd w:id="73"/>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Los cinco cuadernos se</w:t>
      </w:r>
      <w:r>
        <w:t xml:space="preserve"> </w:t>
      </w:r>
      <w:r>
        <w:t xml:space="preserve">generan a partir de guiones de construcción versionados —no se editan a mano—, lo que garantiza</w:t>
      </w:r>
      <w:r>
        <w:t xml:space="preserve"> </w:t>
      </w:r>
      <w:r>
        <w:t xml:space="preserve">que el cuaderno entregado y el código que lo produce no puedan divergir.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r>
        <w:t xml:space="preserve"> </w:t>
      </w:r>
      <w:r>
        <w:t xml:space="preserve"># 7. Resultados y conclusiones</w:t>
      </w:r>
    </w:p>
    <w:p>
      <w:pPr>
        <w:pStyle w:val="Heading2"/>
      </w:pPr>
      <w:bookmarkStart w:id="74" w:name="qué-está-pasando-en-las-tiendas"/>
      <w:r>
        <w:t xml:space="preserve">7.1. Qué está pasando en las tiendas</w:t>
      </w:r>
      <w:bookmarkEnd w:id="74"/>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5" w:name="la-estructura-temporal"/>
      <w:r>
        <w:t xml:space="preserve">7.1.1. La estructura temporal</w:t>
      </w:r>
      <w:bookmarkEnd w:id="75"/>
    </w:p>
    <w:p>
      <w:pPr>
        <w:pStyle w:val="FirstParagraph"/>
      </w:pPr>
      <w:r>
        <w:t xml:space="preserve">La serie agregada de la cadena muestra los tres componentes esperables en un minorista de</w:t>
      </w:r>
      <w:r>
        <w:t xml:space="preserve"> </w:t>
      </w:r>
      <w:r>
        <w:t xml:space="preserve">alimentación.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6"/>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7" w:name="los-eventos-que-importan-y-el-que-no"/>
      <w:r>
        <w:t xml:space="preserve">7.1.2. Los eventos que importan y el que no</w:t>
      </w:r>
      <w:bookmarkEnd w:id="77"/>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78"/>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9" w:name="las-tiendas-no-son-intercambiables"/>
      <w:r>
        <w:t xml:space="preserve">7.1.3. Las tiendas no son intercambiables</w:t>
      </w:r>
      <w:bookmarkEnd w:id="79"/>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Dos tercios de los productos que encabezan las ventas en una ciudad no</w:t>
      </w:r>
      <w:r>
        <w:t xml:space="preserve"> </w:t>
      </w:r>
      <w:r>
        <w:t xml:space="preserve">encabezan las de las otras dos.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w:t>
            </w:r>
          </w:p>
        </w:tc>
      </w:tr>
      <w:tr>
        <w:tc>
          <w:p>
            <w:pPr>
              <w:pStyle w:val="Compact"/>
              <w:jc w:val="left"/>
            </w:pPr>
            <w:r>
              <w:t xml:space="preserve">Nueva York</w:t>
            </w:r>
          </w:p>
        </w:tc>
        <w:tc>
          <w:p>
            <w:pPr>
              <w:pStyle w:val="Compact"/>
              <w:jc w:val="left"/>
            </w:pPr>
            <w:r>
              <w:t xml:space="preserve">8 de 15</w:t>
            </w:r>
          </w:p>
        </w:tc>
      </w:tr>
      <w:tr>
        <w:tc>
          <w:p>
            <w:pPr>
              <w:pStyle w:val="Compact"/>
              <w:jc w:val="left"/>
            </w:pPr>
            <w:r>
              <w:rPr>
                <w:b/>
              </w:rPr>
              <w:t xml:space="preserve">Filadelfia</w:t>
            </w:r>
          </w:p>
        </w:tc>
        <w:tc>
          <w:p>
            <w:pPr>
              <w:pStyle w:val="Compact"/>
              <w:jc w:val="left"/>
            </w:pPr>
            <w:r>
              <w:rPr>
                <w:b/>
              </w:rPr>
              <w:t xml:space="preserve">4 de 15</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del catálogo—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1" w:name="el-precio-y-un-resultado-contraintuitivo"/>
      <w:r>
        <w:t xml:space="preserve">7.1.4. El precio, y un resultado contraintuitivo</w:t>
      </w:r>
      <w:bookmarkEnd w:id="81"/>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w:t>
      </w:r>
      <w:r>
        <w:t xml:space="preserve"> </w:t>
      </w:r>
      <w:r>
        <w:t xml:space="preserve">irrelevantes y unos euros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por delante de las categorías de artículos de</w:t>
      </w:r>
      <w:r>
        <w:t xml:space="preserve"> </w:t>
      </w:r>
      <w:r>
        <w:t xml:space="preserve">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2"/>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3" w:name="qué-abre-el-capítulo-siguiente"/>
      <w:r>
        <w:t xml:space="preserve">7.1.5. Qué abre el capítulo siguiente</w:t>
      </w:r>
      <w:bookmarkEnd w:id="83"/>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Un modelo único para toda la cadena ignoraría esa estructura; un modelo por serie</w:t>
      </w:r>
      <w:r>
        <w:t xml:space="preserve"> </w:t>
      </w:r>
      <w:r>
        <w:t xml:space="preserve">—30.490 modelos— sería inmanejable y además desaprovecharía la información compartida entre</w:t>
      </w:r>
      <w:r>
        <w:t xml:space="preserve"> </w:t>
      </w:r>
      <w:r>
        <w:t xml:space="preserve">series parecidas.</w:t>
      </w:r>
    </w:p>
    <w:p>
      <w:pPr>
        <w:pStyle w:val="BodyText"/>
      </w:pPr>
      <w:r>
        <w:t xml:space="preserve">La salida es agrupar antes de modelar. Ese es el objeto del capítulo siguiente.</w:t>
      </w:r>
      <w:r>
        <w:t xml:space="preserve"> </w:t>
      </w:r>
      <w:r>
        <w:t xml:space="preserve">## 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4" w:name="qué-se-agrupa-y-con-qué-variables"/>
      <w:r>
        <w:t xml:space="preserve">7.2.1. Qué se agrupa y con qué variables</w:t>
      </w:r>
      <w:bookmarkEnd w:id="84"/>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5" w:name="elección-del-número-de-grupos"/>
      <w:r>
        <w:t xml:space="preserve">7.2.2. Elección del número de grupos</w:t>
      </w:r>
      <w:bookmarkEnd w:id="85"/>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86"/>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alimentación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87" w:name="los-seis-grupos-de-producto"/>
      <w:r>
        <w:t xml:space="preserve">7.2.3. Los seis grupos de producto</w:t>
      </w:r>
      <w:bookmarkEnd w:id="87"/>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dice qué productos contiene. Cuando una</w:t>
      </w:r>
      <w:r>
        <w:t xml:space="preserve"> </w:t>
      </w:r>
      <w:r>
        <w:t xml:space="preserve">categoría es mayoritaria, aparece en el nombre; cuando el grupo es mixto, se nombra por el momento</w:t>
      </w:r>
      <w:r>
        <w:t xml:space="preserve"> </w:t>
      </w:r>
      <w:r>
        <w:t xml:space="preserve">de compra.</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alimentación,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alimentación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88"/>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89"/>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0" w:name="X89eb7c528f5f5f2ec9f45676de4f884450bb7ac"/>
      <w:r>
        <w:t xml:space="preserve">7.2.4. Las tiendas: comparación directa en lugar de agrupamiento</w:t>
      </w:r>
      <w:bookmarkEnd w:id="90"/>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alimentación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5"/>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5"/>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5"/>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depende más de su entorno —el tipo de barrio,</w:t>
      </w:r>
      <w:r>
        <w:t xml:space="preserve"> </w:t>
      </w:r>
      <w:r>
        <w:t xml:space="preserve">la clientela— que de su ciudad. Para una apertura, la referencia de surtido y de previsión inicial</w:t>
      </w:r>
      <w:r>
        <w:t xml:space="preserve"> </w:t>
      </w:r>
      <w:r>
        <w:t xml:space="preserve">debería ser la tienda existente más parecida en tipo de barrio,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1"/>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2" w:name="segmentación-operativa-abcxyz"/>
      <w:r>
        <w:t xml:space="preserve">7.2.5. Segmentación operativa ABC/XYZ</w:t>
      </w:r>
      <w:bookmarkEnd w:id="92"/>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3"/>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4" w:name="Xb651ec15533c09830763e8767bbd252ab7f0aed"/>
      <w:r>
        <w:t xml:space="preserve">7.2.6. Una hipótesis que no sobrevivió: la afinidad entre productos</w:t>
      </w:r>
      <w:bookmarkEnd w:id="94"/>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5" w:name="qué-abre-el-capítulo-siguiente-1"/>
      <w:r>
        <w:t xml:space="preserve">7.2.7. Qué abre el capítulo siguiente</w:t>
      </w:r>
      <w:bookmarkEnd w:id="95"/>
    </w:p>
    <w:p>
      <w:pPr>
        <w:pStyle w:val="FirstParagraph"/>
      </w:pPr>
      <w:r>
        <w:t xml:space="preserve">Con los productos segmentados y la clasificación operativa construida, el trabajo dispone de la</w:t>
      </w:r>
      <w:r>
        <w:t xml:space="preserve"> </w:t>
      </w:r>
      <w:r>
        <w:t xml:space="preserve">estructura necesaria para modelar. El grupo de producto entra como variable en el modelo de</w:t>
      </w:r>
      <w:r>
        <w:t xml:space="preserve"> </w:t>
      </w:r>
      <w:r>
        <w:t xml:space="preserve">predicción, y la clasificación ABC/XYZ, junto con el grupo, determina más adelante qué método de</w:t>
      </w:r>
      <w:r>
        <w:t xml:space="preserve"> </w:t>
      </w:r>
      <w:r>
        <w:t xml:space="preserve">reposición se aplica a cada serie.</w:t>
      </w:r>
    </w:p>
    <w:p>
      <w:pPr>
        <w:pStyle w:val="BodyText"/>
      </w:pPr>
      <w:r>
        <w:t xml:space="preserve">La pregunta siguiente es la que el encargo formula de forma más directa: cuánto se va a vender.</w:t>
      </w:r>
      <w:r>
        <w:t xml:space="preserve"> </w:t>
      </w:r>
      <w:r>
        <w:t xml:space="preserve">## 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96" w:name="diseño-de-la-comparación"/>
      <w:r>
        <w:t xml:space="preserve">7.3.1. Diseño de la comparación</w:t>
      </w:r>
      <w:bookmarkEnd w:id="96"/>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6"/>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6"/>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6"/>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97" w:name="el-resultado-incómodo"/>
      <w:r>
        <w:t xml:space="preserve">7.3.2. El resultado incómodo</w:t>
      </w:r>
      <w:bookmarkEnd w:id="97"/>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98" w:name="Xcbe6d525a62b1e18c11a4688a0e3f64f6595429"/>
      <w:r>
        <w:t xml:space="preserve">7.3.3. La estrategia de horizonte, que es lo que cambia el resultado</w:t>
      </w:r>
      <w:bookmarkEnd w:id="98"/>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LightGBM, bloques semanales</w:t>
            </w:r>
          </w:p>
        </w:tc>
        <w:tc>
          <w:p>
            <w:pPr>
              <w:pStyle w:val="Compact"/>
              <w:jc w:val="left"/>
            </w:pPr>
            <w:r>
              <w:rPr>
                <w:b/>
              </w:rPr>
              <w:t xml:space="preserve">1,0407</w:t>
            </w:r>
          </w:p>
        </w:tc>
      </w:tr>
      <w:tr>
        <w:tc>
          <w:p>
            <w:pPr>
              <w:pStyle w:val="Compact"/>
              <w:jc w:val="left"/>
            </w:pPr>
            <w:r>
              <w:t xml:space="preserve">XGBoost, bloques semanales</w:t>
            </w:r>
          </w:p>
        </w:tc>
        <w:tc>
          <w:p>
            <w:pPr>
              <w:pStyle w:val="Compact"/>
              <w:jc w:val="left"/>
            </w:pPr>
            <w:r>
              <w:t xml:space="preserve">1,0430</w:t>
            </w:r>
          </w:p>
        </w:tc>
      </w:tr>
      <w:tr>
        <w:tc>
          <w:p>
            <w:pPr>
              <w:pStyle w:val="Compact"/>
              <w:jc w:val="left"/>
            </w:pPr>
            <w:r>
              <w:t xml:space="preserve">LightGBM, modelo único</w:t>
            </w:r>
          </w:p>
        </w:tc>
        <w:tc>
          <w:p>
            <w:pPr>
              <w:pStyle w:val="Compact"/>
              <w:jc w:val="left"/>
            </w:pPr>
            <w:r>
              <w:t xml:space="preserve">1,0626</w:t>
            </w:r>
          </w:p>
        </w:tc>
      </w:tr>
      <w:tr>
        <w:tc>
          <w:p>
            <w:pPr>
              <w:pStyle w:val="Compact"/>
              <w:jc w:val="left"/>
            </w:pPr>
            <w:r>
              <w:t xml:space="preserve">XGBoost, modelo único</w:t>
            </w:r>
          </w:p>
        </w:tc>
        <w:tc>
          <w:p>
            <w:pPr>
              <w:pStyle w:val="Compact"/>
              <w:jc w:val="left"/>
            </w:pPr>
            <w:r>
              <w:t xml:space="preserve">1,0631</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99"/>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1,0626 a 1,0407), mientras que la diferencia entre LightGBM y</w:t>
      </w:r>
      <w:r>
        <w:rPr>
          <w:b/>
        </w:rPr>
        <w:t xml:space="preserve"> </w:t>
      </w:r>
      <w:r>
        <w:rPr>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0"/>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1" w:name="Xb1c058a5ca97dfb048e977efcf634615a98e718"/>
      <w:r>
        <w:t xml:space="preserve">7.3.4. Qué mira el modelo y cuánta complejidad hace falta</w:t>
      </w:r>
      <w:bookmarkEnd w:id="101"/>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58,2 %</w:t>
      </w:r>
      <w:r>
        <w:t xml:space="preserve"> </w:t>
      </w:r>
      <w:r>
        <w:t xml:space="preserve">de la importancia total, y las cuatro medias</w:t>
      </w:r>
      <w:r>
        <w:t xml:space="preserve"> </w:t>
      </w:r>
      <w:r>
        <w:t xml:space="preserve">móviles juntas (7, 28, 91 y 364 días) el</w:t>
      </w:r>
      <w:r>
        <w:t xml:space="preserve"> </w:t>
      </w:r>
      <w:r>
        <w:rPr>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1,0768</w:t>
            </w:r>
          </w:p>
        </w:tc>
        <w:tc>
          <w:p>
            <w:pPr>
              <w:pStyle w:val="Compact"/>
              <w:jc w:val="left"/>
            </w:pPr>
            <w:r>
              <w:t xml:space="preserve">1,0518</w:t>
            </w:r>
          </w:p>
        </w:tc>
        <w:tc>
          <w:p>
            <w:pPr>
              <w:pStyle w:val="Compact"/>
              <w:jc w:val="left"/>
            </w:pPr>
            <w:r>
              <w:t xml:space="preserve">1,0185</w:t>
            </w:r>
          </w:p>
        </w:tc>
        <w:tc>
          <w:p>
            <w:pPr>
              <w:pStyle w:val="Compact"/>
              <w:jc w:val="left"/>
            </w:pPr>
            <w:r>
              <w:t xml:space="preserve">1,0490</w:t>
            </w:r>
          </w:p>
        </w:tc>
      </w:tr>
      <w:tr>
        <w:tc>
          <w:p>
            <w:pPr>
              <w:pStyle w:val="Compact"/>
              <w:jc w:val="left"/>
            </w:pPr>
            <w:r>
              <w:t xml:space="preserve">LightGBM pequeño (8 variables, 15 hojas)</w:t>
            </w:r>
          </w:p>
        </w:tc>
        <w:tc>
          <w:p>
            <w:pPr>
              <w:pStyle w:val="Compact"/>
              <w:jc w:val="left"/>
            </w:pPr>
            <w:r>
              <w:t xml:space="preserve">1,0827</w:t>
            </w:r>
          </w:p>
        </w:tc>
        <w:tc>
          <w:p>
            <w:pPr>
              <w:pStyle w:val="Compact"/>
              <w:jc w:val="left"/>
            </w:pPr>
            <w:r>
              <w:t xml:space="preserve">1,0380</w:t>
            </w:r>
          </w:p>
        </w:tc>
        <w:tc>
          <w:p>
            <w:pPr>
              <w:pStyle w:val="Compact"/>
              <w:jc w:val="left"/>
            </w:pPr>
            <w:r>
              <w:t xml:space="preserve">1,0095</w:t>
            </w:r>
          </w:p>
        </w:tc>
        <w:tc>
          <w:p>
            <w:pPr>
              <w:pStyle w:val="Compact"/>
              <w:jc w:val="left"/>
            </w:pPr>
            <w:r>
              <w:t xml:space="preserve">1,0434</w:t>
            </w:r>
          </w:p>
        </w:tc>
      </w:tr>
      <w:tr>
        <w:tc>
          <w:p>
            <w:pPr>
              <w:pStyle w:val="Compact"/>
              <w:jc w:val="left"/>
            </w:pPr>
            <w:r>
              <w:t xml:space="preserve">LightGBM completo (180 días)</w:t>
            </w:r>
          </w:p>
        </w:tc>
        <w:tc>
          <w:p>
            <w:pPr>
              <w:pStyle w:val="Compact"/>
              <w:jc w:val="left"/>
            </w:pPr>
            <w:r>
              <w:t xml:space="preserve">1,0776</w:t>
            </w:r>
          </w:p>
        </w:tc>
        <w:tc>
          <w:p>
            <w:pPr>
              <w:pStyle w:val="Compact"/>
              <w:jc w:val="left"/>
            </w:pPr>
            <w:r>
              <w:t xml:space="preserve">1,0415</w:t>
            </w:r>
          </w:p>
        </w:tc>
        <w:tc>
          <w:p>
            <w:pPr>
              <w:pStyle w:val="Compact"/>
              <w:jc w:val="left"/>
            </w:pPr>
            <w:r>
              <w:t xml:space="preserve">1,0029</w:t>
            </w:r>
          </w:p>
        </w:tc>
        <w:tc>
          <w:p>
            <w:pPr>
              <w:pStyle w:val="Compact"/>
              <w:jc w:val="left"/>
            </w:pPr>
            <w:r>
              <w:t xml:space="preserve">1,0407</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0,9994</w:t>
            </w:r>
          </w:p>
        </w:tc>
        <w:tc>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3" w:name="dónde-falla-la-temporada-alta"/>
      <w:r>
        <w:t xml:space="preserve">7.3.5. Dónde falla: la temporada alta</w:t>
      </w:r>
      <w:bookmarkEnd w:id="103"/>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7"/>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7"/>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1,0520</w:t>
            </w:r>
          </w:p>
        </w:tc>
        <w:tc>
          <w:p>
            <w:pPr>
              <w:pStyle w:val="Compact"/>
              <w:jc w:val="left"/>
            </w:pPr>
            <w:r>
              <w:rPr>
                <w:b/>
              </w:rPr>
              <w:t xml:space="preserve">1,0177</w:t>
            </w:r>
          </w:p>
        </w:tc>
        <w:tc>
          <w:p>
            <w:pPr>
              <w:pStyle w:val="Compact"/>
              <w:jc w:val="left"/>
            </w:pPr>
            <w:r>
              <w:rPr>
                <w:b/>
              </w:rPr>
              <w:t xml:space="preserve">1,0177</w:t>
            </w:r>
          </w:p>
        </w:tc>
      </w:tr>
      <w:tr>
        <w:tc>
          <w:p>
            <w:pPr>
              <w:pStyle w:val="Compact"/>
              <w:jc w:val="left"/>
            </w:pPr>
            <w:r>
              <w:t xml:space="preserve">Diciembre 2015</w:t>
            </w:r>
          </w:p>
        </w:tc>
        <w:tc>
          <w:p>
            <w:pPr>
              <w:pStyle w:val="Compact"/>
              <w:jc w:val="left"/>
            </w:pPr>
            <w:r>
              <w:t xml:space="preserve">1,1119</w:t>
            </w:r>
          </w:p>
        </w:tc>
        <w:tc>
          <w:p>
            <w:pPr>
              <w:pStyle w:val="Compact"/>
              <w:jc w:val="left"/>
            </w:pPr>
            <w:r>
              <w:t xml:space="preserve">1,0497</w:t>
            </w:r>
          </w:p>
        </w:tc>
        <w:tc>
          <w:p>
            <w:pPr>
              <w:pStyle w:val="Compact"/>
              <w:jc w:val="left"/>
            </w:pPr>
            <w:r>
              <w:rPr>
                <w:b/>
              </w:rPr>
              <w:t xml:space="preserve">1,0484</w:t>
            </w:r>
          </w:p>
        </w:tc>
      </w:tr>
      <w:tr>
        <w:tc>
          <w:p>
            <w:pPr>
              <w:pStyle w:val="Compact"/>
              <w:jc w:val="left"/>
            </w:pPr>
            <w:r>
              <w:t xml:space="preserve">Media febrero-abril 2016</w:t>
            </w:r>
          </w:p>
        </w:tc>
        <w:tc>
          <w:p>
            <w:pPr>
              <w:pStyle w:val="Compact"/>
              <w:jc w:val="left"/>
            </w:pPr>
            <w:r>
              <w:t xml:space="preserve">1,0407</w:t>
            </w:r>
          </w:p>
        </w:tc>
        <w:tc>
          <w:p>
            <w:pPr>
              <w:pStyle w:val="Compact"/>
              <w:jc w:val="left"/>
            </w:pPr>
            <w:r>
              <w:t xml:space="preserve">1,0382</w:t>
            </w:r>
          </w:p>
        </w:tc>
        <w:tc>
          <w:p>
            <w:pPr>
              <w:pStyle w:val="Compact"/>
              <w:jc w:val="left"/>
            </w:pPr>
            <w:r>
              <w:rPr>
                <w:b/>
              </w:rPr>
              <w:t xml:space="preserve">1,0378</w:t>
            </w:r>
          </w:p>
        </w:tc>
      </w:tr>
    </w:tbl>
    <w:p>
      <w:pPr>
        <w:pStyle w:val="BodyText"/>
      </w:pPr>
      <w:r>
        <w:t xml:space="preserve">Diciembre mejora un</w:t>
      </w:r>
      <w:r>
        <w:t xml:space="preserve"> </w:t>
      </w:r>
      <w:r>
        <w:rPr>
          <w:b/>
        </w:rPr>
        <w:t xml:space="preserve">5,7 %</w:t>
      </w:r>
      <w:r>
        <w:t xml:space="preserve"> </w:t>
      </w:r>
      <w:r>
        <w:t xml:space="preserve">y noviembre un</w:t>
      </w:r>
      <w:r>
        <w:t xml:space="preserve"> </w:t>
      </w:r>
      <w:r>
        <w:rPr>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4"/>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05" w:name="intervalos-de-predicción"/>
      <w:r>
        <w:t xml:space="preserve">7.3.6. Intervalos de predicción</w:t>
      </w:r>
      <w:bookmarkEnd w:id="105"/>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06"/>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07" w:name="calibración-del-sesgo"/>
      <w:r>
        <w:t xml:space="preserve">7.3.7. Calibración del sesgo</w:t>
      </w:r>
      <w:bookmarkEnd w:id="107"/>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08" w:name="X177e41c5f1617fe4d87f121c23ece4232e0d7a9"/>
      <w:r>
        <w:t xml:space="preserve">7.3.8. La respuesta a la pregunta del director financiero</w:t>
      </w:r>
      <w:bookmarkEnd w:id="108"/>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5,48 %</w:t>
            </w:r>
          </w:p>
        </w:tc>
        <w:tc>
          <w:p>
            <w:pPr>
              <w:pStyle w:val="Compact"/>
              <w:jc w:val="left"/>
            </w:pPr>
            <w:r>
              <w:t xml:space="preserve">5,80 %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6,76 %</w:t>
            </w:r>
          </w:p>
        </w:tc>
        <w:tc>
          <w:p>
            <w:pPr>
              <w:pStyle w:val="Compact"/>
              <w:jc w:val="left"/>
            </w:pPr>
            <w:r>
              <w:t xml:space="preserve">7,25 %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8,03 %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9,93 %</w:t>
            </w:r>
          </w:p>
        </w:tc>
        <w:tc>
          <w:p>
            <w:pPr>
              <w:pStyle w:val="Compact"/>
              <w:jc w:val="left"/>
            </w:pPr>
            <w:r>
              <w:t xml:space="preserve">10,71 %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09"/>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0" w:name="Xdb3991560f8fad4b7c364cd151d118040e4c1c7"/>
      <w:r>
        <w:t xml:space="preserve">7.3.9. El objetivo correcto no es el día, es el ciclo</w:t>
      </w:r>
      <w:bookmarkEnd w:id="110"/>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1"/>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2" w:name="productos-sin-histórico"/>
      <w:r>
        <w:t xml:space="preserve">7.3.10. Productos sin histórico</w:t>
      </w:r>
      <w:bookmarkEnd w:id="112"/>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3" w:name="medir-por-semanas-y-modelo-final"/>
      <w:r>
        <w:t xml:space="preserve">7.3.11. Medir por semanas y modelo final</w:t>
      </w:r>
      <w:bookmarkEnd w:id="113"/>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alimentación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
        </w:rPr>
        <w:t xml:space="preserve">0,9994</w:t>
      </w:r>
      <w:r>
        <w:t xml:space="preserve">, el primero por debajo de 1, 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p>
      <w:pPr>
        <w:pStyle w:val="Heading3"/>
      </w:pPr>
      <w:bookmarkStart w:id="114" w:name="límites-reconocidos"/>
      <w:r>
        <w:t xml:space="preserve">7.3.12. Límites reconocidos</w:t>
      </w:r>
      <w:bookmarkEnd w:id="114"/>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8"/>
        </w:numPr>
        <w:pStyle w:val="Compact"/>
      </w:pPr>
      <w:r>
        <w:rPr>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8"/>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8"/>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15" w:name="qué-abre-el-capítulo-siguiente-2"/>
      <w:r>
        <w:t xml:space="preserve">7.3.13. Qué abre el capítulo siguiente</w:t>
      </w:r>
      <w:bookmarkEnd w:id="115"/>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r>
        <w:t xml:space="preserve"> </w:t>
      </w:r>
      <w:r>
        <w:t xml:space="preserve">## 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16" w:name="X673bcba50efdeb28591d09a7d4dcbc5cd08ca99"/>
      <w:r>
        <w:t xml:space="preserve">7.4.1. El marco: el problema del vendedor de periódicos</w:t>
      </w:r>
      <w:bookmarkEnd w:id="116"/>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17" w:name="una-política-híbrida-por-segmento"/>
      <w:r>
        <w:t xml:space="preserve">7.4.2. Una política híbrida por segmento</w:t>
      </w:r>
      <w:bookmarkEnd w:id="117"/>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término de incertidumbre se estima con el desvío histórico, que en esas series es</w:t>
      </w:r>
      <w:r>
        <w:t xml:space="preserve"> </w:t>
      </w:r>
      <w:r>
        <w:t xml:space="preserve">fiable.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18" w:name="cuánto-cuesta-la-política-actual"/>
      <w:r>
        <w:t xml:space="preserve">7.4.3. Cuánto cuesta la política actual</w:t>
      </w:r>
      <w:bookmarkEnd w:id="118"/>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19"/>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0" w:name="Xa1237f68e44745741121975f12246553301a5bb"/>
      <w:r>
        <w:t xml:space="preserve">7.4.4. La simulación refuta la conclusión del capítulo anterior</w:t>
      </w:r>
      <w:bookmarkEnd w:id="120"/>
    </w:p>
    <w:p>
      <w:pPr>
        <w:pStyle w:val="FirstParagraph"/>
      </w:pPr>
      <w:r>
        <w:t xml:space="preserve">En §7.3 el grupo de producto con menor error de predicción era Alta rotación diaria</w:t>
      </w:r>
      <w:r>
        <w:t xml:space="preserve"> </w:t>
      </w:r>
      <w:r>
        <w:t xml:space="preserve">(RMSSE 0,88) y uno de los de mayor error, Venta esporádica con pico en eventos (0,93).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65.000 dólares); necesita una regla de</w:t>
      </w:r>
      <w:r>
        <w:t xml:space="preserve"> </w:t>
      </w:r>
      <w:r>
        <w:t xml:space="preserve">temporada propia.</w:t>
      </w:r>
    </w:p>
    <w:p>
      <w:pPr>
        <w:pStyle w:val="BodyText"/>
      </w:pPr>
      <w:r>
        <w:t xml:space="preserve">La explicación es que en las series estables el desvío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1"/>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tres momentos en que una prueba refutó una conclusión del trabajo.</w:t>
      </w:r>
      <w:r>
        <w:t xml:space="preserve"> </w:t>
      </w:r>
      <w:r>
        <w:t xml:space="preserve">Elegir la política por el RMSSE habría llevado a la decisión opuesta en ambos extremos.</w:t>
      </w:r>
    </w:p>
    <w:p>
      <w:pPr>
        <w:pStyle w:val="Heading3"/>
      </w:pPr>
      <w:bookmarkStart w:id="122" w:name="la-función-de-pérdida-correcta"/>
      <w:r>
        <w:t xml:space="preserve">7.4.5. La función de pérdida correcta</w:t>
      </w:r>
      <w:bookmarkEnd w:id="122"/>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desvío histórico</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desvío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y coste de exceso</w:t>
      </w:r>
      <w:r>
        <w:t xml:space="preserve"> </w:t>
      </w:r>
      <w:r>
        <w:t xml:space="preserve">del 5%, el ratio crítico correcto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3"/>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24" w:name="Xbf4a07bd22212f91c28182313c7a855310137a2"/>
      <w:r>
        <w:t xml:space="preserve">7.4.6. La curva de servicio y quién decide el óptimo</w:t>
      </w:r>
      <w:bookmarkEnd w:id="124"/>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25"/>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26" w:name="cuánta-demanda-no-estamos-viendo"/>
      <w:r>
        <w:t xml:space="preserve">7.4.7. Cuánta demanda no estamos viendo</w:t>
      </w:r>
      <w:bookmarkEnd w:id="126"/>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27"/>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186.821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338.520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28" w:name="qué-abre-el-capítulo-siguiente-3"/>
      <w:r>
        <w:t xml:space="preserve">7.4.8. Qué abre el capítulo siguiente</w:t>
      </w:r>
      <w:bookmarkEnd w:id="128"/>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r>
        <w:t xml:space="preserve"> </w:t>
      </w:r>
      <w:r>
        <w:t xml:space="preserve">## 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29" w:name="la-especificación"/>
      <w:r>
        <w:t xml:space="preserve">7.5.1. La especificación</w:t>
      </w:r>
      <w:bookmarkEnd w:id="129"/>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0" w:name="un-resultado-excelente"/>
      <w:r>
        <w:t xml:space="preserve">7.5.2. Un resultado excelente</w:t>
      </w:r>
      <w:bookmarkEnd w:id="130"/>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alimentación,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1"/>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2" w:name="la-prueba-que-lo-derriba"/>
      <w:r>
        <w:t xml:space="preserve">7.5.3. La prueba que lo derriba</w:t>
      </w:r>
      <w:bookmarkEnd w:id="132"/>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33"/>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34" w:name="Xd39cd14ce4ff5a4038fd67217aae4b4b1f6b636"/>
      <w:r>
        <w:t xml:space="preserve">7.5.4. Por qué ocurre: el precio casi no se mueve</w:t>
      </w:r>
      <w:bookmarkEnd w:id="134"/>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35" w:name="lo-que-sí-respondería-la-pregunta"/>
      <w:r>
        <w:t xml:space="preserve">7.5.5. Lo que sí respondería la pregunta</w:t>
      </w:r>
      <w:bookmarkEnd w:id="135"/>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36"/>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37" w:name="el-valor-de-un-resultado-negativo"/>
      <w:r>
        <w:t xml:space="preserve">7.5.6. El valor de un resultado negativo</w:t>
      </w:r>
      <w:bookmarkEnd w:id="137"/>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tres momentos en que una prueba refutó una conclusión propia del trabajo.</w:t>
      </w:r>
    </w:p>
    <w:p>
      <w:pPr>
        <w:pStyle w:val="Heading3"/>
      </w:pPr>
      <w:bookmarkStart w:id="138" w:name="qué-abre-el-capítulo-siguiente-4"/>
      <w:r>
        <w:t xml:space="preserve">7.5.7. Qué abre el capítulo siguiente</w:t>
      </w:r>
      <w:bookmarkEnd w:id="138"/>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r>
        <w:t xml:space="preserve"> </w:t>
      </w:r>
      <w:r>
        <w:t xml:space="preserve">## 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39" w:name="el-problema-que-resuelve"/>
      <w:r>
        <w:t xml:space="preserve">7.6.1. El problema que resuelve</w:t>
      </w:r>
      <w:bookmarkEnd w:id="139"/>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cuatro cuadernos</w:t>
      </w:r>
      <w:r>
        <w:t xml:space="preserve"> </w:t>
      </w:r>
      <w:r>
        <w:t xml:space="preserve">independientes en un sistema con una única fuente de verdad.</w:t>
      </w:r>
    </w:p>
    <w:p>
      <w:pPr>
        <w:pStyle w:val="Heading3"/>
      </w:pPr>
      <w:bookmarkStart w:id="140" w:name="lo-que-se-construyó"/>
      <w:r>
        <w:t xml:space="preserve">7.6.2. Lo que se construyó</w:t>
      </w:r>
      <w:bookmarkEnd w:id="140"/>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w:t>
      </w:r>
      <w:r>
        <w:t xml:space="preserve"> </w:t>
      </w:r>
      <w:r>
        <w:t xml:space="preserve">cuatro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1"/>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42" w:name="X681881246d7709f9cb258ce7868824ae2268875"/>
      <w:r>
        <w:t xml:space="preserve">7.6.3. La capa de lenguaje natural y su regla de diseño</w:t>
      </w:r>
      <w:bookmarkEnd w:id="142"/>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w:t>
      </w:r>
      <w:r>
        <w:t xml:space="preserve"> </w:t>
      </w:r>
      <w:r>
        <w:t xml:space="preserve">mercadería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43"/>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44" w:name="las-trampas-encontradas"/>
      <w:r>
        <w:t xml:space="preserve">7.6.4. Las trampas encontradas</w:t>
      </w:r>
      <w:bookmarkEnd w:id="144"/>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45" w:name="la-capa-de-operación"/>
      <w:r>
        <w:t xml:space="preserve">7.6.5. La capa de operación</w:t>
      </w:r>
      <w:bookmarkEnd w:id="145"/>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46" w:name="cómo-se-pondría-en-marcha"/>
      <w:r>
        <w:t xml:space="preserve">7.6.6. Cómo se pondría en marcha</w:t>
      </w:r>
      <w:bookmarkEnd w:id="146"/>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mercadería.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47" w:name="sobre-la-migración-a-la-nube"/>
      <w:r>
        <w:t xml:space="preserve">7.6.7. Sobre la migración a la nube</w:t>
      </w:r>
      <w:bookmarkEnd w:id="147"/>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48" w:name="qué-queda-por-hacer"/>
      <w:r>
        <w:t xml:space="preserve">7.6.8. Qué queda por hacer</w:t>
      </w:r>
      <w:bookmarkEnd w:id="148"/>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r>
        <w:t xml:space="preserve"> </w:t>
      </w:r>
      <w:r>
        <w:t xml:space="preserve">## 7.7. De sistema a sistema mantenible: la capa de MLOps</w:t>
      </w:r>
    </w:p>
    <w:p>
      <w:pPr>
        <w:pStyle w:val="BodyText"/>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49" w:name="el-fallo-que-faltaba-impedir"/>
      <w:r>
        <w:t xml:space="preserve">7.7.1. El fallo que faltaba impedir</w:t>
      </w:r>
      <w:bookmarkEnd w:id="149"/>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0" w:name="Xb0b6b0df3471bdfa851cac95ec49631818da1f4"/>
      <w:r>
        <w:t xml:space="preserve">7.7.2. Trazabilidad: de dónde salió exactamente este modelo</w:t>
      </w:r>
      <w:bookmarkEnd w:id="150"/>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51" w:name="la-puerta-de-promoción"/>
      <w:r>
        <w:t xml:space="preserve">7.7.3. La puerta de promoción</w:t>
      </w:r>
      <w:bookmarkEnd w:id="151"/>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52"/>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53" w:name="X17ae984419a93b0d2cfeadec01bb57ea91876d3"/>
      <w:r>
        <w:t xml:space="preserve">7.7.4. Pruebas automáticas e integración continua</w:t>
      </w:r>
      <w:bookmarkEnd w:id="153"/>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mercadería.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54" w:name="el-lazo-cerrado"/>
      <w:r>
        <w:t xml:space="preserve">7.7.5. El lazo cerrado</w:t>
      </w:r>
      <w:bookmarkEnd w:id="154"/>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55" w:name="X677d0b6fb5587a51333dcc1a319a9f77aaaec8c"/>
      <w:r>
        <w:t xml:space="preserve">7.7.6. El entorno fijado y la imagen del servicio</w:t>
      </w:r>
      <w:bookmarkEnd w:id="155"/>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56" w:name="por-qué-no-mlflow-airflow-ni-kubeflow"/>
      <w:r>
        <w:t xml:space="preserve">7.7.7. Por qué no MLflow, Airflow ni Kubeflow</w:t>
      </w:r>
      <w:bookmarkEnd w:id="156"/>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57" w:name="Xb9c75ef21605bbb6d16d59442bf078807b18b03"/>
      <w:r>
        <w:t xml:space="preserve">7.7.8. Dónde queda el sistema, y qué sigue faltando</w:t>
      </w:r>
      <w:bookmarkEnd w:id="157"/>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r>
        <w:t xml:space="preserve"> </w:t>
      </w:r>
      <w:r>
        <w:t xml:space="preserve">## 7.8. Conclusiones</w:t>
      </w:r>
    </w:p>
    <w:p>
      <w:pPr>
        <w:pStyle w:val="Heading3"/>
      </w:pPr>
      <w:bookmarkStart w:id="158" w:name="respuesta-a-los-objetivos"/>
      <w:r>
        <w:t xml:space="preserve">7.8.1. Respuesta a los objetivos</w:t>
      </w:r>
      <w:bookmarkEnd w:id="15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ligados a lo que</w:t>
      </w:r>
      <w:r>
        <w:t xml:space="preserve"> </w:t>
      </w:r>
      <w:r>
        <w:t xml:space="preserve">contienen: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
        </w:rPr>
        <w:t xml:space="preserve">la</w:t>
      </w:r>
      <w:r>
        <w:rPr>
          <w:b/>
        </w:rPr>
        <w:t xml:space="preserve"> </w:t>
      </w:r>
      <w:r>
        <w:rPr>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59" w:name="X62820460520509d8d7150f3b4a4ff7f7cfe40eb"/>
      <w:r>
        <w:t xml:space="preserve">7.8.2. El hilo conductor: cuatro veces que la evidencia nos contradijo</w:t>
      </w:r>
      <w:bookmarkEnd w:id="159"/>
    </w:p>
    <w:p>
      <w:pPr>
        <w:pStyle w:val="FirstParagraph"/>
      </w:pPr>
      <w:r>
        <w:t xml:space="preserve">Los resultados anteriores son los que el encargo pedía. El resultado del que este trabajo se</w:t>
      </w:r>
      <w:r>
        <w:t xml:space="preserve"> </w:t>
      </w:r>
      <w:r>
        <w:t xml:space="preserve">siente más responsable es otro, y recorre los seis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60" w:name="limitaciones"/>
      <w:r>
        <w:t xml:space="preserve">7.8.3. Limitaciones</w:t>
      </w:r>
      <w:bookmarkEnd w:id="160"/>
    </w:p>
    <w:p>
      <w:pPr>
        <w:pStyle w:val="FirstParagraph"/>
      </w:pPr>
      <w:r>
        <w:t xml:space="preserve">Se enumeran las que afectan a la validez de las conclusiones, ordenadas por importancia.</w:t>
      </w:r>
    </w:p>
    <w:p>
      <w:pPr>
        <w:numPr>
          <w:ilvl w:val="0"/>
          <w:numId w:val="1009"/>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09"/>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09"/>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09"/>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09"/>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09"/>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09"/>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61" w:name="trabajo-futuro"/>
      <w:r>
        <w:t xml:space="preserve">7.8.4. Trabajo futuro</w:t>
      </w:r>
      <w:bookmarkEnd w:id="16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58,2% de la importancia y el techo</w:t>
      </w:r>
      <w:r>
        <w:t xml:space="preserve"> </w:t>
      </w:r>
      <w:r>
        <w:t xml:space="preserve">lo pone el ruido de la serie.</w:t>
      </w:r>
      <w:r>
        <w:t xml:space="preserve"> </w:t>
      </w:r>
      <w:r>
        <w:t xml:space="preserve"># 8. Referencias</w:t>
      </w:r>
    </w:p>
    <w:p>
      <w:pPr>
        <w:pStyle w:val="BodyText"/>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62" w:name="anexos"/>
      <w:r>
        <w:t xml:space="preserve">9. Anexos</w:t>
      </w:r>
      <w:bookmarkEnd w:id="162"/>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63" w:name="X4deb3d807606c30ab159fa52b782ca60bae7d62"/>
      <w:r>
        <w:t xml:space="preserve">Anexo A. Cuadernos de análisis y entrenamientos auxiliares</w:t>
      </w:r>
      <w:bookmarkEnd w:id="163"/>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con la segmentación vigente,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64" w:name="anexo-b.-el-almacén-analítico"/>
      <w:r>
        <w:t xml:space="preserve">Anexo B. El almacén analítico</w:t>
      </w:r>
      <w:bookmarkEnd w:id="164"/>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0"/>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0"/>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0"/>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65" w:name="anexo-c.-el-servicio-de-reposición"/>
      <w:r>
        <w:t xml:space="preserve">Anexo C. El servicio de reposición</w:t>
      </w:r>
      <w:bookmarkEnd w:id="165"/>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mercadería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66" w:name="anexo-d.-el-panel-interactivo"/>
      <w:r>
        <w:t xml:space="preserve">Anexo D. El panel interactivo</w:t>
      </w:r>
      <w:bookmarkEnd w:id="166"/>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67" w:name="anexo-e.-el-cuadro-de-mando"/>
      <w:r>
        <w:t xml:space="preserve">Anexo E. El cuadro de mando</w:t>
      </w:r>
      <w:bookmarkEnd w:id="167"/>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1"/>
        </w:numPr>
        <w:pStyle w:val="Compact"/>
      </w:pPr>
      <w:r>
        <w:t xml:space="preserve">Resumen ejecutivo.</w:t>
      </w:r>
    </w:p>
    <w:p>
      <w:pPr>
        <w:numPr>
          <w:ilvl w:val="0"/>
          <w:numId w:val="1011"/>
        </w:numPr>
        <w:pStyle w:val="Compact"/>
      </w:pPr>
      <w:r>
        <w:t xml:space="preserve">Comparativa de ciudades y tiendas.</w:t>
      </w:r>
    </w:p>
    <w:p>
      <w:pPr>
        <w:numPr>
          <w:ilvl w:val="0"/>
          <w:numId w:val="1011"/>
        </w:numPr>
        <w:pStyle w:val="Compact"/>
      </w:pPr>
      <w:r>
        <w:t xml:space="preserve">Cómo se compra.</w:t>
      </w:r>
    </w:p>
    <w:p>
      <w:pPr>
        <w:numPr>
          <w:ilvl w:val="0"/>
          <w:numId w:val="1011"/>
        </w:numPr>
        <w:pStyle w:val="Compact"/>
      </w:pPr>
      <w:r>
        <w:t xml:space="preserve">Precios.</w:t>
      </w:r>
    </w:p>
    <w:p>
      <w:pPr>
        <w:numPr>
          <w:ilvl w:val="0"/>
          <w:numId w:val="1011"/>
        </w:numPr>
        <w:pStyle w:val="Compact"/>
      </w:pPr>
      <w:r>
        <w:t xml:space="preserve">Grupos de producto.</w:t>
      </w:r>
    </w:p>
    <w:p>
      <w:pPr>
        <w:numPr>
          <w:ilvl w:val="0"/>
          <w:numId w:val="1011"/>
        </w:numPr>
        <w:pStyle w:val="Compact"/>
      </w:pPr>
      <w:r>
        <w:t xml:space="preserve">Explorador de productos.</w:t>
      </w:r>
    </w:p>
    <w:p>
      <w:pPr>
        <w:numPr>
          <w:ilvl w:val="0"/>
          <w:numId w:val="1011"/>
        </w:numPr>
        <w:pStyle w:val="Compact"/>
      </w:pPr>
      <w:r>
        <w:t xml:space="preserve">Parecido de tiendas.</w:t>
      </w:r>
    </w:p>
    <w:p>
      <w:pPr>
        <w:numPr>
          <w:ilvl w:val="0"/>
          <w:numId w:val="1011"/>
        </w:numPr>
        <w:pStyle w:val="Compact"/>
      </w:pPr>
      <w:r>
        <w:t xml:space="preserve">Previsión de ventas, con banda de incertidumbre controlada por un parámetro de nivel de</w:t>
      </w:r>
      <w:r>
        <w:t xml:space="preserve"> </w:t>
      </w:r>
      <w:r>
        <w:t xml:space="preserve">confianza (50 a 99 %).</w:t>
      </w:r>
    </w:p>
    <w:p>
      <w:pPr>
        <w:numPr>
          <w:ilvl w:val="0"/>
          <w:numId w:val="1011"/>
        </w:numPr>
        <w:pStyle w:val="Compact"/>
      </w:pPr>
      <w:r>
        <w:t xml:space="preserve">Reposición.</w:t>
      </w:r>
    </w:p>
    <w:p>
      <w:pPr>
        <w:numPr>
          <w:ilvl w:val="0"/>
          <w:numId w:val="1011"/>
        </w:numPr>
        <w:pStyle w:val="Compact"/>
      </w:pPr>
      <w:r>
        <w:t xml:space="preserve">Colchón de seguridad.</w:t>
      </w:r>
    </w:p>
    <w:p>
      <w:pPr>
        <w:numPr>
          <w:ilvl w:val="0"/>
          <w:numId w:val="1011"/>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68" w:name="anexo-f.-manual-de-ejecución"/>
      <w:r>
        <w:t xml:space="preserve">Anexo F. Manual de ejecución</w:t>
      </w:r>
      <w:bookmarkEnd w:id="168"/>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69" w:name="X4b1a222c1a47853c33be7695272db975156fd01"/>
      <w:r>
        <w:t xml:space="preserve">Anexo G. Alternativas evaluadas y descartadas</w:t>
      </w:r>
      <w:bookmarkEnd w:id="169"/>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104" Target="media/rId104.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3" Target="media/rId9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DSMarket: de la venta diaria a la decisión de reposición</dc:title>
  <dc:creator>Nuclio Digital School · Barcelona</dc:creator>
  <dc:language>es</dc:language>
  <cp:keywords/>
  <dcterms:created xsi:type="dcterms:W3CDTF">2026-10-23T15:28:49Z</dcterms:created>
  <dcterms:modified xsi:type="dcterms:W3CDTF">2026-10-23T15:28:49Z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Trabajo de Fin de Máster — Máster en Data Science &amp; Inteligencia Artificial</vt:lpwstr>
  </property>
  <property fmtid="{D5CDD505-2E9C-101B-9397-08002B2CF9AE}" pid="4" name="toc">
    <vt:lpwstr>True</vt:lpwstr>
  </property>
  <property fmtid="{D5CDD505-2E9C-101B-9397-08002B2CF9AE}" pid="5" name="toc-depth">
    <vt:lpwstr>3</vt:lpwstr>
  </property>
</Properties>
</file>