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DSMarket: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venta</w:t>
      </w:r>
      <w:r>
        <w:t xml:space="preserve"> </w:t>
      </w:r>
      <w:r>
        <w:t xml:space="preserve">diaria</w:t>
      </w:r>
      <w:r>
        <w:t xml:space="preserve"> </w:t>
      </w:r>
      <w:r>
        <w:t xml:space="preserve">a</w:t>
      </w:r>
      <w:r>
        <w:t xml:space="preserve"> </w:t>
      </w:r>
      <w:r>
        <w:t xml:space="preserve">la</w:t>
      </w:r>
      <w:r>
        <w:t xml:space="preserve"> </w:t>
      </w:r>
      <w:r>
        <w:t xml:space="preserve">decisión</w:t>
      </w:r>
      <w:r>
        <w:t xml:space="preserve"> </w:t>
      </w:r>
      <w:r>
        <w:t xml:space="preserve">de</w:t>
      </w:r>
      <w:r>
        <w:t xml:space="preserve"> </w:t>
      </w:r>
      <w:r>
        <w:t xml:space="preserve">reposición</w:t>
      </w:r>
    </w:p>
    <w:p>
      <w:pPr>
        <w:pStyle w:val="Subtitle"/>
      </w:pPr>
      <w:r>
        <w:t xml:space="preserve">Trabajo</w:t>
      </w:r>
      <w:r>
        <w:t xml:space="preserve"> </w:t>
      </w:r>
      <w:r>
        <w:t xml:space="preserve">de</w:t>
      </w:r>
      <w:r>
        <w:t xml:space="preserve"> </w:t>
      </w:r>
      <w:r>
        <w:t xml:space="preserve">Fin</w:t>
      </w:r>
      <w:r>
        <w:t xml:space="preserve"> </w:t>
      </w:r>
      <w:r>
        <w:t xml:space="preserve">de</w:t>
      </w:r>
      <w:r>
        <w:t xml:space="preserve"> </w:t>
      </w:r>
      <w:r>
        <w:t xml:space="preserve">Máster</w:t>
      </w:r>
      <w:r>
        <w:t xml:space="preserve"> </w:t>
      </w:r>
      <w:r>
        <w:t xml:space="preserve">—</w:t>
      </w:r>
      <w:r>
        <w:t xml:space="preserve"> </w:t>
      </w:r>
      <w:r>
        <w:t xml:space="preserve">Máster</w:t>
      </w:r>
      <w:r>
        <w:t xml:space="preserve"> </w:t>
      </w:r>
      <w:r>
        <w:t xml:space="preserve">en</w:t>
      </w:r>
      <w:r>
        <w:t xml:space="preserve"> </w:t>
      </w:r>
      <w:r>
        <w:t xml:space="preserve">Data</w:t>
      </w:r>
      <w:r>
        <w:t xml:space="preserve"> </w:t>
      </w:r>
      <w:r>
        <w:t xml:space="preserve">Science</w:t>
      </w:r>
      <w:r>
        <w:t xml:space="preserve"> </w:t>
      </w:r>
      <w:r>
        <w:t xml:space="preserve">&amp;</w:t>
      </w:r>
      <w:r>
        <w:t xml:space="preserve"> </w:t>
      </w:r>
      <w:r>
        <w:t xml:space="preserve">Inteligencia</w:t>
      </w:r>
      <w:r>
        <w:t xml:space="preserve"> </w:t>
      </w:r>
      <w:r>
        <w:t xml:space="preserve">Artificial</w:t>
      </w:r>
    </w:p>
    <w:p>
      <w:pPr>
        <w:pStyle w:val="Author"/>
      </w:pPr>
      <w:r>
        <w:t xml:space="preserve">Nuclio</w:t>
      </w:r>
      <w:r>
        <w:t xml:space="preserve"> </w:t>
      </w:r>
      <w:r>
        <w:t xml:space="preserve">Digital</w:t>
      </w:r>
      <w:r>
        <w:t xml:space="preserve"> </w:t>
      </w:r>
      <w:r>
        <w:t xml:space="preserve">School</w:t>
      </w:r>
      <w:r>
        <w:t xml:space="preserve"> </w:t>
      </w:r>
      <w:r>
        <w:t xml:space="preserve">·</w:t>
      </w:r>
      <w:r>
        <w:t xml:space="preserve"> </w:t>
      </w:r>
      <w:r>
        <w:t xml:space="preserve">Barcelona</w:t>
      </w:r>
    </w:p>
    <w:p>
      <w:pPr>
        <w:pStyle w:val="Date"/>
      </w:pPr>
      <w:r>
        <w:t xml:space="preserve">Borrador</w:t>
      </w:r>
      <w:r>
        <w:t xml:space="preserve"> </w:t>
      </w:r>
      <w:r>
        <w:t xml:space="preserve">de</w:t>
      </w:r>
      <w:r>
        <w:t xml:space="preserve"> </w:t>
      </w:r>
      <w:r>
        <w:t xml:space="preserve">trabajo</w:t>
      </w:r>
      <w:r>
        <w:t xml:space="preserve"> </w:t>
      </w:r>
      <w:r>
        <w:t xml:space="preserve">—</w:t>
      </w:r>
      <w:r>
        <w:t xml:space="preserve"> </w:t>
      </w:r>
      <w:r>
        <w:t xml:space="preserve">septiembre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NUCLIO DIGITAL SCHOOL</w:t>
      </w:r>
    </w:p>
    <w:p>
      <w:pPr>
        <w:pStyle w:val="BodyText"/>
      </w:pPr>
      <w:r>
        <w:t xml:space="preserve">Máster en Data Science &amp; Inteligencia Artificial</w:t>
      </w:r>
    </w:p>
    <w:bookmarkStart w:id="23" w:name="X89d6cb43e41eb80f3ced779075d2b74e2aec38a"/>
    <w:p>
      <w:pPr>
        <w:pStyle w:val="Heading1"/>
      </w:pPr>
      <w:r>
        <w:t xml:space="preserve">DSMarket: de la venta diaria a la decisión de reposición</w:t>
      </w:r>
    </w:p>
    <w:bookmarkStart w:id="20" w:name="X6a1d382f8b599a476dfdc46e5b868e6fe329c12"/>
    <w:p>
      <w:pPr>
        <w:pStyle w:val="Heading3"/>
      </w:pPr>
      <w:r>
        <w:t xml:space="preserve">Previsión de demanda, segmentación e inventario en una cadena de distribución minorista</w:t>
      </w:r>
    </w:p>
    <w:p>
      <w:pPr>
        <w:pStyle w:val="FirstParagraph"/>
      </w:pPr>
      <w:r>
        <w:rPr>
          <w:bCs/>
          <w:b/>
        </w:rPr>
        <w:t xml:space="preserve">Trabajo de Fin de Máster</w:t>
      </w:r>
    </w:p>
    <w:p>
      <w:pPr>
        <w:pStyle w:val="BodyText"/>
      </w:pPr>
      <w:r>
        <w:t xml:space="preserve">Autores</w:t>
      </w:r>
    </w:p>
    <w:p>
      <w:pPr>
        <w:pStyle w:val="BodyText"/>
      </w:pPr>
      <w:r>
        <w:t xml:space="preserve">[Nombre y apellidos] · [Nombre y apellidos]</w:t>
      </w:r>
      <w:r>
        <w:t xml:space="preserve"> </w:t>
      </w:r>
      <w:r>
        <w:t xml:space="preserve">[Nombre y apellidos] · [Nombre y apellidos]</w:t>
      </w:r>
    </w:p>
    <w:p>
      <w:pPr>
        <w:pStyle w:val="BodyText"/>
      </w:pPr>
      <w:r>
        <w:t xml:space="preserve">Tutor o tutora</w:t>
      </w:r>
    </w:p>
    <w:p>
      <w:pPr>
        <w:pStyle w:val="BodyText"/>
      </w:pPr>
      <w:r>
        <w:t xml:space="preserve">[Nombre y apellidos]</w:t>
      </w:r>
    </w:p>
    <w:p>
      <w:pPr>
        <w:pStyle w:val="BodyText"/>
      </w:pPr>
      <w:r>
        <w:t xml:space="preserve">Barcelona, octubre de 2026</w:t>
      </w:r>
    </w:p>
    <w:p>
      <w:r>
        <w:pict>
          <v:rect style="width:0;height:1.5pt" o:hralign="center" o:hrstd="t" o:hr="t"/>
        </w:pict>
      </w:r>
    </w:p>
    <w:bookmarkEnd w:id="20"/>
    <w:bookmarkStart w:id="21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Este trabajo desarrolla un sistema analítico completo sobre el histórico de ventas de DSMarket,</w:t>
      </w:r>
      <w:r>
        <w:t xml:space="preserve"> </w:t>
      </w:r>
      <w:r>
        <w:t xml:space="preserve">una cadena de distribución minorista con diez establecimientos en tres ciudades y un catálogo de</w:t>
      </w:r>
      <w:r>
        <w:t xml:space="preserve"> </w:t>
      </w:r>
      <w:r>
        <w:t xml:space="preserve">3.049 referencias, y lo lleva desde el fichero en bruto hasta la cantidad que debe pedirse de</w:t>
      </w:r>
      <w:r>
        <w:t xml:space="preserve"> </w:t>
      </w:r>
      <w:r>
        <w:t xml:space="preserve">cada producto en cada tienda. A partir de 58.327.370 observaciones diarias correspondientes a</w:t>
      </w:r>
      <w:r>
        <w:t xml:space="preserve"> </w:t>
      </w:r>
      <w:r>
        <w:t xml:space="preserve">30.490 series producto-tienda entre 2011 y 2016, se caracteriza la estructura de la demanda, se</w:t>
      </w:r>
      <w:r>
        <w:t xml:space="preserve"> </w:t>
      </w:r>
      <w:r>
        <w:t xml:space="preserve">segmentan catálogo y red, se comparan familias de modelos de previsión bajo validación temporal</w:t>
      </w:r>
      <w:r>
        <w:t xml:space="preserve"> </w:t>
      </w:r>
      <w:r>
        <w:t xml:space="preserve">por avance y se simula una política de reposición derivada de la teoría del</w:t>
      </w:r>
      <w:r>
        <w:t xml:space="preserve"> </w:t>
      </w:r>
      <w:r>
        <w:rPr>
          <w:iCs/>
          <w:i/>
        </w:rPr>
        <w:t xml:space="preserve">newsvendor</w:t>
      </w:r>
      <w:r>
        <w:t xml:space="preserve">.</w:t>
      </w:r>
    </w:p>
    <w:p>
      <w:pPr>
        <w:pStyle w:val="BodyText"/>
      </w:pPr>
      <w:r>
        <w:t xml:space="preserve">Los resultados principales son los siguientes. La demanda no es homogénea: solo cinco de los</w:t>
      </w:r>
      <w:r>
        <w:t xml:space="preserve"> </w:t>
      </w:r>
      <w:r>
        <w:t xml:space="preserve">quince productos más vendidos son comunes a las tres ciudades, y los grupos de comportamiento de</w:t>
      </w:r>
      <w:r>
        <w:t xml:space="preserve"> </w:t>
      </w:r>
      <w:r>
        <w:t xml:space="preserve">tienda no coinciden con las fronteras geográficas. El mejor modelo de previsión alcanza un</w:t>
      </w:r>
      <w:r>
        <w:t xml:space="preserve"> </w:t>
      </w:r>
      <w:r>
        <w:t xml:space="preserve">WRMSSE de 1,0414, y la estrategia de horizonte resulta unas veinte veces más influyente que la</w:t>
      </w:r>
      <w:r>
        <w:t xml:space="preserve"> </w:t>
      </w:r>
      <w:r>
        <w:t xml:space="preserve">elección de biblioteca; reformular el objetivo como el total del ciclo de reposición reduce el</w:t>
      </w:r>
      <w:r>
        <w:t xml:space="preserve"> </w:t>
      </w:r>
      <w:r>
        <w:t xml:space="preserve">error un 15,7% adicional y elimina un sesgo del −7,4%. La reconciliación jerárquica con el</w:t>
      </w:r>
      <w:r>
        <w:t xml:space="preserve"> </w:t>
      </w:r>
      <w:r>
        <w:t xml:space="preserve">método MinT mejora el error en los seis niveles de agregación, del 15,12% al 13,71%. La política</w:t>
      </w:r>
      <w:r>
        <w:t xml:space="preserve"> </w:t>
      </w:r>
      <w:r>
        <w:t xml:space="preserve">de reposición propuesta eleva el nivel de servicio del 86,3% al 96,0% con una reducción del</w:t>
      </w:r>
      <w:r>
        <w:t xml:space="preserve"> </w:t>
      </w:r>
      <w:r>
        <w:t xml:space="preserve">coste total del 61%, y la comparación de candidatos por coste revela que el nivel de servicio</w:t>
      </w:r>
      <w:r>
        <w:t xml:space="preserve"> </w:t>
      </w:r>
      <w:r>
        <w:t xml:space="preserve">uniforme del 90% resultaba 2,45 veces más caro que el óptimo. La elasticidad precio, en cambio,</w:t>
      </w:r>
      <w:r>
        <w:t xml:space="preserve"> </w:t>
      </w:r>
      <w:r>
        <w:t xml:space="preserve">no resulta identificable con estos datos: una prueba de falsación temporal desmiente la</w:t>
      </w:r>
      <w:r>
        <w:t xml:space="preserve"> </w:t>
      </w:r>
      <w:r>
        <w:t xml:space="preserve">estimación obtenida.</w:t>
      </w:r>
    </w:p>
    <w:p>
      <w:pPr>
        <w:pStyle w:val="BodyText"/>
      </w:pPr>
      <w:r>
        <w:rPr>
          <w:bCs/>
          <w:b/>
        </w:rPr>
        <w:t xml:space="preserve">Palabras clave:</w:t>
      </w:r>
      <w:r>
        <w:t xml:space="preserve"> </w:t>
      </w:r>
      <w:r>
        <w:t xml:space="preserve">previsión de demanda, demanda intermitente, reconciliación jerárquica,</w:t>
      </w:r>
      <w:r>
        <w:t xml:space="preserve"> </w:t>
      </w:r>
      <w:r>
        <w:t xml:space="preserve">teoría de inventarios, modelo del vendedor de periódicos, arquitectura de datos analíticos.</w:t>
      </w:r>
    </w:p>
    <w:p>
      <w:r>
        <w:pict>
          <v:rect style="width:0;height:1.5pt" o:hralign="center" o:hrstd="t" o:hr="t"/>
        </w:pict>
      </w:r>
    </w:p>
    <w:bookmarkEnd w:id="21"/>
    <w:bookmarkStart w:id="22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[Traducción del resumen anterior.]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2" w:name="introducción"/>
    <w:p>
      <w:pPr>
        <w:pStyle w:val="Heading1"/>
      </w:pPr>
      <w:r>
        <w:t xml:space="preserve">3. Introducción</w:t>
      </w:r>
    </w:p>
    <w:p>
      <w:pPr>
        <w:pStyle w:val="FirstParagraph"/>
      </w:pPr>
      <w:r>
        <w:t xml:space="preserve">DSMarket es una cadena de distribución minorista con diez establecimientos repartidos entre</w:t>
      </w:r>
      <w:r>
        <w:t xml:space="preserve"> </w:t>
      </w:r>
      <w:r>
        <w:t xml:space="preserve">Nueva York, Boston y Filadelfia, y un catálogo de 3.049 referencias organizado en tres</w:t>
      </w:r>
      <w:r>
        <w:t xml:space="preserve"> </w:t>
      </w:r>
      <w:r>
        <w:t xml:space="preserve">categorías comerciales. Como muchas cadenas de su tamaño, la compañía dispone desde hace años</w:t>
      </w:r>
      <w:r>
        <w:t xml:space="preserve"> </w:t>
      </w:r>
      <w:r>
        <w:t xml:space="preserve">de un registro exhaustivo de sus operaciones —cinco años y cuatro meses de ventas diarias por</w:t>
      </w:r>
      <w:r>
        <w:t xml:space="preserve"> </w:t>
      </w:r>
      <w:r>
        <w:t xml:space="preserve">producto y tienda, junto con el histórico semanal de precios y el calendario de eventos— y de</w:t>
      </w:r>
      <w:r>
        <w:t xml:space="preserve"> </w:t>
      </w:r>
      <w:r>
        <w:t xml:space="preserve">muy poca capacidad para convertir ese registro en decisiones. Los datos existen; el uso, no.</w:t>
      </w:r>
    </w:p>
    <w:p>
      <w:pPr>
        <w:pStyle w:val="BodyText"/>
      </w:pPr>
      <w:r>
        <w:t xml:space="preserve">El encargo que origina este trabajo procede de la dirección de datos de la compañía y se</w:t>
      </w:r>
      <w:r>
        <w:t xml:space="preserve"> </w:t>
      </w:r>
      <w:r>
        <w:t xml:space="preserve">formula en cuatro peticiones sucesivas: entender en profundidad cómo se está vendiendo,</w:t>
      </w:r>
      <w:r>
        <w:t xml:space="preserve"> </w:t>
      </w:r>
      <w:r>
        <w:t xml:space="preserve">agrupar productos y tiendas que se comporten de forma parecida para poder diseñar campañas,</w:t>
      </w:r>
      <w:r>
        <w:t xml:space="preserve"> </w:t>
      </w:r>
      <w:r>
        <w:t xml:space="preserve">predecir la demanda de las próximas cuatro semanas y, a partir de esa predicción, determinar</w:t>
      </w:r>
      <w:r>
        <w:t xml:space="preserve"> </w:t>
      </w:r>
      <w:r>
        <w:t xml:space="preserve">qué cantidad de cada producto debe reponerse en cada tienda. A ello se añade una pregunta</w:t>
      </w:r>
      <w:r>
        <w:t xml:space="preserve"> </w:t>
      </w:r>
      <w:r>
        <w:t xml:space="preserve">concreta del director financiero —si las previsiones de los niveles agregados pueden obtenerse</w:t>
      </w:r>
      <w:r>
        <w:t xml:space="preserve"> </w:t>
      </w:r>
      <w:r>
        <w:t xml:space="preserve">sumando las previsiones individuales— y una pregunta abierta del área comercial sobre la</w:t>
      </w:r>
      <w:r>
        <w:t xml:space="preserve"> </w:t>
      </w:r>
      <w:r>
        <w:t xml:space="preserve">posibilidad de explotar las diferencias de precio entre establecimientos.</w:t>
      </w:r>
    </w:p>
    <w:bookmarkStart w:id="24" w:name="el-problema-formulado-con-precisión"/>
    <w:p>
      <w:pPr>
        <w:pStyle w:val="Heading2"/>
      </w:pPr>
      <w:r>
        <w:t xml:space="preserve">3.1. El problema, formulado con precisión</w:t>
      </w:r>
    </w:p>
    <w:p>
      <w:pPr>
        <w:pStyle w:val="FirstParagraph"/>
      </w:pPr>
      <w:r>
        <w:t xml:space="preserve">Las cuatro peticiones anteriores describen un encargo, no un problema de investigación. Traducidas</w:t>
      </w:r>
      <w:r>
        <w:t xml:space="preserve"> </w:t>
      </w:r>
      <w:r>
        <w:t xml:space="preserve">al lenguaje del análisis, plantean una cadena de preguntas en la que cada una solo tiene sentido</w:t>
      </w:r>
      <w:r>
        <w:t xml:space="preserve"> </w:t>
      </w:r>
      <w:r>
        <w:t xml:space="preserve">después de haber respondido la anterior:</w:t>
      </w:r>
    </w:p>
    <w:p>
      <w:pPr>
        <w:numPr>
          <w:ilvl w:val="0"/>
          <w:numId w:val="1001"/>
        </w:numPr>
        <w:pStyle w:val="Compact"/>
      </w:pPr>
      <w:r>
        <w:t xml:space="preserve">¿Qué estructura tiene la demanda de DSMarket, y hasta qué punto es homogénea entre tiendas,</w:t>
      </w:r>
      <w:r>
        <w:t xml:space="preserve"> </w:t>
      </w:r>
      <w:r>
        <w:t xml:space="preserve">ciudades y categorías?</w:t>
      </w:r>
    </w:p>
    <w:p>
      <w:pPr>
        <w:numPr>
          <w:ilvl w:val="0"/>
          <w:numId w:val="1001"/>
        </w:numPr>
        <w:pStyle w:val="Compact"/>
      </w:pPr>
      <w:r>
        <w:t xml:space="preserve">Si no lo es, ¿qué agrupaciones de productos y de tiendas capturan esa heterogeneidad de forma</w:t>
      </w:r>
      <w:r>
        <w:t xml:space="preserve"> </w:t>
      </w:r>
      <w:r>
        <w:t xml:space="preserve">estable y reproducible?</w:t>
      </w:r>
    </w:p>
    <w:p>
      <w:pPr>
        <w:numPr>
          <w:ilvl w:val="0"/>
          <w:numId w:val="1001"/>
        </w:numPr>
        <w:pStyle w:val="Compact"/>
      </w:pPr>
      <w:r>
        <w:t xml:space="preserve">¿Con qué precisión puede predecirse la demanda diaria a cuatro semanas vista, y esa precisión</w:t>
      </w:r>
      <w:r>
        <w:t xml:space="preserve"> </w:t>
      </w:r>
      <w:r>
        <w:t xml:space="preserve">se mantiene al agregar por tienda, ciudad o categoría?</w:t>
      </w:r>
    </w:p>
    <w:p>
      <w:pPr>
        <w:numPr>
          <w:ilvl w:val="0"/>
          <w:numId w:val="1001"/>
        </w:numPr>
        <w:pStyle w:val="Compact"/>
      </w:pPr>
      <w:r>
        <w:t xml:space="preserve">¿Qué decisión de reposición se deriva de esa predicción, y cuánto vale esa decisión medida en</w:t>
      </w:r>
      <w:r>
        <w:t xml:space="preserve"> </w:t>
      </w:r>
      <w:r>
        <w:t xml:space="preserve">dinero y no en error de predicción?</w:t>
      </w:r>
    </w:p>
    <w:p>
      <w:pPr>
        <w:numPr>
          <w:ilvl w:val="0"/>
          <w:numId w:val="1001"/>
        </w:numPr>
        <w:pStyle w:val="Compact"/>
      </w:pPr>
      <w:r>
        <w:t xml:space="preserve">¿Permiten estos datos estimar el efecto causal del precio sobre la demanda?</w:t>
      </w:r>
    </w:p>
    <w:p>
      <w:pPr>
        <w:pStyle w:val="FirstParagraph"/>
      </w:pPr>
      <w:r>
        <w:t xml:space="preserve">Este trabajo responde las cinco. La quinta, con una negativa argumentada.</w:t>
      </w:r>
    </w:p>
    <w:bookmarkEnd w:id="24"/>
    <w:bookmarkStart w:id="25" w:name="alcance"/>
    <w:p>
      <w:pPr>
        <w:pStyle w:val="Heading2"/>
      </w:pPr>
      <w:r>
        <w:t xml:space="preserve">3.2. Alcance</w:t>
      </w:r>
    </w:p>
    <w:p>
      <w:pPr>
        <w:pStyle w:val="FirstParagraph"/>
      </w:pPr>
      <w:r>
        <w:t xml:space="preserve">El trabajo abarca el ciclo completo desde el fichero en bruto hasta la decisión operativa. Se</w:t>
      </w:r>
      <w:r>
        <w:t xml:space="preserve"> </w:t>
      </w:r>
      <w:r>
        <w:t xml:space="preserve">construye un almacén analítico sobre los tres ficheros de origen, se caracteriza la demanda, se</w:t>
      </w:r>
      <w:r>
        <w:t xml:space="preserve"> </w:t>
      </w:r>
      <w:r>
        <w:t xml:space="preserve">segmentan productos y tiendas, se comparan familias de modelos de predicción bajo un mismo</w:t>
      </w:r>
      <w:r>
        <w:t xml:space="preserve"> </w:t>
      </w:r>
      <w:r>
        <w:t xml:space="preserve">protocolo de validación, se simula una política de reposición sobre las 30.490 series</w:t>
      </w:r>
      <w:r>
        <w:t xml:space="preserve"> </w:t>
      </w:r>
      <w:r>
        <w:t xml:space="preserve">producto-tienda con la demanda que realmente ocurrió, y se somete a prueba la posibilidad de</w:t>
      </w:r>
      <w:r>
        <w:t xml:space="preserve"> </w:t>
      </w:r>
      <w:r>
        <w:t xml:space="preserve">estimar la elasticidad precio de la demanda.</w:t>
      </w:r>
    </w:p>
    <w:p>
      <w:pPr>
        <w:pStyle w:val="BodyText"/>
      </w:pPr>
      <w:r>
        <w:t xml:space="preserve">Quedan fuera del alcance tres cosas que conviene declarar desde el principio. La primera, el</w:t>
      </w:r>
      <w:r>
        <w:t xml:space="preserve"> </w:t>
      </w:r>
      <w:r>
        <w:t xml:space="preserve">surtido: el trabajo decide cuánto pedir de lo que ya está en el catálogo, no qué productos</w:t>
      </w:r>
      <w:r>
        <w:t xml:space="preserve"> </w:t>
      </w:r>
      <w:r>
        <w:t xml:space="preserve">debería tener cada tienda. La segunda, las restricciones logísticas —lotes de proveedor,</w:t>
      </w:r>
      <w:r>
        <w:t xml:space="preserve"> </w:t>
      </w:r>
      <w:r>
        <w:t xml:space="preserve">capacidad de almacén, unidades de transporte—, de las que no se dispone de información. La</w:t>
      </w:r>
      <w:r>
        <w:t xml:space="preserve"> </w:t>
      </w:r>
      <w:r>
        <w:t xml:space="preserve">tercera, el efecto de sustitución entre productos: cada serie se trata de forma independiente,</w:t>
      </w:r>
      <w:r>
        <w:t xml:space="preserve"> </w:t>
      </w:r>
      <w:r>
        <w:t xml:space="preserve">lo que es una simplificación conocida y no una omisión involuntaria.</w:t>
      </w:r>
    </w:p>
    <w:bookmarkEnd w:id="25"/>
    <w:bookmarkStart w:id="26" w:name="qué-encontrará-el-lector"/>
    <w:p>
      <w:pPr>
        <w:pStyle w:val="Heading2"/>
      </w:pPr>
      <w:r>
        <w:t xml:space="preserve">3.3. Qué encontrará el lector</w:t>
      </w:r>
    </w:p>
    <w:p>
      <w:pPr>
        <w:pStyle w:val="FirstParagraph"/>
      </w:pPr>
      <w:r>
        <w:t xml:space="preserve">La memoria se organiza como una investigación encadenada y no como un informe de tareas. Tras</w:t>
      </w:r>
      <w:r>
        <w:t xml:space="preserve"> </w:t>
      </w:r>
      <w:r>
        <w:t xml:space="preserve">la justificación y el estado del arte (§4) y los objetivos (§5), la sección de metodología (§6)</w:t>
      </w:r>
      <w:r>
        <w:t xml:space="preserve"> </w:t>
      </w:r>
      <w:r>
        <w:t xml:space="preserve">reúne una sola vez el aparato común a todos los capítulos: el origen y la calidad de los datos,</w:t>
      </w:r>
      <w:r>
        <w:t xml:space="preserve"> </w:t>
      </w:r>
      <w:r>
        <w:t xml:space="preserve">la arquitectura del almacén analítico, el esquema de validación temporal y las métricas de</w:t>
      </w:r>
      <w:r>
        <w:t xml:space="preserve"> </w:t>
      </w:r>
      <w:r>
        <w:t xml:space="preserve">error. La sección de resultados (§7) desarrolla los seis capítulos de la narrativa, cada uno</w:t>
      </w:r>
      <w:r>
        <w:t xml:space="preserve"> </w:t>
      </w:r>
      <w:r>
        <w:t xml:space="preserve">abierto por la pregunta de negocio que lo motiva y cerrado por la que abre el siguiente.</w:t>
      </w:r>
    </w:p>
    <w:p>
      <w:pPr>
        <w:pStyle w:val="BodyText"/>
      </w:pPr>
      <w:r>
        <w:t xml:space="preserve">El lector encontrará también tres momentos en los que una conclusión propia del trabajo fue</w:t>
      </w:r>
      <w:r>
        <w:t xml:space="preserve"> </w:t>
      </w:r>
      <w:r>
        <w:t xml:space="preserve">sometida a una prueba que podía refutarla y la prueba la refutó. Están señalados de forma</w:t>
      </w:r>
      <w:r>
        <w:t xml:space="preserve"> </w:t>
      </w:r>
      <w:r>
        <w:t xml:space="preserve">explícita en cada capítulo y recogidos en las conclusiones, porque son, a juicio de los autores,</w:t>
      </w:r>
      <w:r>
        <w:t xml:space="preserve"> </w:t>
      </w:r>
      <w:r>
        <w:t xml:space="preserve">el resultado más valioso del proyecto: un hallazgo del análisis exploratorio que se descartó por</w:t>
      </w:r>
      <w:r>
        <w:t xml:space="preserve"> </w:t>
      </w:r>
      <w:r>
        <w:t xml:space="preserve">falta de sustento, una conclusión sobre el valor del modelo de predicción que la simulación de</w:t>
      </w:r>
      <w:r>
        <w:t xml:space="preserve"> </w:t>
      </w:r>
      <w:r>
        <w:t xml:space="preserve">la política invirtió, y una elasticidad estadísticamente significativa que una prueba de</w:t>
      </w:r>
      <w:r>
        <w:t xml:space="preserve"> </w:t>
      </w:r>
      <w:r>
        <w:t xml:space="preserve">falsación dejó sin interpretación causal.</w:t>
      </w:r>
      <w:r>
        <w:t xml:space="preserve"> </w:t>
      </w:r>
      <w:r>
        <w:t xml:space="preserve"># 4. Justificación y contextualización</w:t>
      </w:r>
    </w:p>
    <w:bookmarkEnd w:id="26"/>
    <w:bookmarkStart w:id="27" w:name="el-contexto-de-dsmarket"/>
    <w:p>
      <w:pPr>
        <w:pStyle w:val="Heading2"/>
      </w:pPr>
      <w:r>
        <w:t xml:space="preserve">4.1. El contexto de DSMarket</w:t>
      </w:r>
    </w:p>
    <w:p>
      <w:pPr>
        <w:pStyle w:val="FirstParagraph"/>
      </w:pPr>
      <w:r>
        <w:t xml:space="preserve">DSMarket opera diez establecimientos en tres ciudades del noreste de Estados Unidos con un</w:t>
      </w:r>
      <w:r>
        <w:t xml:space="preserve"> </w:t>
      </w:r>
      <w:r>
        <w:t xml:space="preserve">catálogo de 3.049 referencias. Su situación es la habitual en cadenas de distribución de tamaño</w:t>
      </w:r>
      <w:r>
        <w:t xml:space="preserve"> </w:t>
      </w:r>
      <w:r>
        <w:t xml:space="preserve">medio: dispone de un registro operativo completo —más de cinco años de ventas diarias por</w:t>
      </w:r>
      <w:r>
        <w:t xml:space="preserve"> </w:t>
      </w:r>
      <w:r>
        <w:t xml:space="preserve">producto y tienda— y carece de un proceso que convierta ese registro en decisiones. La</w:t>
      </w:r>
      <w:r>
        <w:t xml:space="preserve"> </w:t>
      </w:r>
      <w:r>
        <w:t xml:space="preserve">reposición se decide con criterio de tienda, las campañas se diseñan sobre el catálogo entero y</w:t>
      </w:r>
      <w:r>
        <w:t xml:space="preserve"> </w:t>
      </w:r>
      <w:r>
        <w:t xml:space="preserve">los precios se fijan sin una medida del efecto que producen.</w:t>
      </w:r>
    </w:p>
    <w:p>
      <w:pPr>
        <w:pStyle w:val="BodyText"/>
      </w:pPr>
      <w:r>
        <w:t xml:space="preserve">El plan estratégico de la compañía contempla migrar sus fuentes y procesos de datos a una</w:t>
      </w:r>
      <w:r>
        <w:t xml:space="preserve"> </w:t>
      </w:r>
      <w:r>
        <w:t xml:space="preserve">plataforma en la nube. Ese plan es el marco en el que se inscribe este trabajo, y explica que la</w:t>
      </w:r>
      <w:r>
        <w:t xml:space="preserve"> </w:t>
      </w:r>
      <w:r>
        <w:t xml:space="preserve">memoria dedique un capítulo completo a la infraestructura analítica y no solo a los modelos: el</w:t>
      </w:r>
      <w:r>
        <w:t xml:space="preserve"> </w:t>
      </w:r>
      <w:r>
        <w:t xml:space="preserve">encargo no es producir un informe sino dejar instalada una capacidad.</w:t>
      </w:r>
    </w:p>
    <w:p>
      <w:pPr>
        <w:pStyle w:val="BodyText"/>
      </w:pPr>
      <w:r>
        <w:t xml:space="preserve">El tamaño de la compañía condiciona el planteamiento de forma menos evidente de lo que parece.</w:t>
      </w:r>
      <w:r>
        <w:t xml:space="preserve"> </w:t>
      </w:r>
      <w:r>
        <w:t xml:space="preserve">Diez establecimientos son demasiados para que la reposición se gobierne con el criterio</w:t>
      </w:r>
      <w:r>
        <w:t xml:space="preserve"> </w:t>
      </w:r>
      <w:r>
        <w:t xml:space="preserve">individual de cada encargado sin que aparezcan divergencias, y demasiado pocos para justificar la</w:t>
      </w:r>
      <w:r>
        <w:t xml:space="preserve"> </w:t>
      </w:r>
      <w:r>
        <w:t xml:space="preserve">infraestructura distribuida y el equipo especializado que emplean las grandes cadenas. El</w:t>
      </w:r>
      <w:r>
        <w:t xml:space="preserve"> </w:t>
      </w:r>
      <w:r>
        <w:t xml:space="preserve">proyecto se sitúa deliberadamente en esa franja intermedia: métodos contrastados de la literatura</w:t>
      </w:r>
      <w:r>
        <w:t xml:space="preserve"> </w:t>
      </w:r>
      <w:r>
        <w:t xml:space="preserve">sobre una infraestructura que una organización de este tamaño puede operar y mantener.</w:t>
      </w:r>
    </w:p>
    <w:p>
      <w:pPr>
        <w:pStyle w:val="BodyText"/>
      </w:pPr>
      <w:r>
        <w:t xml:space="preserve">El horizonte de decisión también viene dado por el negocio y no por el análisis. Las cuatro</w:t>
      </w:r>
      <w:r>
        <w:t xml:space="preserve"> </w:t>
      </w:r>
      <w:r>
        <w:t xml:space="preserve">semanas que el encargo fija como horizonte de previsión no son una elección metodológica: son el</w:t>
      </w:r>
      <w:r>
        <w:t xml:space="preserve"> </w:t>
      </w:r>
      <w:r>
        <w:t xml:space="preserve">ciclo de compra de la compañía, y determinan tanto la estructura de los modelos como el diseño de</w:t>
      </w:r>
      <w:r>
        <w:t xml:space="preserve"> </w:t>
      </w:r>
      <w:r>
        <w:t xml:space="preserve">la política de reposición.</w:t>
      </w:r>
    </w:p>
    <w:bookmarkEnd w:id="27"/>
    <w:bookmarkStart w:id="28" w:name="Xe4ae5b9a58fc080daa7f5d18f34610bb411ae52"/>
    <w:p>
      <w:pPr>
        <w:pStyle w:val="Heading2"/>
      </w:pPr>
      <w:r>
        <w:t xml:space="preserve">4.2. Por qué la decisión de reposición es el problema</w:t>
      </w:r>
    </w:p>
    <w:p>
      <w:pPr>
        <w:pStyle w:val="FirstParagraph"/>
      </w:pPr>
      <w:r>
        <w:t xml:space="preserve">La distribución minorista de alimentación opera con márgenes brutos estrechos y volúmenes muy</w:t>
      </w:r>
      <w:r>
        <w:t xml:space="preserve"> </w:t>
      </w:r>
      <w:r>
        <w:t xml:space="preserve">altos, una combinación que convierte las decisiones repetidas de bajo importe unitario en la</w:t>
      </w:r>
      <w:r>
        <w:t xml:space="preserve"> </w:t>
      </w:r>
      <w:r>
        <w:t xml:space="preserve">principal palanca de resultado. La reposición es la más repetida de todas: se toma para cada</w:t>
      </w:r>
      <w:r>
        <w:t xml:space="preserve"> </w:t>
      </w:r>
      <w:r>
        <w:t xml:space="preserve">referencia, en cada tienda, cada semana.</w:t>
      </w:r>
    </w:p>
    <w:p>
      <w:pPr>
        <w:pStyle w:val="BodyText"/>
      </w:pPr>
      <w:r>
        <w:t xml:space="preserve">Equivocarse tiene dos costes de naturaleza distinta y magnitud muy desigual. El</w:t>
      </w:r>
      <w:r>
        <w:t xml:space="preserve"> </w:t>
      </w:r>
      <w:r>
        <w:rPr>
          <w:bCs/>
          <w:b/>
        </w:rPr>
        <w:t xml:space="preserve">exceso</w:t>
      </w:r>
      <w:r>
        <w:t xml:space="preserve"> </w:t>
      </w:r>
      <w:r>
        <w:t xml:space="preserve">de</w:t>
      </w:r>
      <w:r>
        <w:t xml:space="preserve"> </w:t>
      </w:r>
      <w:r>
        <w:t xml:space="preserve">inventario inmoviliza capital, ocupa espacio y, en producto perecedero, se descarta. La</w:t>
      </w:r>
      <w:r>
        <w:t xml:space="preserve"> </w:t>
      </w:r>
      <w:r>
        <w:rPr>
          <w:bCs/>
          <w:b/>
        </w:rPr>
        <w:t xml:space="preserve">rotura</w:t>
      </w:r>
      <w:r>
        <w:t xml:space="preserve"> </w:t>
      </w:r>
      <w:r>
        <w:t xml:space="preserve">de stock, en cambio, no solo pierde la venta del momento: el estudio de referencia</w:t>
      </w:r>
      <w:r>
        <w:t xml:space="preserve"> </w:t>
      </w:r>
      <w:r>
        <w:t xml:space="preserve">sobre disponibilidad en lineal de Gruen, Corsten y Bharadwaj (2002), realizado sobre ocho</w:t>
      </w:r>
      <w:r>
        <w:t xml:space="preserve"> </w:t>
      </w:r>
      <w:r>
        <w:t xml:space="preserve">categorías en más de veinte países, sitúa la tasa media mundial de rotura en el</w:t>
      </w:r>
      <w:r>
        <w:t xml:space="preserve"> </w:t>
      </w:r>
      <w:r>
        <w:rPr>
          <w:bCs/>
          <w:b/>
        </w:rPr>
        <w:t xml:space="preserve">8,3%</w:t>
      </w:r>
      <w:r>
        <w:t xml:space="preserve"> </w:t>
      </w:r>
      <w:r>
        <w:t xml:space="preserve">y</w:t>
      </w:r>
      <w:r>
        <w:t xml:space="preserve"> </w:t>
      </w:r>
      <w:r>
        <w:t xml:space="preserve">documenta que, ante un producto ausente, solo el 15% de los clientes aplaza la compra: el 31%</w:t>
      </w:r>
      <w:r>
        <w:t xml:space="preserve"> </w:t>
      </w:r>
      <w:r>
        <w:t xml:space="preserve">la realiza en otro establecimiento, el 45% sustituye por otro producto o marca y el 9% renuncia.</w:t>
      </w:r>
      <w:r>
        <w:t xml:space="preserve"> </w:t>
      </w:r>
      <w:r>
        <w:t xml:space="preserve">Es decir, la mayor parte del efecto de una rotura no se observa en la serie del producto</w:t>
      </w:r>
      <w:r>
        <w:t xml:space="preserve"> </w:t>
      </w:r>
      <w:r>
        <w:t xml:space="preserve">afectado, y una fracción sustancial se traduce en tráfico que se va a la competencia.</w:t>
      </w:r>
    </w:p>
    <w:p>
      <w:pPr>
        <w:pStyle w:val="BodyText"/>
      </w:pPr>
      <w:r>
        <w:t xml:space="preserve">Esta asimetría es la razón por la que el trabajo abandona en §7.4 las métricas de error y pasa a</w:t>
      </w:r>
      <w:r>
        <w:t xml:space="preserve"> </w:t>
      </w:r>
      <w:r>
        <w:t xml:space="preserve">expresar los resultados en unidades monetarias. También explica por qué el diagnóstico económico</w:t>
      </w:r>
      <w:r>
        <w:t xml:space="preserve"> </w:t>
      </w:r>
      <w:r>
        <w:t xml:space="preserve">de la política de partida —catorce dólares de margen perdido por cada dólar de inventario</w:t>
      </w:r>
      <w:r>
        <w:t xml:space="preserve"> </w:t>
      </w:r>
      <w:r>
        <w:t xml:space="preserve">inmovilizado— orienta toda la optimización posterior en una única dirección.</w:t>
      </w:r>
    </w:p>
    <w:bookmarkEnd w:id="28"/>
    <w:bookmarkStart w:id="29" w:name="por-qué-el-problema-no-es-trivial"/>
    <w:p>
      <w:pPr>
        <w:pStyle w:val="Heading2"/>
      </w:pPr>
      <w:r>
        <w:t xml:space="preserve">4.3. Por qué el problema no es trivial</w:t>
      </w:r>
    </w:p>
    <w:p>
      <w:pPr>
        <w:pStyle w:val="FirstParagraph"/>
      </w:pPr>
      <w:r>
        <w:t xml:space="preserve">La previsión de demanda en distribución minorista presenta una combinación de dificultades que</w:t>
      </w:r>
      <w:r>
        <w:t xml:space="preserve"> </w:t>
      </w:r>
      <w:r>
        <w:t xml:space="preserve">la distingue de otros problemas de series temporales.</w:t>
      </w:r>
    </w:p>
    <w:p>
      <w:pPr>
        <w:pStyle w:val="BodyText"/>
      </w:pPr>
      <w:r>
        <w:rPr>
          <w:bCs/>
          <w:b/>
        </w:rPr>
        <w:t xml:space="preserve">La escala y la granularidad.</w:t>
      </w:r>
      <w:r>
        <w:t xml:space="preserve"> </w:t>
      </w:r>
      <w:r>
        <w:t xml:space="preserve">El objeto de decisión no es la serie agregada de la cadena sino</w:t>
      </w:r>
      <w:r>
        <w:t xml:space="preserve"> </w:t>
      </w:r>
      <w:r>
        <w:t xml:space="preserve">cada una de las 30.490 combinaciones de producto y tienda. A ese nivel de desagregación la señal</w:t>
      </w:r>
      <w:r>
        <w:t xml:space="preserve"> </w:t>
      </w:r>
      <w:r>
        <w:t xml:space="preserve">es débil y el ruido domina.</w:t>
      </w:r>
    </w:p>
    <w:p>
      <w:pPr>
        <w:pStyle w:val="BodyText"/>
      </w:pPr>
      <w:r>
        <w:rPr>
          <w:bCs/>
          <w:b/>
        </w:rPr>
        <w:t xml:space="preserve">La intermitencia.</w:t>
      </w:r>
      <w:r>
        <w:t xml:space="preserve"> </w:t>
      </w:r>
      <w:r>
        <w:t xml:space="preserve">Una proporción muy alta de las observaciones diarias es cero. La demanda</w:t>
      </w:r>
      <w:r>
        <w:t xml:space="preserve"> </w:t>
      </w:r>
      <w:r>
        <w:t xml:space="preserve">intermitente invalida los supuestos distribucionales habituales y las métricas de error</w:t>
      </w:r>
      <w:r>
        <w:t xml:space="preserve"> </w:t>
      </w:r>
      <w:r>
        <w:t xml:space="preserve">relativo, y constituye un área de estudio propia desde el trabajo seminal de Croston (1972) y su</w:t>
      </w:r>
      <w:r>
        <w:t xml:space="preserve"> </w:t>
      </w:r>
      <w:r>
        <w:t xml:space="preserve">corrección posterior por Syntetos y Boylan (2001).</w:t>
      </w:r>
    </w:p>
    <w:p>
      <w:pPr>
        <w:pStyle w:val="BodyText"/>
      </w:pPr>
      <w:r>
        <w:rPr>
          <w:bCs/>
          <w:b/>
        </w:rPr>
        <w:t xml:space="preserve">La estructura jerárquica.</w:t>
      </w:r>
      <w:r>
        <w:t xml:space="preserve"> </w:t>
      </w:r>
      <w:r>
        <w:t xml:space="preserve">Las series se agregan de forma natural por tienda, ciudad,</w:t>
      </w:r>
      <w:r>
        <w:t xml:space="preserve"> </w:t>
      </w:r>
      <w:r>
        <w:t xml:space="preserve">departamento y categoría, y la organización necesita previsiones coherentes en todos esos</w:t>
      </w:r>
      <w:r>
        <w:t xml:space="preserve"> </w:t>
      </w:r>
      <w:r>
        <w:t xml:space="preserve">niveles: la suma de las previsiones de las tiendas de una ciudad debe coincidir con la previsión</w:t>
      </w:r>
      <w:r>
        <w:t xml:space="preserve"> </w:t>
      </w:r>
      <w:r>
        <w:t xml:space="preserve">de esa ciudad, o los informes de dirección y de operaciones se contradicen.</w:t>
      </w:r>
    </w:p>
    <w:p>
      <w:pPr>
        <w:pStyle w:val="BodyText"/>
      </w:pPr>
      <w:r>
        <w:rPr>
          <w:bCs/>
          <w:b/>
        </w:rPr>
        <w:t xml:space="preserve">La asimetría del coste del error.</w:t>
      </w:r>
      <w:r>
        <w:t xml:space="preserve"> </w:t>
      </w:r>
      <w:r>
        <w:t xml:space="preserve">Equivocarse por exceso y por defecto no cuesta lo mismo, y</w:t>
      </w:r>
      <w:r>
        <w:t xml:space="preserve"> </w:t>
      </w:r>
      <w:r>
        <w:t xml:space="preserve">por tanto la métrica con la que se evalúa el modelo y la que describe el impacto en la compañía</w:t>
      </w:r>
      <w:r>
        <w:t xml:space="preserve"> </w:t>
      </w:r>
      <w:r>
        <w:t xml:space="preserve">no coinciden. Esta observación, que en la literatura de previsión se aborda desde la teoría de</w:t>
      </w:r>
      <w:r>
        <w:t xml:space="preserve"> </w:t>
      </w:r>
      <w:r>
        <w:t xml:space="preserve">las funciones de pérdida y en la de inventarios desde el problema del vendedor de periódicos,</w:t>
      </w:r>
      <w:r>
        <w:t xml:space="preserve"> </w:t>
      </w:r>
      <w:r>
        <w:t xml:space="preserve">resultó ser central en este trabajo.</w:t>
      </w:r>
    </w:p>
    <w:bookmarkEnd w:id="29"/>
    <w:bookmarkStart w:id="37" w:name="estado-del-arte"/>
    <w:p>
      <w:pPr>
        <w:pStyle w:val="Heading2"/>
      </w:pPr>
      <w:r>
        <w:t xml:space="preserve">4.4. Estado del arte</w:t>
      </w:r>
    </w:p>
    <w:bookmarkStart w:id="30" w:name="previsión-de-demanda-a-gran-escala"/>
    <w:p>
      <w:pPr>
        <w:pStyle w:val="Heading3"/>
      </w:pPr>
      <w:r>
        <w:t xml:space="preserve">4.4.1. Previsión de demanda a gran escala</w:t>
      </w:r>
    </w:p>
    <w:p>
      <w:pPr>
        <w:pStyle w:val="FirstParagraph"/>
      </w:pPr>
      <w:r>
        <w:t xml:space="preserve">La referencia obligada en este dominio es la competición M5 (Makridakis, Spiliotis y</w:t>
      </w:r>
      <w:r>
        <w:t xml:space="preserve"> </w:t>
      </w:r>
      <w:r>
        <w:t xml:space="preserve">Assimakopoulos, 2022), construida precisamente sobre datos de ventas diarias de una cadena</w:t>
      </w:r>
      <w:r>
        <w:t xml:space="preserve"> </w:t>
      </w:r>
      <w:r>
        <w:t xml:space="preserve">minorista con estructura jerárquica y demanda intermitente, es decir, sobre un problema</w:t>
      </w:r>
      <w:r>
        <w:t xml:space="preserve"> </w:t>
      </w:r>
      <w:r>
        <w:t xml:space="preserve">estructuralmente idéntico al de este trabajo. Sus conclusiones orientan varias decisiones de</w:t>
      </w:r>
      <w:r>
        <w:t xml:space="preserve"> </w:t>
      </w:r>
      <w:r>
        <w:t xml:space="preserve">diseño adoptadas aquí.</w:t>
      </w:r>
    </w:p>
    <w:p>
      <w:pPr>
        <w:pStyle w:val="BodyText"/>
      </w:pPr>
      <w:r>
        <w:t xml:space="preserve">La primera es la superioridad de los</w:t>
      </w:r>
      <w:r>
        <w:t xml:space="preserve"> </w:t>
      </w:r>
      <w:r>
        <w:rPr>
          <w:bCs/>
          <w:b/>
        </w:rPr>
        <w:t xml:space="preserve">ensambles de árboles de decisión con potenciación del</w:t>
      </w:r>
      <w:r>
        <w:rPr>
          <w:bCs/>
          <w:b/>
        </w:rPr>
        <w:t xml:space="preserve"> </w:t>
      </w:r>
      <w:r>
        <w:rPr>
          <w:bCs/>
          <w:b/>
        </w:rPr>
        <w:t xml:space="preserve">gradiente</w:t>
      </w:r>
      <w:r>
        <w:t xml:space="preserve"> </w:t>
      </w:r>
      <w:r>
        <w:t xml:space="preserve">sobre las arquitecturas neuronales y sobre los métodos estadísticos clásicos en</w:t>
      </w:r>
      <w:r>
        <w:t xml:space="preserve"> </w:t>
      </w:r>
      <w:r>
        <w:t xml:space="preserve">problemas de esta naturaleza. La segunda es la ventaja de los</w:t>
      </w:r>
      <w:r>
        <w:t xml:space="preserve"> </w:t>
      </w:r>
      <w:r>
        <w:rPr>
          <w:bCs/>
          <w:b/>
        </w:rPr>
        <w:t xml:space="preserve">modelos globales</w:t>
      </w:r>
      <w:r>
        <w:t xml:space="preserve"> </w:t>
      </w:r>
      <w:r>
        <w:t xml:space="preserve">—un único</w:t>
      </w:r>
      <w:r>
        <w:t xml:space="preserve"> </w:t>
      </w:r>
      <w:r>
        <w:t xml:space="preserve">modelo entrenado sobre todas las series— frente a los modelos locales ajustados serie a serie,</w:t>
      </w:r>
      <w:r>
        <w:t xml:space="preserve"> </w:t>
      </w:r>
      <w:r>
        <w:t xml:space="preserve">distinción que Januschowski et al. (2020) formalizan como criterio de clasificación de métodos</w:t>
      </w:r>
      <w:r>
        <w:t xml:space="preserve"> </w:t>
      </w:r>
      <w:r>
        <w:t xml:space="preserve">de previsión. La tercera, procedente de la competición de incertidumbre paralela (Makridakis et</w:t>
      </w:r>
      <w:r>
        <w:t xml:space="preserve"> </w:t>
      </w:r>
      <w:r>
        <w:t xml:space="preserve">al., 2022b), es que la evaluación probabilística requiere reglas de puntuación propias y no</w:t>
      </w:r>
      <w:r>
        <w:t xml:space="preserve"> </w:t>
      </w:r>
      <w:r>
        <w:t xml:space="preserve">puede derivarse de la evaluación puntual.</w:t>
      </w:r>
    </w:p>
    <w:p>
      <w:pPr>
        <w:pStyle w:val="BodyText"/>
      </w:pPr>
      <w:r>
        <w:t xml:space="preserve">Las implementaciones empleadas en este trabajo son LightGBM (Ke et al., 2017) y XGBoost (Chen y</w:t>
      </w:r>
      <w:r>
        <w:t xml:space="preserve"> </w:t>
      </w:r>
      <w:r>
        <w:t xml:space="preserve">Guestrin, 2016) para los modelos globales, y Prophet (Taylor y Letham, 2018) junto con los</w:t>
      </w:r>
      <w:r>
        <w:t xml:space="preserve"> </w:t>
      </w:r>
      <w:r>
        <w:t xml:space="preserve">modelos SARIMA descritos en Hyndman y Athanasopoulos (2021) como contraste de familia. La</w:t>
      </w:r>
      <w:r>
        <w:t xml:space="preserve"> </w:t>
      </w:r>
      <w:r>
        <w:t xml:space="preserve">revisión de Petropoulos et al. (2022) proporciona el marco general de referencia sobre el estado</w:t>
      </w:r>
      <w:r>
        <w:t xml:space="preserve"> </w:t>
      </w:r>
      <w:r>
        <w:t xml:space="preserve">de la disciplina.</w:t>
      </w:r>
    </w:p>
    <w:bookmarkEnd w:id="30"/>
    <w:bookmarkStart w:id="31" w:name="previsión-probabilística"/>
    <w:p>
      <w:pPr>
        <w:pStyle w:val="Heading3"/>
      </w:pPr>
      <w:r>
        <w:t xml:space="preserve">4.4.2. Previsión probabilística</w:t>
      </w:r>
    </w:p>
    <w:p>
      <w:pPr>
        <w:pStyle w:val="FirstParagraph"/>
      </w:pPr>
      <w:r>
        <w:t xml:space="preserve">La decisión de reposición no necesita la demanda esperada sino un cuantil de su distribución, lo</w:t>
      </w:r>
      <w:r>
        <w:t xml:space="preserve"> </w:t>
      </w:r>
      <w:r>
        <w:t xml:space="preserve">que sitúa el problema en el terreno de la previsión probabilística. La regresión cuantílica de</w:t>
      </w:r>
      <w:r>
        <w:t xml:space="preserve"> </w:t>
      </w:r>
      <w:r>
        <w:t xml:space="preserve">Koenker y Bassett (1978) proporciona el instrumento directo, mediante la minimización de la</w:t>
      </w:r>
      <w:r>
        <w:t xml:space="preserve"> </w:t>
      </w:r>
      <w:r>
        <w:t xml:space="preserve">función de pérdida asimétrica conocida como pérdida pinball. Gneiting y Raftery (2007)</w:t>
      </w:r>
      <w:r>
        <w:t xml:space="preserve"> </w:t>
      </w:r>
      <w:r>
        <w:t xml:space="preserve">establecen el marco de las reglas de puntuación estrictamente propias que justifica su uso como</w:t>
      </w:r>
      <w:r>
        <w:t xml:space="preserve"> </w:t>
      </w:r>
      <w:r>
        <w:t xml:space="preserve">criterio de evaluación. Romano, Patterson y Candès (2019) extienden el enfoque con la predicción</w:t>
      </w:r>
      <w:r>
        <w:t xml:space="preserve"> </w:t>
      </w:r>
      <w:r>
        <w:t xml:space="preserve">conforme cuantílica, que convierte la cobertura empírica en una garantía de cobertura en muestra</w:t>
      </w:r>
      <w:r>
        <w:t xml:space="preserve"> </w:t>
      </w:r>
      <w:r>
        <w:t xml:space="preserve">finita sin supuestos distribucionales.</w:t>
      </w:r>
    </w:p>
    <w:bookmarkEnd w:id="31"/>
    <w:bookmarkStart w:id="32" w:name="reconciliación-jerárquica"/>
    <w:p>
      <w:pPr>
        <w:pStyle w:val="Heading3"/>
      </w:pPr>
      <w:r>
        <w:t xml:space="preserve">4.4.3. Reconciliación jerárquica</w:t>
      </w:r>
    </w:p>
    <w:p>
      <w:pPr>
        <w:pStyle w:val="FirstParagraph"/>
      </w:pPr>
      <w:r>
        <w:t xml:space="preserve">El problema de obtener previsiones coherentes en una jerarquía de agregación tiene tres</w:t>
      </w:r>
      <w:r>
        <w:t xml:space="preserve"> </w:t>
      </w:r>
      <w:r>
        <w:t xml:space="preserve">soluciones clásicas —ascendente, descendente y por niveles— superadas por el enfoque de</w:t>
      </w:r>
      <w:r>
        <w:t xml:space="preserve"> </w:t>
      </w:r>
      <w:r>
        <w:t xml:space="preserve">combinación óptima de Hyndman, Ahmed, Athanasopoulos y Shang (2011) y su refinamiento posterior,</w:t>
      </w:r>
      <w:r>
        <w:t xml:space="preserve"> </w:t>
      </w:r>
      <w:r>
        <w:t xml:space="preserve">el método MinT de Wickramasuriya, Athanasopoulos y Hyndman (2019), que obtiene la reconciliación</w:t>
      </w:r>
      <w:r>
        <w:t xml:space="preserve"> </w:t>
      </w:r>
      <w:r>
        <w:t xml:space="preserve">minimizando la traza de la matriz de covarianzas del error de reconciliación. Este último es el</w:t>
      </w:r>
      <w:r>
        <w:t xml:space="preserve"> </w:t>
      </w:r>
      <w:r>
        <w:t xml:space="preserve">método empleado en §7.3.8, y su propiedad más valiosa para la organización no es la mejora del</w:t>
      </w:r>
      <w:r>
        <w:t xml:space="preserve"> </w:t>
      </w:r>
      <w:r>
        <w:t xml:space="preserve">error sino la garantía de coherencia entre niveles.</w:t>
      </w:r>
    </w:p>
    <w:bookmarkEnd w:id="32"/>
    <w:bookmarkStart w:id="33" w:name="teoría-de-inventarios"/>
    <w:p>
      <w:pPr>
        <w:pStyle w:val="Heading3"/>
      </w:pPr>
      <w:r>
        <w:t xml:space="preserve">4.4.4. Teoría de inventarios</w:t>
      </w:r>
    </w:p>
    <w:p>
      <w:pPr>
        <w:pStyle w:val="FirstParagraph"/>
      </w:pPr>
      <w:r>
        <w:t xml:space="preserve">El problema de determinar la cantidad óptima ante demanda incierta se remonta a la formulación</w:t>
      </w:r>
      <w:r>
        <w:t xml:space="preserve"> </w:t>
      </w:r>
      <w:r>
        <w:t xml:space="preserve">del vendedor de periódicos de Arrow, Harris y Marschak (1951), cuya solución —el cuantil de la</w:t>
      </w:r>
      <w:r>
        <w:t xml:space="preserve"> </w:t>
      </w:r>
      <w:r>
        <w:t xml:space="preserve">distribución de demanda determinado por el ratio crítico entre el coste de escasez y el coste</w:t>
      </w:r>
      <w:r>
        <w:t xml:space="preserve"> </w:t>
      </w:r>
      <w:r>
        <w:t xml:space="preserve">total— es el fundamento de la política desarrollada en §7.4. Los tratados de Silver, Pyke y</w:t>
      </w:r>
      <w:r>
        <w:t xml:space="preserve"> </w:t>
      </w:r>
      <w:r>
        <w:t xml:space="preserve">Thomas (2016) y Zipkin (2000) proporcionan las políticas de revisión periódica, el</w:t>
      </w:r>
      <w:r>
        <w:t xml:space="preserve"> </w:t>
      </w:r>
      <w:r>
        <w:t xml:space="preserve">dimensionamiento del stock de seguridad y la clasificación ABC/XYZ empleadas en este trabajo.</w:t>
      </w:r>
    </w:p>
    <w:p>
      <w:pPr>
        <w:pStyle w:val="BodyText"/>
      </w:pPr>
      <w:r>
        <w:t xml:space="preserve">La conexión entre este marco y el de la previsión probabilística —la equivalencia entre el coste</w:t>
      </w:r>
      <w:r>
        <w:t xml:space="preserve"> </w:t>
      </w:r>
      <w:r>
        <w:t xml:space="preserve">esperado del vendedor de periódicos y la pérdida pinball evaluada en el ratio crítico— es la que</w:t>
      </w:r>
      <w:r>
        <w:t xml:space="preserve"> </w:t>
      </w:r>
      <w:r>
        <w:t xml:space="preserve">articula los capítulos §7.3 y §7.4 de esta memoria y la que sostiene su principal aportación</w:t>
      </w:r>
      <w:r>
        <w:t xml:space="preserve"> </w:t>
      </w:r>
      <w:r>
        <w:t xml:space="preserve">metodológica.</w:t>
      </w:r>
    </w:p>
    <w:bookmarkEnd w:id="33"/>
    <w:bookmarkStart w:id="34" w:name="segmentación-y-datos-composicionales"/>
    <w:p>
      <w:pPr>
        <w:pStyle w:val="Heading3"/>
      </w:pPr>
      <w:r>
        <w:t xml:space="preserve">4.4.5. Segmentación y datos composicionales</w:t>
      </w:r>
    </w:p>
    <w:p>
      <w:pPr>
        <w:pStyle w:val="FirstParagraph"/>
      </w:pPr>
      <w:r>
        <w:t xml:space="preserve">La segmentación de productos y tiendas emplea métodos clásicos de agrupamiento cuya validación</w:t>
      </w:r>
      <w:r>
        <w:t xml:space="preserve"> </w:t>
      </w:r>
      <w:r>
        <w:t xml:space="preserve">se apoya en el coeficiente de silueta (Rousseeuw, 1987), el índice de Davies y Bouldin (1979) y</w:t>
      </w:r>
      <w:r>
        <w:t xml:space="preserve"> </w:t>
      </w:r>
      <w:r>
        <w:t xml:space="preserve">el de Caliński y Harabasz (1974), junto con el índice de Rand ajustado de Hubert y Arabie (1985)</w:t>
      </w:r>
      <w:r>
        <w:t xml:space="preserve"> </w:t>
      </w:r>
      <w:r>
        <w:t xml:space="preserve">para medir la concordancia entre particiones. La limitación metodológica reconocida en §7.2.1</w:t>
      </w:r>
      <w:r>
        <w:t xml:space="preserve"> </w:t>
      </w:r>
      <w:r>
        <w:t xml:space="preserve">—el tratamiento de perfiles normalizados como si vivieran en un espacio euclídeo— corresponde al</w:t>
      </w:r>
      <w:r>
        <w:t xml:space="preserve"> </w:t>
      </w:r>
      <w:r>
        <w:t xml:space="preserve">problema de los datos composicionales formulado por Aitchison (1982).</w:t>
      </w:r>
    </w:p>
    <w:bookmarkEnd w:id="34"/>
    <w:bookmarkStart w:id="35" w:name="identificación-del-efecto-del-precio"/>
    <w:p>
      <w:pPr>
        <w:pStyle w:val="Heading3"/>
      </w:pPr>
      <w:r>
        <w:t xml:space="preserve">4.4.6. Identificación del efecto del precio</w:t>
      </w:r>
    </w:p>
    <w:p>
      <w:pPr>
        <w:pStyle w:val="FirstParagraph"/>
      </w:pPr>
      <w:r>
        <w:t xml:space="preserve">La estimación de la elasticidad precio a partir de datos observacionales de escáner tiene una</w:t>
      </w:r>
      <w:r>
        <w:t xml:space="preserve"> </w:t>
      </w:r>
      <w:r>
        <w:t xml:space="preserve">literatura extensa y un problema central reconocido: la endogeneidad del precio, que los</w:t>
      </w:r>
      <w:r>
        <w:t xml:space="preserve"> </w:t>
      </w:r>
      <w:r>
        <w:t xml:space="preserve">comercios fijan en función de la demanda esperada. Berry, Levinsohn y Pakes (1995) establecen el</w:t>
      </w:r>
      <w:r>
        <w:t xml:space="preserve"> </w:t>
      </w:r>
      <w:r>
        <w:t xml:space="preserve">tratamiento canónico mediante variables instrumentales en modelos de demanda diferenciada;</w:t>
      </w:r>
      <w:r>
        <w:t xml:space="preserve"> </w:t>
      </w:r>
      <w:r>
        <w:t xml:space="preserve">Villas-Boas y Winer (1999) documentan la magnitud del sesgo cuando el problema se ignora; y</w:t>
      </w:r>
      <w:r>
        <w:t xml:space="preserve"> </w:t>
      </w:r>
      <w:r>
        <w:t xml:space="preserve">Bijmolt, van Heerde y Pieters (2005) sintetizan las generalizaciones empíricas disponibles sobre</w:t>
      </w:r>
      <w:r>
        <w:t xml:space="preserve"> </w:t>
      </w:r>
      <w:r>
        <w:t xml:space="preserve">la magnitud de las elasticidades en bienes de consumo.</w:t>
      </w:r>
    </w:p>
    <w:p>
      <w:pPr>
        <w:pStyle w:val="BodyText"/>
      </w:pPr>
      <w:r>
        <w:t xml:space="preserve">La estrategia de identificación empleada en §7.5 —modelo de panel con efectos fijos de serie y</w:t>
      </w:r>
      <w:r>
        <w:t xml:space="preserve"> </w:t>
      </w:r>
      <w:r>
        <w:t xml:space="preserve">de tiempo, estimado mediante proyecciones alternadas siguiendo a Guimarães y Portugal (2010) y</w:t>
      </w:r>
      <w:r>
        <w:t xml:space="preserve"> </w:t>
      </w:r>
      <w:r>
        <w:t xml:space="preserve">Correia (2017), que son la implementación práctica del teorema de Frisch y Waugh (1933) y Lovell</w:t>
      </w:r>
      <w:r>
        <w:t xml:space="preserve"> </w:t>
      </w:r>
      <w:r>
        <w:t xml:space="preserve">(1963)— y la prueba de falsación que la desmiente siguen el enfoque de diseño de investigación</w:t>
      </w:r>
      <w:r>
        <w:t xml:space="preserve"> </w:t>
      </w:r>
      <w:r>
        <w:t xml:space="preserve">descrito en Angrist y Pischke (2009).</w:t>
      </w:r>
    </w:p>
    <w:bookmarkEnd w:id="35"/>
    <w:bookmarkStart w:id="36" w:name="arquitectura-de-datos-analíticos"/>
    <w:p>
      <w:pPr>
        <w:pStyle w:val="Heading3"/>
      </w:pPr>
      <w:r>
        <w:t xml:space="preserve">4.4.7. Arquitectura de datos analíticos</w:t>
      </w:r>
    </w:p>
    <w:p>
      <w:pPr>
        <w:pStyle w:val="FirstParagraph"/>
      </w:pPr>
      <w:r>
        <w:t xml:space="preserve">El modelo dimensional en estrella empleado en la capa de consumo procede de Kimball y Ross</w:t>
      </w:r>
      <w:r>
        <w:t xml:space="preserve"> </w:t>
      </w:r>
      <w:r>
        <w:t xml:space="preserve">(2013). La organización en capas sucesivas de refinamiento —bronce, plata y oro— corresponde a</w:t>
      </w:r>
      <w:r>
        <w:t xml:space="preserve"> </w:t>
      </w:r>
      <w:r>
        <w:t xml:space="preserve">la arquitectura</w:t>
      </w:r>
      <w:r>
        <w:t xml:space="preserve"> </w:t>
      </w:r>
      <w:r>
        <w:rPr>
          <w:iCs/>
          <w:i/>
        </w:rPr>
        <w:t xml:space="preserve">lakehouse</w:t>
      </w:r>
      <w:r>
        <w:t xml:space="preserve"> </w:t>
      </w:r>
      <w:r>
        <w:t xml:space="preserve">descrita por Armbrust et al. (2021), que combina el almacenamiento</w:t>
      </w:r>
      <w:r>
        <w:t xml:space="preserve"> </w:t>
      </w:r>
      <w:r>
        <w:t xml:space="preserve">en formatos abiertos propio del lago de datos con las garantías transaccionales y el modelo</w:t>
      </w:r>
      <w:r>
        <w:t xml:space="preserve"> </w:t>
      </w:r>
      <w:r>
        <w:t xml:space="preserve">dimensional del almacén clásico. El motor empleado, DuckDB (Raasveldt y Mühleisen, 2019),</w:t>
      </w:r>
      <w:r>
        <w:t xml:space="preserve"> </w:t>
      </w:r>
      <w:r>
        <w:t xml:space="preserve">representa la categoría de bases de datos analíticas embebidas, adecuada para volúmenes que</w:t>
      </w:r>
      <w:r>
        <w:t xml:space="preserve"> </w:t>
      </w:r>
      <w:r>
        <w:t xml:space="preserve">resultan grandes para una biblioteca en memoria y pequeños para una infraestructura distribuida.</w:t>
      </w:r>
    </w:p>
    <w:bookmarkEnd w:id="36"/>
    <w:bookmarkEnd w:id="37"/>
    <w:bookmarkStart w:id="38" w:name="aportación-de-este-trabajo"/>
    <w:p>
      <w:pPr>
        <w:pStyle w:val="Heading2"/>
      </w:pPr>
      <w:r>
        <w:t xml:space="preserve">4.5. Aportación de este trabajo</w:t>
      </w:r>
    </w:p>
    <w:p>
      <w:pPr>
        <w:pStyle w:val="FirstParagraph"/>
      </w:pPr>
      <w:r>
        <w:t xml:space="preserve">El trabajo no propone un método nuevo. Su aportación es de otro tipo, y se concreta en tres</w:t>
      </w:r>
      <w:r>
        <w:t xml:space="preserve"> </w:t>
      </w:r>
      <w:r>
        <w:t xml:space="preserve">puntos.</w:t>
      </w:r>
    </w:p>
    <w:p>
      <w:pPr>
        <w:pStyle w:val="BodyText"/>
      </w:pPr>
      <w:r>
        <w:rPr>
          <w:bCs/>
          <w:b/>
        </w:rPr>
        <w:t xml:space="preserve">La cadena completa.</w:t>
      </w:r>
      <w:r>
        <w:t xml:space="preserve"> </w:t>
      </w:r>
      <w:r>
        <w:t xml:space="preserve">La mayoría de los trabajos de este ámbito se detienen en la métrica de</w:t>
      </w:r>
      <w:r>
        <w:t xml:space="preserve"> </w:t>
      </w:r>
      <w:r>
        <w:t xml:space="preserve">error. Este llega hasta la unidad pedida y expresa el resultado en dinero, lo que permite</w:t>
      </w:r>
      <w:r>
        <w:t xml:space="preserve"> </w:t>
      </w:r>
      <w:r>
        <w:t xml:space="preserve">observar que la ordenación de los modelos por error y por coste no coinciden.</w:t>
      </w:r>
    </w:p>
    <w:p>
      <w:pPr>
        <w:pStyle w:val="BodyText"/>
      </w:pPr>
      <w:r>
        <w:rPr>
          <w:bCs/>
          <w:b/>
        </w:rPr>
        <w:t xml:space="preserve">La formulación explícita del criterio de selección.</w:t>
      </w:r>
      <w:r>
        <w:t xml:space="preserve"> </w:t>
      </w:r>
      <w:r>
        <w:t xml:space="preserve">La equivalencia entre el coste del</w:t>
      </w:r>
      <w:r>
        <w:t xml:space="preserve"> </w:t>
      </w:r>
      <w:r>
        <w:t xml:space="preserve">vendedor de periódicos y la pérdida pinball en el ratio crítico está presente en ambas</w:t>
      </w:r>
      <w:r>
        <w:t xml:space="preserve"> </w:t>
      </w:r>
      <w:r>
        <w:t xml:space="preserve">literaturas por separado; su uso como criterio de selección de modelo, sustituyendo a una</w:t>
      </w:r>
      <w:r>
        <w:t xml:space="preserve"> </w:t>
      </w:r>
      <w:r>
        <w:t xml:space="preserve">métrica simétrica, es lo que este trabajo propone y documenta.</w:t>
      </w:r>
    </w:p>
    <w:p>
      <w:pPr>
        <w:pStyle w:val="BodyText"/>
      </w:pPr>
      <w:r>
        <w:rPr>
          <w:bCs/>
          <w:b/>
        </w:rPr>
        <w:t xml:space="preserve">El uso sistemático de pruebas de falsación.</w:t>
      </w:r>
      <w:r>
        <w:t xml:space="preserve"> </w:t>
      </w:r>
      <w:r>
        <w:t xml:space="preserve">Cada conclusión relevante se acompaña de la</w:t>
      </w:r>
      <w:r>
        <w:t xml:space="preserve"> </w:t>
      </w:r>
      <w:r>
        <w:t xml:space="preserve">prueba que la habría desmentido. En tres ocasiones la prueba desmintió efectivamente una</w:t>
      </w:r>
      <w:r>
        <w:t xml:space="preserve"> </w:t>
      </w:r>
      <w:r>
        <w:t xml:space="preserve">conclusión propia, y esos tres casos se documentan como resultado y no como incidencia.</w:t>
      </w:r>
      <w:r>
        <w:t xml:space="preserve"> </w:t>
      </w:r>
      <w:r>
        <w:t xml:space="preserve"># 5. Objetivos</w:t>
      </w:r>
    </w:p>
    <w:bookmarkEnd w:id="38"/>
    <w:bookmarkStart w:id="39" w:name="objetivo-general"/>
    <w:p>
      <w:pPr>
        <w:pStyle w:val="Heading2"/>
      </w:pPr>
      <w:r>
        <w:t xml:space="preserve">5.1. Objetivo general</w:t>
      </w:r>
    </w:p>
    <w:p>
      <w:pPr>
        <w:pStyle w:val="FirstParagraph"/>
      </w:pPr>
      <w:r>
        <w:t xml:space="preserve">Diseñar y validar un sistema analítico que convierta el histórico de ventas de DSMarket en una</w:t>
      </w:r>
      <w:r>
        <w:t xml:space="preserve"> </w:t>
      </w:r>
      <w:r>
        <w:t xml:space="preserve">decisión de reposición cuantificada por tienda y producto, evaluando cada etapa con criterios</w:t>
      </w:r>
      <w:r>
        <w:t xml:space="preserve"> </w:t>
      </w:r>
      <w:r>
        <w:t xml:space="preserve">que puedan reproducirse y, cuando corresponda, refutarse.</w:t>
      </w:r>
    </w:p>
    <w:p>
      <w:pPr>
        <w:pStyle w:val="BodyText"/>
      </w:pPr>
      <w:r>
        <w:t xml:space="preserve">La formulación es deliberadamente exigente en dos puntos. Primero, la decisión: el objetivo no</w:t>
      </w:r>
      <w:r>
        <w:t xml:space="preserve"> </w:t>
      </w:r>
      <w:r>
        <w:t xml:space="preserve">es predecir la demanda sino reponer, y una predicción que no se traduce en unidades pedidas no</w:t>
      </w:r>
      <w:r>
        <w:t xml:space="preserve"> </w:t>
      </w:r>
      <w:r>
        <w:t xml:space="preserve">cumple el encargo. Segundo, la refutabilidad: cada conclusión del trabajo se acompaña de la</w:t>
      </w:r>
      <w:r>
        <w:t xml:space="preserve"> </w:t>
      </w:r>
      <w:r>
        <w:t xml:space="preserve">prueba que la habría desmentido si fuera falsa.</w:t>
      </w:r>
    </w:p>
    <w:bookmarkEnd w:id="39"/>
    <w:bookmarkStart w:id="40" w:name="objetivos-específicos"/>
    <w:p>
      <w:pPr>
        <w:pStyle w:val="Heading2"/>
      </w:pPr>
      <w:r>
        <w:t xml:space="preserve">5.2. Objetivos específicos</w:t>
      </w:r>
    </w:p>
    <w:p>
      <w:pPr>
        <w:pStyle w:val="FirstParagraph"/>
      </w:pPr>
      <w:r>
        <w:rPr>
          <w:bCs/>
          <w:b/>
        </w:rPr>
        <w:t xml:space="preserve">OE1 — Caracterizar la estructura de la demanda.</w:t>
      </w:r>
      <w:r>
        <w:t xml:space="preserve"> </w:t>
      </w:r>
      <w:r>
        <w:t xml:space="preserve">Describir el comportamiento de las ventas en</w:t>
      </w:r>
      <w:r>
        <w:t xml:space="preserve"> </w:t>
      </w:r>
      <w:r>
        <w:t xml:space="preserve">las dimensiones temporal, geográfica y de catálogo, cuantificando la heterogeneidad entre</w:t>
      </w:r>
      <w:r>
        <w:t xml:space="preserve"> </w:t>
      </w:r>
      <w:r>
        <w:t xml:space="preserve">tiendas y ciudades y estableciendo qué eventos del calendario tienen efecto medible sobre la</w:t>
      </w:r>
      <w:r>
        <w:t xml:space="preserve"> </w:t>
      </w:r>
      <w:r>
        <w:t xml:space="preserve">demanda. Criterio de cumplimiento: disponer de un diagnóstico documentado de calidad de los</w:t>
      </w:r>
      <w:r>
        <w:t xml:space="preserve"> </w:t>
      </w:r>
      <w:r>
        <w:t xml:space="preserve">datos y de una lista de eventos con su efecto estimado, incluidos los que se descartan.</w:t>
      </w:r>
    </w:p>
    <w:p>
      <w:pPr>
        <w:pStyle w:val="BodyText"/>
      </w:pPr>
      <w:r>
        <w:rPr>
          <w:bCs/>
          <w:b/>
        </w:rPr>
        <w:t xml:space="preserve">OE2 — Segmentar el catálogo y la red de tiendas.</w:t>
      </w:r>
      <w:r>
        <w:t xml:space="preserve"> </w:t>
      </w:r>
      <w:r>
        <w:t xml:space="preserve">Obtener agrupaciones de productos y de</w:t>
      </w:r>
      <w:r>
        <w:t xml:space="preserve"> </w:t>
      </w:r>
      <w:r>
        <w:t xml:space="preserve">tiendas basadas en el perfil de demanda, con una elección de número de grupos justificada por</w:t>
      </w:r>
      <w:r>
        <w:t xml:space="preserve"> </w:t>
      </w:r>
      <w:r>
        <w:t xml:space="preserve">métricas internas y con una comprobación de estabilidad. Criterio de cumplimiento: que la</w:t>
      </w:r>
      <w:r>
        <w:t xml:space="preserve"> </w:t>
      </w:r>
      <w:r>
        <w:t xml:space="preserve">partición resista una validación</w:t>
      </w:r>
      <w:r>
        <w:t xml:space="preserve"> </w:t>
      </w:r>
      <w:r>
        <w:rPr>
          <w:iCs/>
          <w:i/>
        </w:rPr>
        <w:t xml:space="preserve">leave-one-out</w:t>
      </w:r>
      <w:r>
        <w:t xml:space="preserve"> </w:t>
      </w:r>
      <w:r>
        <w:t xml:space="preserve">y que los grupos admitan una interpretación de</w:t>
      </w:r>
      <w:r>
        <w:t xml:space="preserve"> </w:t>
      </w:r>
      <w:r>
        <w:t xml:space="preserve">negocio, no solamente una separación estadística.</w:t>
      </w:r>
    </w:p>
    <w:p>
      <w:pPr>
        <w:pStyle w:val="BodyText"/>
      </w:pPr>
      <w:r>
        <w:rPr>
          <w:bCs/>
          <w:b/>
        </w:rPr>
        <w:t xml:space="preserve">OE3 — Predecir la demanda a veintiocho días.</w:t>
      </w:r>
      <w:r>
        <w:t xml:space="preserve"> </w:t>
      </w:r>
      <w:r>
        <w:t xml:space="preserve">Comparar, bajo un mismo protocolo de validación</w:t>
      </w:r>
      <w:r>
        <w:t xml:space="preserve"> </w:t>
      </w:r>
      <w:r>
        <w:t xml:space="preserve">temporal, familias de modelos de distinta naturaleza —estadísticos clásicos, descomposición</w:t>
      </w:r>
      <w:r>
        <w:t xml:space="preserve"> </w:t>
      </w:r>
      <w:r>
        <w:t xml:space="preserve">aditiva y aprendizaje automático global— y cuantificar la mejora frente a una referencia</w:t>
      </w:r>
      <w:r>
        <w:t xml:space="preserve"> </w:t>
      </w:r>
      <w:r>
        <w:t xml:space="preserve">ingenua. Criterio de cumplimiento: una comparación con validación</w:t>
      </w:r>
      <w:r>
        <w:t xml:space="preserve"> </w:t>
      </w:r>
      <w:r>
        <w:rPr>
          <w:iCs/>
          <w:i/>
        </w:rPr>
        <w:t xml:space="preserve">walk-forward</w:t>
      </w:r>
      <w:r>
        <w:t xml:space="preserve"> </w:t>
      </w:r>
      <w:r>
        <w:t xml:space="preserve">de tres</w:t>
      </w:r>
      <w:r>
        <w:t xml:space="preserve"> </w:t>
      </w:r>
      <w:r>
        <w:t xml:space="preserve">pliegues y una métrica de error escalada que permita agregar entre series de escalas distintas.</w:t>
      </w:r>
    </w:p>
    <w:p>
      <w:pPr>
        <w:pStyle w:val="BodyText"/>
      </w:pPr>
      <w:r>
        <w:rPr>
          <w:bCs/>
          <w:b/>
        </w:rPr>
        <w:t xml:space="preserve">OE4 — Responder si los agregados pueden obtenerse sumando.</w:t>
      </w:r>
      <w:r>
        <w:t xml:space="preserve"> </w:t>
      </w:r>
      <w:r>
        <w:t xml:space="preserve">Determinar si la previsión de los</w:t>
      </w:r>
      <w:r>
        <w:t xml:space="preserve"> </w:t>
      </w:r>
      <w:r>
        <w:t xml:space="preserve">niveles superiores de la jerarquía (tienda, ciudad, categoría, total) debe calcularse sumando</w:t>
      </w:r>
      <w:r>
        <w:t xml:space="preserve"> </w:t>
      </w:r>
      <w:r>
        <w:t xml:space="preserve">las previsiones individuales, modelando cada nivel por separado o reconciliando ambas.</w:t>
      </w:r>
      <w:r>
        <w:t xml:space="preserve"> </w:t>
      </w:r>
      <w:r>
        <w:t xml:space="preserve">Criterio de cumplimiento: una comparación empírica en los seis niveles de la jerarquía y una</w:t>
      </w:r>
      <w:r>
        <w:t xml:space="preserve"> </w:t>
      </w:r>
      <w:r>
        <w:t xml:space="preserve">garantía de coherencia entre niveles.</w:t>
      </w:r>
    </w:p>
    <w:p>
      <w:pPr>
        <w:pStyle w:val="BodyText"/>
      </w:pPr>
      <w:r>
        <w:rPr>
          <w:bCs/>
          <w:b/>
        </w:rPr>
        <w:t xml:space="preserve">OE5 — Convertir la predicción en una política de reposición.</w:t>
      </w:r>
      <w:r>
        <w:t xml:space="preserve"> </w:t>
      </w:r>
      <w:r>
        <w:t xml:space="preserve">Formular una política de</w:t>
      </w:r>
      <w:r>
        <w:t xml:space="preserve"> </w:t>
      </w:r>
      <w:r>
        <w:t xml:space="preserve">inventario derivada de la teoría del</w:t>
      </w:r>
      <w:r>
        <w:t xml:space="preserve"> </w:t>
      </w:r>
      <w:r>
        <w:rPr>
          <w:iCs/>
          <w:i/>
        </w:rPr>
        <w:t xml:space="preserve">newsvendor</w:t>
      </w:r>
      <w:r>
        <w:t xml:space="preserve">, simularla sobre las 30.490 series con la</w:t>
      </w:r>
      <w:r>
        <w:t xml:space="preserve"> </w:t>
      </w:r>
      <w:r>
        <w:t xml:space="preserve">demanda real observada y expresar su resultado en unidades monetarias. Criterio de</w:t>
      </w:r>
      <w:r>
        <w:t xml:space="preserve"> </w:t>
      </w:r>
      <w:r>
        <w:t xml:space="preserve">cumplimiento: una curva de coste frente a nivel de servicio y una recomendación de nivel</w:t>
      </w:r>
      <w:r>
        <w:t xml:space="preserve"> </w:t>
      </w:r>
      <w:r>
        <w:t xml:space="preserve">objetivo por segmento con su justificación económica.</w:t>
      </w:r>
    </w:p>
    <w:p>
      <w:pPr>
        <w:pStyle w:val="BodyText"/>
      </w:pPr>
      <w:r>
        <w:rPr>
          <w:bCs/>
          <w:b/>
        </w:rPr>
        <w:t xml:space="preserve">OE6 — Evaluar si el precio admite una interpretación causal.</w:t>
      </w:r>
      <w:r>
        <w:t xml:space="preserve"> </w:t>
      </w:r>
      <w:r>
        <w:t xml:space="preserve">Estimar la elasticidad precio de</w:t>
      </w:r>
      <w:r>
        <w:t xml:space="preserve"> </w:t>
      </w:r>
      <w:r>
        <w:t xml:space="preserve">la demanda con la especificación habitual en la literatura de paneles y someterla a una prueba</w:t>
      </w:r>
      <w:r>
        <w:t xml:space="preserve"> </w:t>
      </w:r>
      <w:r>
        <w:t xml:space="preserve">de falsación. Criterio de cumplimiento: o bien una estimación que supere la prueba, o bien la</w:t>
      </w:r>
      <w:r>
        <w:t xml:space="preserve"> </w:t>
      </w:r>
      <w:r>
        <w:t xml:space="preserve">demostración de que estos datos no permiten identificar el efecto, acompañada del diseño</w:t>
      </w:r>
      <w:r>
        <w:t xml:space="preserve"> </w:t>
      </w:r>
      <w:r>
        <w:t xml:space="preserve">experimental que sí lo permitiría.</w:t>
      </w:r>
    </w:p>
    <w:p>
      <w:pPr>
        <w:pStyle w:val="BodyText"/>
      </w:pPr>
      <w:r>
        <w:rPr>
          <w:bCs/>
          <w:b/>
        </w:rPr>
        <w:t xml:space="preserve">OE7 — Sostener el sistema en el tiempo.</w:t>
      </w:r>
      <w:r>
        <w:t xml:space="preserve"> </w:t>
      </w:r>
      <w:r>
        <w:t xml:space="preserve">Sustituir la lectura de ficheros sueltos por un</w:t>
      </w:r>
      <w:r>
        <w:t xml:space="preserve"> </w:t>
      </w:r>
      <w:r>
        <w:t xml:space="preserve">almacén analítico con una única fuente de verdad, del que se alimenten por igual la</w:t>
      </w:r>
      <w:r>
        <w:t xml:space="preserve"> </w:t>
      </w:r>
      <w:r>
        <w:t xml:space="preserve">explotación analítica, el servicio de reposición y el cuadro de mando. Criterio de</w:t>
      </w:r>
      <w:r>
        <w:t xml:space="preserve"> </w:t>
      </w:r>
      <w:r>
        <w:t xml:space="preserve">cumplimiento: reconstrucción íntegra del almacén desde los ficheros de origen mediante un solo</w:t>
      </w:r>
      <w:r>
        <w:t xml:space="preserve"> </w:t>
      </w:r>
      <w:r>
        <w:t xml:space="preserve">comando, y coincidencia verificable de cifras entre los tres consumidores.</w:t>
      </w:r>
    </w:p>
    <w:bookmarkEnd w:id="40"/>
    <w:bookmarkStart w:id="41" w:name="correspondencia-con-el-encargo"/>
    <w:p>
      <w:pPr>
        <w:pStyle w:val="Heading2"/>
      </w:pPr>
      <w:r>
        <w:t xml:space="preserve">5.3. Correspondencia con el encargo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Petición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Capítulo de resultados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«Mirá en profundidad cómo se está vendiendo»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«Agrupá productos que se comporten parecido»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Predicción de ventas a cuatro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«¿Sigue siendo válido sumar las predicciones?»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Cantidad a reponer por tienda y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Explotar las diferencias de 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Migración de fuentes y procesos a la nube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§7.6</w:t>
            </w:r>
          </w:p>
        </w:tc>
      </w:tr>
    </w:tbl>
    <w:bookmarkEnd w:id="41"/>
    <w:bookmarkEnd w:id="42"/>
    <w:bookmarkStart w:id="130" w:name="metodología"/>
    <w:p>
      <w:pPr>
        <w:pStyle w:val="Heading1"/>
      </w:pPr>
      <w:r>
        <w:t xml:space="preserve">6. Metodología</w:t>
      </w:r>
    </w:p>
    <w:p>
      <w:pPr>
        <w:pStyle w:val="FirstParagraph"/>
      </w:pPr>
      <w:r>
        <w:t xml:space="preserve">Esta sección reúne una sola vez el aparato común a todos los capítulos de resultados: de dónde</w:t>
      </w:r>
      <w:r>
        <w:t xml:space="preserve"> </w:t>
      </w:r>
      <w:r>
        <w:t xml:space="preserve">salen los datos, qué se hizo con ellos antes de analizarlos, sobre qué infraestructura se</w:t>
      </w:r>
      <w:r>
        <w:t xml:space="preserve"> </w:t>
      </w:r>
      <w:r>
        <w:t xml:space="preserve">apoyó el trabajo, cómo se validó cada modelo y con qué métricas se juzgó. Los capítulos de la</w:t>
      </w:r>
      <w:r>
        <w:t xml:space="preserve"> </w:t>
      </w:r>
      <w:r>
        <w:t xml:space="preserve">sección 7 remiten aquí en lugar de repetir el método.</w:t>
      </w:r>
    </w:p>
    <w:bookmarkStart w:id="44" w:name="origen-y-descripción-de-los-datos"/>
    <w:p>
      <w:pPr>
        <w:pStyle w:val="Heading2"/>
      </w:pPr>
      <w:r>
        <w:t xml:space="preserve">6.1. Origen y descripción de los datos</w:t>
      </w:r>
    </w:p>
    <w:p>
      <w:pPr>
        <w:pStyle w:val="FirstParagraph"/>
      </w:pPr>
      <w:r>
        <w:t xml:space="preserve">El material de partida son tres ficheros planos que suman 490,9 MB.</w:t>
      </w:r>
    </w:p>
    <w:p>
      <w:pPr>
        <w:pStyle w:val="BodyText"/>
      </w:pPr>
      <w:r>
        <w:rPr>
          <w:rStyle w:val="VerbatimChar"/>
          <w:bCs/>
          <w:b/>
        </w:rPr>
        <w:t xml:space="preserve">item_sales.csv</w:t>
      </w:r>
      <w:r>
        <w:t xml:space="preserve"> </w:t>
      </w:r>
      <w:r>
        <w:t xml:space="preserve">contiene las unidades vendidas en formato ancho: una fila por combinación de</w:t>
      </w:r>
      <w:r>
        <w:t xml:space="preserve"> </w:t>
      </w:r>
      <w:r>
        <w:t xml:space="preserve">producto y tienda, y 1.913 columnas</w:t>
      </w:r>
      <w:r>
        <w:t xml:space="preserve"> </w:t>
      </w:r>
      <w:r>
        <w:rPr>
          <w:rStyle w:val="VerbatimChar"/>
        </w:rPr>
        <w:t xml:space="preserve">d_1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d_1913</w:t>
      </w:r>
      <w:r>
        <w:t xml:space="preserve">, una por día. Incorpora además los</w:t>
      </w:r>
      <w:r>
        <w:t xml:space="preserve"> </w:t>
      </w:r>
      <w:r>
        <w:t xml:space="preserve">atributos de la referencia (identificador, departamento, categoría) y de la tienda</w:t>
      </w:r>
      <w:r>
        <w:t xml:space="preserve"> </w:t>
      </w:r>
      <w:r>
        <w:t xml:space="preserve">(identificador, nombre, ciudad). Las 30.490 filas resultan del producto de 3.049 referencias</w:t>
      </w:r>
      <w:r>
        <w:t xml:space="preserve"> </w:t>
      </w:r>
      <w:r>
        <w:t xml:space="preserve">por 10 tiendas: el panel está completo, todas las referencias existen en todas las tiendas.</w:t>
      </w:r>
    </w:p>
    <w:p>
      <w:pPr>
        <w:pStyle w:val="BodyText"/>
      </w:pPr>
      <w:r>
        <w:rPr>
          <w:rStyle w:val="VerbatimChar"/>
          <w:bCs/>
          <w:b/>
        </w:rPr>
        <w:t xml:space="preserve">item_prices.csv</w:t>
      </w:r>
      <w:r>
        <w:t xml:space="preserve"> </w:t>
      </w:r>
      <w:r>
        <w:t xml:space="preserve">recoge el precio de venta con granularidad semanal por producto y tienda,</w:t>
      </w:r>
      <w:r>
        <w:t xml:space="preserve"> </w:t>
      </w:r>
      <w:r>
        <w:t xml:space="preserve">identificando la semana mediante un código</w:t>
      </w:r>
      <w:r>
        <w:t xml:space="preserve"> </w:t>
      </w:r>
      <w:r>
        <w:rPr>
          <w:rStyle w:val="VerbatimChar"/>
        </w:rPr>
        <w:t xml:space="preserve">wm_yr_wk</w:t>
      </w:r>
      <w:r>
        <w:t xml:space="preserve">. Es, con 370 MB, el fichero más grande</w:t>
      </w:r>
      <w:r>
        <w:t xml:space="preserve"> </w:t>
      </w:r>
      <w:r>
        <w:t xml:space="preserve">del conjunto pese a ser el de menor cardinalidad conceptual.</w:t>
      </w:r>
    </w:p>
    <w:p>
      <w:pPr>
        <w:pStyle w:val="BodyText"/>
      </w:pPr>
      <w:r>
        <w:rPr>
          <w:rStyle w:val="VerbatimChar"/>
          <w:bCs/>
          <w:b/>
        </w:rPr>
        <w:t xml:space="preserve">daily_calendar_with_events.csv</w:t>
      </w:r>
      <w:r>
        <w:t xml:space="preserve"> </w:t>
      </w:r>
      <w:r>
        <w:t xml:space="preserve">hace de tabla puente entre ambos: asocia cada día</w:t>
      </w:r>
      <w:r>
        <w:t xml:space="preserve"> </w:t>
      </w:r>
      <w:r>
        <w:rPr>
          <w:rStyle w:val="VerbatimChar"/>
        </w:rPr>
        <w:t xml:space="preserve">d_n</w:t>
      </w:r>
      <w:r>
        <w:t xml:space="preserve"> </w:t>
      </w:r>
      <w:r>
        <w:t xml:space="preserve">con</w:t>
      </w:r>
      <w:r>
        <w:t xml:space="preserve"> </w:t>
      </w:r>
      <w:r>
        <w:t xml:space="preserve">su fecha natural y su código de semana, y añade el nombre y el tipo del evento cuando lo hay.</w:t>
      </w:r>
    </w:p>
    <w:p>
      <w:pPr>
        <w:pStyle w:val="BodyText"/>
      </w:pPr>
      <w:r>
        <w:t xml:space="preserve">El período cubierto va del 29 de enero de 2011 al 24 de abril de 2016: 1.913 días, cinco años y</w:t>
      </w:r>
      <w:r>
        <w:t xml:space="preserve"> </w:t>
      </w:r>
      <w:r>
        <w:t xml:space="preserve">casi tres meses. Desplegado a formato largo, el histórico de ventas asciende a</w:t>
      </w:r>
      <w:r>
        <w:t xml:space="preserve"> </w:t>
      </w:r>
      <w:r>
        <w:rPr>
          <w:bCs/>
          <w:b/>
        </w:rPr>
        <w:t xml:space="preserve">58.327.370</w:t>
      </w:r>
      <w:r>
        <w:rPr>
          <w:bCs/>
          <w:b/>
        </w:rPr>
        <w:t xml:space="preserve"> </w:t>
      </w:r>
      <w:r>
        <w:rPr>
          <w:bCs/>
          <w:b/>
        </w:rPr>
        <w:t xml:space="preserve">observaciones diarias</w:t>
      </w:r>
      <w:r>
        <w:t xml:space="preserve"> </w:t>
      </w:r>
      <w:r>
        <w:t xml:space="preserve">de producto, tienda y día.</w:t>
      </w:r>
    </w:p>
    <w:bookmarkStart w:id="43" w:name="la-unidad-de-análisis"/>
    <w:p>
      <w:pPr>
        <w:pStyle w:val="Heading3"/>
      </w:pPr>
      <w:r>
        <w:t xml:space="preserve">6.1.1. La unidad de análisis</w:t>
      </w:r>
    </w:p>
    <w:p>
      <w:pPr>
        <w:pStyle w:val="FirstParagraph"/>
      </w:pPr>
      <w:r>
        <w:t xml:space="preserve">El trabajo emplea de forma sistemática la</w:t>
      </w:r>
      <w:r>
        <w:t xml:space="preserve"> </w:t>
      </w:r>
      <w:r>
        <w:rPr>
          <w:bCs/>
          <w:b/>
        </w:rPr>
        <w:t xml:space="preserve">serie producto-tienda</w:t>
      </w:r>
      <w:r>
        <w:t xml:space="preserve"> </w:t>
      </w:r>
      <w:r>
        <w:t xml:space="preserve">como unidad elemental: la</w:t>
      </w:r>
      <w:r>
        <w:t xml:space="preserve"> </w:t>
      </w:r>
      <w:r>
        <w:t xml:space="preserve">misma referencia en dos establecimientos distintos es, a todos los efectos, dos series</w:t>
      </w:r>
      <w:r>
        <w:t xml:space="preserve"> </w:t>
      </w:r>
      <w:r>
        <w:t xml:space="preserve">independientes. Hay 30.490. Esta elección no es neutral —implica renunciar a modelar la</w:t>
      </w:r>
      <w:r>
        <w:t xml:space="preserve"> </w:t>
      </w:r>
      <w:r>
        <w:t xml:space="preserve">sustitución entre tiendas cercanas— pero se corresponde con la unidad sobre la que se toma la</w:t>
      </w:r>
      <w:r>
        <w:t xml:space="preserve"> </w:t>
      </w:r>
      <w:r>
        <w:t xml:space="preserve">decisión de reposición, que es el destino final del análisis.</w:t>
      </w:r>
    </w:p>
    <w:bookmarkEnd w:id="43"/>
    <w:bookmarkEnd w:id="44"/>
    <w:bookmarkStart w:id="50" w:name="Xb3c46f3f79282c0cd28b6d7383aadeb57a56278"/>
    <w:p>
      <w:pPr>
        <w:pStyle w:val="Heading2"/>
      </w:pPr>
      <w:r>
        <w:t xml:space="preserve">6.2. Calidad de los datos y decisiones de tratamiento</w:t>
      </w:r>
    </w:p>
    <w:bookmarkStart w:id="45" w:name="el-desfase-entre-precios-y-ventas"/>
    <w:p>
      <w:pPr>
        <w:pStyle w:val="Heading3"/>
      </w:pPr>
      <w:r>
        <w:t xml:space="preserve">6.2.1. El desfase entre precios y ventas</w:t>
      </w:r>
    </w:p>
    <w:p>
      <w:pPr>
        <w:pStyle w:val="FirstParagraph"/>
      </w:pPr>
      <w:r>
        <w:t xml:space="preserve">La comprobación de integridad más relevante del trabajo surgió al cruzar los dos ficheros</w:t>
      </w:r>
      <w:r>
        <w:t xml:space="preserve"> </w:t>
      </w:r>
      <w:r>
        <w:t xml:space="preserve">principales. El histórico de precios</w:t>
      </w:r>
      <w:r>
        <w:t xml:space="preserve"> </w:t>
      </w:r>
      <w:r>
        <w:rPr>
          <w:bCs/>
          <w:b/>
        </w:rPr>
        <w:t xml:space="preserve">comienza cinco semanas antes que el de ventas</w:t>
      </w:r>
      <w:r>
        <w:t xml:space="preserve">. Una</w:t>
      </w:r>
      <w:r>
        <w:t xml:space="preserve"> </w:t>
      </w:r>
      <w:r>
        <w:t xml:space="preserve">lectura ingenua del cruce interpretaría esas semanas como períodos con precio y sin demanda, es</w:t>
      </w:r>
      <w:r>
        <w:t xml:space="preserve"> </w:t>
      </w:r>
      <w:r>
        <w:t xml:space="preserve">decir, como ceros de venta, e introduciría un sesgo a la baja en todas las medias y en todos los</w:t>
      </w:r>
      <w:r>
        <w:t xml:space="preserve"> </w:t>
      </w:r>
      <w:r>
        <w:t xml:space="preserve">modelos entrenados sobre ellas.</w:t>
      </w:r>
    </w:p>
    <w:p>
      <w:pPr>
        <w:pStyle w:val="BodyText"/>
      </w:pPr>
      <w:r>
        <w:t xml:space="preserve">La hipótesis se contrastó de forma directa: se contaron las unidades vendidas en las</w:t>
      </w:r>
      <w:r>
        <w:t xml:space="preserve"> </w:t>
      </w:r>
      <w:r>
        <w:t xml:space="preserve">combinaciones producto-tienda-semana</w:t>
      </w:r>
      <w:r>
        <w:t xml:space="preserve"> </w:t>
      </w:r>
      <w:r>
        <w:rPr>
          <w:bCs/>
          <w:b/>
        </w:rPr>
        <w:t xml:space="preserve">sin</w:t>
      </w:r>
      <w:r>
        <w:t xml:space="preserve"> </w:t>
      </w:r>
      <w:r>
        <w:t xml:space="preserve">precio registrado y en las que</w:t>
      </w:r>
      <w:r>
        <w:t xml:space="preserve"> </w:t>
      </w:r>
      <w:r>
        <w:rPr>
          <w:bCs/>
          <w:b/>
        </w:rPr>
        <w:t xml:space="preserve">sí</w:t>
      </w:r>
      <w:r>
        <w:t xml:space="preserve"> </w:t>
      </w:r>
      <w:r>
        <w:t xml:space="preserve">lo tenían. El</w:t>
      </w:r>
      <w:r>
        <w:t xml:space="preserve"> </w:t>
      </w:r>
      <w:r>
        <w:t xml:space="preserve">resultado fue</w:t>
      </w:r>
      <w:r>
        <w:t xml:space="preserve"> </w:t>
      </w:r>
      <w:r>
        <w:rPr>
          <w:bCs/>
          <w:b/>
        </w:rPr>
        <w:t xml:space="preserve">0 unidades frente a 164.349</w:t>
      </w:r>
      <w:r>
        <w:t xml:space="preserve">. La ausencia de precio no señala una semana sin</w:t>
      </w:r>
      <w:r>
        <w:t xml:space="preserve"> </w:t>
      </w:r>
      <w:r>
        <w:t xml:space="preserve">ventas: señala una semana anterior al inicio del registro de ventas. La regla que se derivó —el</w:t>
      </w:r>
      <w:r>
        <w:t xml:space="preserve"> </w:t>
      </w:r>
      <w:r>
        <w:t xml:space="preserve">histórico de una serie empieza el día de su primer precio, no antes— quedó codificada en la</w:t>
      </w:r>
      <w:r>
        <w:t xml:space="preserve"> </w:t>
      </w:r>
      <w:r>
        <w:t xml:space="preserve">capa intermedia del almacén y se acompaña de una comprobación automática que vuelve a</w:t>
      </w:r>
      <w:r>
        <w:t xml:space="preserve"> </w:t>
      </w:r>
      <w:r>
        <w:t xml:space="preserve">ejecutarse en cada reconstrucción.</w:t>
      </w:r>
    </w:p>
    <w:bookmarkEnd w:id="45"/>
    <w:bookmarkStart w:id="46" w:name="los-ceros"/>
    <w:p>
      <w:pPr>
        <w:pStyle w:val="Heading3"/>
      </w:pPr>
      <w:r>
        <w:t xml:space="preserve">6.2.2. Los ceros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60,1%</w:t>
      </w:r>
      <w:r>
        <w:t xml:space="preserve"> </w:t>
      </w:r>
      <w:r>
        <w:t xml:space="preserve">de las observaciones diarias válidas es cero —27,7 millones de los 46,1 millones de</w:t>
      </w:r>
      <w:r>
        <w:t xml:space="preserve"> </w:t>
      </w:r>
      <w:r>
        <w:t xml:space="preserve">días con precio registrado—, y esa fracción no es un defecto del registro sino la característica</w:t>
      </w:r>
      <w:r>
        <w:t xml:space="preserve"> </w:t>
      </w:r>
      <w:r>
        <w:t xml:space="preserve">dominante del problema. La demanda de una referencia de cola</w:t>
      </w:r>
      <w:r>
        <w:t xml:space="preserve"> </w:t>
      </w:r>
      <w:r>
        <w:t xml:space="preserve">larga en una tienda concreta es</w:t>
      </w:r>
      <w:r>
        <w:t xml:space="preserve"> </w:t>
      </w:r>
      <w:r>
        <w:rPr>
          <w:bCs/>
          <w:b/>
        </w:rPr>
        <w:t xml:space="preserve">intermitente</w:t>
      </w:r>
      <w:r>
        <w:t xml:space="preserve">: días sin ninguna venta separados por días con</w:t>
      </w:r>
      <w:r>
        <w:t xml:space="preserve"> </w:t>
      </w:r>
      <w:r>
        <w:t xml:space="preserve">una o dos unidades. Esto tiene tres consecuencias metodológicas que recorren todo el trabajo.</w:t>
      </w:r>
    </w:p>
    <w:p>
      <w:pPr>
        <w:pStyle w:val="BodyText"/>
      </w:pPr>
      <w:r>
        <w:t xml:space="preserve">Primera, las métricas de error relativo —el MAPE en particular— no son aplicables a nivel de</w:t>
      </w:r>
      <w:r>
        <w:t xml:space="preserve"> </w:t>
      </w:r>
      <w:r>
        <w:t xml:space="preserve">serie, porque el denominador se anula. Se emplean por ello métricas escaladas (§6.6).</w:t>
      </w:r>
    </w:p>
    <w:p>
      <w:pPr>
        <w:pStyle w:val="BodyText"/>
      </w:pPr>
      <w:r>
        <w:t xml:space="preserve">Segunda, la distribución de la variable objetivo no es aproximadamente normal ni siquiera</w:t>
      </w:r>
      <w:r>
        <w:t xml:space="preserve"> </w:t>
      </w:r>
      <w:r>
        <w:t xml:space="preserve">simétrica: es una distribución con masa en cero y cola positiva. Los modelos de aprendizaje</w:t>
      </w:r>
      <w:r>
        <w:t xml:space="preserve"> </w:t>
      </w:r>
      <w:r>
        <w:t xml:space="preserve">automático se entrenaron con una función de pérdida coherente con esa forma (§6.4.3).</w:t>
      </w:r>
    </w:p>
    <w:p>
      <w:pPr>
        <w:pStyle w:val="BodyText"/>
      </w:pPr>
      <w:r>
        <w:t xml:space="preserve">Tercera, la segmentación del catálogo por predictibilidad —la dimensión XYZ del análisis</w:t>
      </w:r>
      <w:r>
        <w:t xml:space="preserve"> </w:t>
      </w:r>
      <w:r>
        <w:t xml:space="preserve">ABC/XYZ— deja de ser un adorno de gestión y se convierte en una variable de diseño: la política</w:t>
      </w:r>
      <w:r>
        <w:t xml:space="preserve"> </w:t>
      </w:r>
      <w:r>
        <w:t xml:space="preserve">de reposición aplica métodos distintos según la clase.</w:t>
      </w:r>
    </w:p>
    <w:bookmarkEnd w:id="46"/>
    <w:bookmarkStart w:id="47" w:name="eventos-del-calendario"/>
    <w:p>
      <w:pPr>
        <w:pStyle w:val="Heading3"/>
      </w:pPr>
      <w:r>
        <w:t xml:space="preserve">6.2.3. Eventos del calendario</w:t>
      </w:r>
    </w:p>
    <w:p>
      <w:pPr>
        <w:pStyle w:val="FirstParagraph"/>
      </w:pPr>
      <w:r>
        <w:t xml:space="preserve">El fichero de calendario etiqueta días con eventos de cuatro tipos (deportivos, culturales,</w:t>
      </w:r>
      <w:r>
        <w:t xml:space="preserve"> </w:t>
      </w:r>
      <w:r>
        <w:t xml:space="preserve">nacionales y religiosos). Para cada evento se calculó un coeficiente de elevación —el cociente</w:t>
      </w:r>
      <w:r>
        <w:t xml:space="preserve"> </w:t>
      </w:r>
      <w:r>
        <w:t xml:space="preserve">entre la venta media de los días con ese evento y la venta media general, controlando por día de</w:t>
      </w:r>
      <w:r>
        <w:t xml:space="preserve"> </w:t>
      </w:r>
      <w:r>
        <w:t xml:space="preserve">la semana— y se retuvieron únicamente aquellos con efecto consistente y de magnitud apreciable.</w:t>
      </w:r>
    </w:p>
    <w:p>
      <w:pPr>
        <w:pStyle w:val="BodyText"/>
      </w:pPr>
      <w:r>
        <w:t xml:space="preserve">Tres eventos superaron el criterio con elevaciones de entre el 15% y el 22%:</w:t>
      </w:r>
      <w:r>
        <w:t xml:space="preserve"> </w:t>
      </w:r>
      <w:r>
        <w:rPr>
          <w:bCs/>
          <w:b/>
        </w:rPr>
        <w:t xml:space="preserve">Labor Day</w:t>
      </w:r>
      <w:r>
        <w:t xml:space="preserve">,</w:t>
      </w:r>
      <w:r>
        <w:t xml:space="preserve"> </w:t>
      </w:r>
      <w:r>
        <w:rPr>
          <w:bCs/>
          <w:b/>
        </w:rPr>
        <w:t xml:space="preserve">SuperBowl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Easter</w:t>
      </w:r>
      <w:r>
        <w:t xml:space="preserve">. Un cuarto candidato, incorporado inicialmente por expectativa</w:t>
      </w:r>
      <w:r>
        <w:t xml:space="preserve"> </w:t>
      </w:r>
      <w:r>
        <w:t xml:space="preserve">comercial más que por evidencia, fue</w:t>
      </w:r>
      <w:r>
        <w:t xml:space="preserve"> </w:t>
      </w:r>
      <w:r>
        <w:rPr>
          <w:bCs/>
          <w:b/>
        </w:rPr>
        <w:t xml:space="preserve">Black Friday</w:t>
      </w:r>
      <w:r>
        <w:t xml:space="preserve">; el examen del histórico no mostró pico</w:t>
      </w:r>
      <w:r>
        <w:t xml:space="preserve"> </w:t>
      </w:r>
      <w:r>
        <w:t xml:space="preserve">alguno atribuible a esa fecha y se retiró del conjunto de eventos relevantes. La decisión se</w:t>
      </w:r>
      <w:r>
        <w:t xml:space="preserve"> </w:t>
      </w:r>
      <w:r>
        <w:t xml:space="preserve">documenta en §7.1 porque ilustra un criterio que el trabajo aplica de forma general: un hallazgo</w:t>
      </w:r>
      <w:r>
        <w:t xml:space="preserve"> </w:t>
      </w:r>
      <w:r>
        <w:t xml:space="preserve">que resulta atractivo para la narrativa comercial pero que el dato no sostiene no entra en el</w:t>
      </w:r>
      <w:r>
        <w:t xml:space="preserve"> </w:t>
      </w:r>
      <w:r>
        <w:t xml:space="preserve">informe.</w:t>
      </w:r>
    </w:p>
    <w:bookmarkEnd w:id="47"/>
    <w:bookmarkStart w:id="48" w:name="demanda-censurada"/>
    <w:p>
      <w:pPr>
        <w:pStyle w:val="Heading3"/>
      </w:pPr>
      <w:r>
        <w:t xml:space="preserve">6.2.4. Demanda censurada</w:t>
      </w:r>
    </w:p>
    <w:p>
      <w:pPr>
        <w:pStyle w:val="FirstParagraph"/>
      </w:pPr>
      <w:r>
        <w:t xml:space="preserve">La limitación más importante del conjunto de datos no es una carencia de columnas sino una</w:t>
      </w:r>
      <w:r>
        <w:t xml:space="preserve"> </w:t>
      </w:r>
      <w:r>
        <w:t xml:space="preserve">propiedad de la variable objetivo:</w:t>
      </w:r>
      <w:r>
        <w:t xml:space="preserve"> </w:t>
      </w:r>
      <w:r>
        <w:rPr>
          <w:rStyle w:val="VerbatimChar"/>
          <w:bCs/>
          <w:b/>
        </w:rPr>
        <w:t xml:space="preserve">fact_ventas</w:t>
      </w:r>
      <w:r>
        <w:rPr>
          <w:bCs/>
          <w:b/>
        </w:rPr>
        <w:t xml:space="preserve"> </w:t>
      </w:r>
      <w:r>
        <w:rPr>
          <w:bCs/>
          <w:b/>
        </w:rPr>
        <w:t xml:space="preserve">registra unidades vendidas, no unidades</w:t>
      </w:r>
      <w:r>
        <w:rPr>
          <w:bCs/>
          <w:b/>
        </w:rPr>
        <w:t xml:space="preserve"> </w:t>
      </w:r>
      <w:r>
        <w:rPr>
          <w:bCs/>
          <w:b/>
        </w:rPr>
        <w:t xml:space="preserve">demandadas</w:t>
      </w:r>
      <w:r>
        <w:t xml:space="preserve">. Cuando un establecimiento se queda sin existencias de una referencia, ese día se</w:t>
      </w:r>
      <w:r>
        <w:t xml:space="preserve"> </w:t>
      </w:r>
      <w:r>
        <w:t xml:space="preserve">registra un cero que es indistinguible de un día sin demanda. La demanda está, en términos</w:t>
      </w:r>
      <w:r>
        <w:t xml:space="preserve"> </w:t>
      </w:r>
      <w:r>
        <w:t xml:space="preserve">estadísticos,</w:t>
      </w:r>
      <w:r>
        <w:t xml:space="preserve"> </w:t>
      </w:r>
      <w:r>
        <w:rPr>
          <w:bCs/>
          <w:b/>
        </w:rPr>
        <w:t xml:space="preserve">censurada por la derecha en el nivel del inventario disponible</w:t>
      </w:r>
      <w:r>
        <w:t xml:space="preserve">, y ese nivel no</w:t>
      </w:r>
      <w:r>
        <w:t xml:space="preserve"> </w:t>
      </w:r>
      <w:r>
        <w:t xml:space="preserve">se observa.</w:t>
      </w:r>
    </w:p>
    <w:p>
      <w:pPr>
        <w:pStyle w:val="BodyText"/>
      </w:pPr>
      <w:r>
        <w:t xml:space="preserve">Las consecuencias recorren todo el trabajo y conviene enunciarlas juntas:</w:t>
      </w:r>
    </w:p>
    <w:p>
      <w:pPr>
        <w:numPr>
          <w:ilvl w:val="0"/>
          <w:numId w:val="1002"/>
        </w:numPr>
        <w:pStyle w:val="Compact"/>
      </w:pPr>
      <w:r>
        <w:t xml:space="preserve">Los modelos de §7.3 se entrenan sobre demanda censurada, de modo que</w:t>
      </w:r>
      <w:r>
        <w:t xml:space="preserve"> </w:t>
      </w:r>
      <w:r>
        <w:rPr>
          <w:bCs/>
          <w:b/>
        </w:rPr>
        <w:t xml:space="preserve">predicen por debajo</w:t>
      </w:r>
      <w:r>
        <w:t xml:space="preserve"> </w:t>
      </w:r>
      <w:r>
        <w:t xml:space="preserve">de</w:t>
      </w:r>
      <w:r>
        <w:t xml:space="preserve"> </w:t>
      </w:r>
      <w:r>
        <w:t xml:space="preserve">la demanda verdadera. El sesgo no es uniforme: es mayor precisamente en las series con más</w:t>
      </w:r>
      <w:r>
        <w:t xml:space="preserve"> </w:t>
      </w:r>
      <w:r>
        <w:t xml:space="preserve">rotura, que son aquellas en las que acertar importa más.</w:t>
      </w:r>
    </w:p>
    <w:p>
      <w:pPr>
        <w:numPr>
          <w:ilvl w:val="0"/>
          <w:numId w:val="1002"/>
        </w:numPr>
        <w:pStyle w:val="Compact"/>
      </w:pPr>
      <w:r>
        <w:t xml:space="preserve">La simulación de §7.4 calcula el faltante como la diferencia entre demanda observada y nivel</w:t>
      </w:r>
      <w:r>
        <w:t xml:space="preserve"> </w:t>
      </w:r>
      <w:r>
        <w:t xml:space="preserve">objetivo. Pero la demanda observada ya excluye las ventas perdidas por roturas anteriores, de</w:t>
      </w:r>
      <w:r>
        <w:t xml:space="preserve"> </w:t>
      </w:r>
      <w:r>
        <w:t xml:space="preserve">modo que la cifra de margen perdido es una</w:t>
      </w:r>
      <w:r>
        <w:t xml:space="preserve"> </w:t>
      </w:r>
      <w:r>
        <w:rPr>
          <w:bCs/>
          <w:b/>
        </w:rPr>
        <w:t xml:space="preserve">cota inferior</w:t>
      </w:r>
      <w:r>
        <w:t xml:space="preserve"> </w:t>
      </w:r>
      <w:r>
        <w:t xml:space="preserve">y no una estimación.</w:t>
      </w:r>
    </w:p>
    <w:p>
      <w:pPr>
        <w:numPr>
          <w:ilvl w:val="0"/>
          <w:numId w:val="1002"/>
        </w:numPr>
        <w:pStyle w:val="Compact"/>
      </w:pPr>
      <w:r>
        <w:t xml:space="preserve">La elasticidad de §7.5 se estima sobre cantidades censuradas, lo que añade una fuente de sesgo</w:t>
      </w:r>
      <w:r>
        <w:t xml:space="preserve"> </w:t>
      </w:r>
      <w:r>
        <w:t xml:space="preserve">adicional a la de endogeneidad ya documentada.</w:t>
      </w:r>
    </w:p>
    <w:p>
      <w:pPr>
        <w:pStyle w:val="FirstParagraph"/>
      </w:pPr>
      <w:r>
        <w:t xml:space="preserve">Sin datos de inventario el problema</w:t>
      </w:r>
      <w:r>
        <w:t xml:space="preserve"> </w:t>
      </w:r>
      <w:r>
        <w:rPr>
          <w:bCs/>
          <w:b/>
        </w:rPr>
        <w:t xml:space="preserve">no es corregible</w:t>
      </w:r>
      <w:r>
        <w:t xml:space="preserve">: no existe información que permita</w:t>
      </w:r>
      <w:r>
        <w:t xml:space="preserve"> </w:t>
      </w:r>
      <w:r>
        <w:t xml:space="preserve">determinar qué ceros correspondieron a rotura. Sí es acotable, y así se trata en §7.4.8: un cero</w:t>
      </w:r>
      <w:r>
        <w:t xml:space="preserve"> </w:t>
      </w:r>
      <w:r>
        <w:t xml:space="preserve">observado en una serie cuya intensidad esperada hace ese cero improbable es incompatible con</w:t>
      </w:r>
      <w:r>
        <w:t xml:space="preserve"> </w:t>
      </w:r>
      <w:r>
        <w:t xml:space="preserve">demanda nula, y el conjunto de esos días permite construir cotas para la demanda no observada.</w:t>
      </w:r>
    </w:p>
    <w:p>
      <w:pPr>
        <w:pStyle w:val="BodyText"/>
      </w:pPr>
      <w:r>
        <w:t xml:space="preserve">La dirección del sesgo es conocida y favorable a las conclusiones del trabajo: todas las cifras</w:t>
      </w:r>
      <w:r>
        <w:t xml:space="preserve"> </w:t>
      </w:r>
      <w:r>
        <w:t xml:space="preserve">de coste de rotura presentadas son conservadoras. Esa asimetría se declara explícitamente cada</w:t>
      </w:r>
      <w:r>
        <w:t xml:space="preserve"> </w:t>
      </w:r>
      <w:r>
        <w:t xml:space="preserve">vez que aparece una de ellas.</w:t>
      </w:r>
    </w:p>
    <w:bookmarkEnd w:id="48"/>
    <w:bookmarkStart w:id="49" w:name="días-de-cierre"/>
    <w:p>
      <w:pPr>
        <w:pStyle w:val="Heading3"/>
      </w:pPr>
      <w:r>
        <w:t xml:space="preserve">6.2.5. Días de cierre</w:t>
      </w:r>
    </w:p>
    <w:p>
      <w:pPr>
        <w:pStyle w:val="FirstParagraph"/>
      </w:pPr>
      <w:r>
        <w:t xml:space="preserve">Se identificaron los días en los que la venta agregada de una tienda es exactamente cero, que</w:t>
      </w:r>
      <w:r>
        <w:t xml:space="preserve"> </w:t>
      </w:r>
      <w:r>
        <w:t xml:space="preserve">corresponden a cierres del establecimiento y no a ausencia de demanda. Tratarlos como demanda</w:t>
      </w:r>
      <w:r>
        <w:t xml:space="preserve"> </w:t>
      </w:r>
      <w:r>
        <w:t xml:space="preserve">nula contamina tanto las medias móviles como el entrenamiento de los modelos. Se marcaron con</w:t>
      </w:r>
      <w:r>
        <w:t xml:space="preserve"> </w:t>
      </w:r>
      <w:r>
        <w:t xml:space="preserve">una bandera en la dimensión de calendario y se excluyeron de la evaluación; la regla de cierre</w:t>
      </w:r>
      <w:r>
        <w:t xml:space="preserve"> </w:t>
      </w:r>
      <w:r>
        <w:t xml:space="preserve">aplicada a la previsión tiene un efecto medible que se cuantifica en §7.3.</w:t>
      </w:r>
    </w:p>
    <w:bookmarkEnd w:id="49"/>
    <w:bookmarkEnd w:id="50"/>
    <w:bookmarkStart w:id="55" w:name="arquitectura-del-almacén-analítico"/>
    <w:p>
      <w:pPr>
        <w:pStyle w:val="Heading2"/>
      </w:pPr>
      <w:r>
        <w:t xml:space="preserve">6.3. Arquitectura del almacén analítico</w:t>
      </w:r>
    </w:p>
    <w:p>
      <w:pPr>
        <w:pStyle w:val="FirstParagraph"/>
      </w:pPr>
      <w:r>
        <w:t xml:space="preserve">Los primeros análisis se realizaron leyendo directamente los ficheros de origen desde los</w:t>
      </w:r>
      <w:r>
        <w:t xml:space="preserve"> </w:t>
      </w:r>
      <w:r>
        <w:t xml:space="preserve">cuadernos. Ese esquema deja de funcionar en cuanto hay más de un consumidor: el cuaderno de</w:t>
      </w:r>
      <w:r>
        <w:t xml:space="preserve"> </w:t>
      </w:r>
      <w:r>
        <w:t xml:space="preserve">predicción, el de reposición, el cuadro de mando y el servicio web acabarían cada uno con su</w:t>
      </w:r>
      <w:r>
        <w:t xml:space="preserve"> </w:t>
      </w:r>
      <w:r>
        <w:t xml:space="preserve">propia lectura y su propia interpretación de las mismas columnas. La solución adoptada fue</w:t>
      </w:r>
      <w:r>
        <w:t xml:space="preserve"> </w:t>
      </w:r>
      <w:r>
        <w:t xml:space="preserve">construir un almacén analítico con una única fuente de verdad.</w:t>
      </w:r>
    </w:p>
    <w:bookmarkStart w:id="51" w:name="arquitectura-medallón"/>
    <w:p>
      <w:pPr>
        <w:pStyle w:val="Heading3"/>
      </w:pPr>
      <w:r>
        <w:t xml:space="preserve">6.3.1. Arquitectura medallón</w:t>
      </w:r>
    </w:p>
    <w:p>
      <w:pPr>
        <w:pStyle w:val="FirstParagraph"/>
      </w:pPr>
      <w:r>
        <w:t xml:space="preserve">El almacén se organiza en tres capas sucesivas, cada una con una responsabilidad única:</w:t>
      </w:r>
    </w:p>
    <w:p>
      <w:pPr>
        <w:pStyle w:val="BodyText"/>
      </w:pPr>
      <w:r>
        <w:rPr>
          <w:bCs/>
          <w:b/>
        </w:rPr>
        <w:t xml:space="preserve">Bronce.</w:t>
      </w:r>
      <w:r>
        <w:t xml:space="preserve"> </w:t>
      </w:r>
      <w:r>
        <w:t xml:space="preserve">Copia fiel de los ficheros de origen convertida a formato columnar Parquet, sin</w:t>
      </w:r>
      <w:r>
        <w:t xml:space="preserve"> </w:t>
      </w:r>
      <w:r>
        <w:t xml:space="preserve">ninguna transformación semántica. Su función es doble: desacoplar el resto del sistema del</w:t>
      </w:r>
      <w:r>
        <w:t xml:space="preserve"> </w:t>
      </w:r>
      <w:r>
        <w:t xml:space="preserve">formato de entrega de la fuente y reducir el coste de lectura. Los 490,9 MB de CSV pasan a</w:t>
      </w:r>
      <w:r>
        <w:t xml:space="preserve"> </w:t>
      </w:r>
      <w:r>
        <w:rPr>
          <w:bCs/>
          <w:b/>
        </w:rPr>
        <w:t xml:space="preserve">22,1 MB</w:t>
      </w:r>
      <w:r>
        <w:t xml:space="preserve"> </w:t>
      </w:r>
      <w:r>
        <w:t xml:space="preserve">en bronce, una reducción de 22 veces atribuible a la codificación columnar y la</w:t>
      </w:r>
      <w:r>
        <w:t xml:space="preserve"> </w:t>
      </w:r>
      <w:r>
        <w:t xml:space="preserve">compresión.</w:t>
      </w:r>
    </w:p>
    <w:p>
      <w:pPr>
        <w:pStyle w:val="BodyText"/>
      </w:pPr>
      <w:r>
        <w:rPr>
          <w:bCs/>
          <w:b/>
        </w:rPr>
        <w:t xml:space="preserve">Plata.</w:t>
      </w:r>
      <w:r>
        <w:t xml:space="preserve"> </w:t>
      </w:r>
      <w:r>
        <w:t xml:space="preserve">Datos limpios y normalizados: el histórico de ventas desplegado a formato largo, los</w:t>
      </w:r>
      <w:r>
        <w:t xml:space="preserve"> </w:t>
      </w:r>
      <w:r>
        <w:t xml:space="preserve">precios unidos por semana, el calendario resuelto a fechas y las reglas de calidad de §6.2</w:t>
      </w:r>
      <w:r>
        <w:t xml:space="preserve"> </w:t>
      </w:r>
      <w:r>
        <w:t xml:space="preserve">aplicadas. Ocupa 44,7 MB. Es la capa donde vive la lógica de negocio sobre el dato en bruto y</w:t>
      </w:r>
      <w:r>
        <w:t xml:space="preserve"> </w:t>
      </w:r>
      <w:r>
        <w:t xml:space="preserve">donde se ejecutan las comprobaciones automáticas de integridad.</w:t>
      </w:r>
    </w:p>
    <w:p>
      <w:pPr>
        <w:pStyle w:val="BodyText"/>
      </w:pPr>
      <w:r>
        <w:rPr>
          <w:bCs/>
          <w:b/>
        </w:rPr>
        <w:t xml:space="preserve">Oro.</w:t>
      </w:r>
      <w:r>
        <w:t xml:space="preserve"> </w:t>
      </w:r>
      <w:r>
        <w:t xml:space="preserve">Modelo dimensional listo para consumo, con las agregaciones precalculadas. Ocupa</w:t>
      </w:r>
      <w:r>
        <w:t xml:space="preserve"> </w:t>
      </w:r>
      <w:r>
        <w:t xml:space="preserve">91,0 MB —más que plata, porque incorpora tablas derivadas y agregados— y es la única capa que</w:t>
      </w:r>
      <w:r>
        <w:t xml:space="preserve"> </w:t>
      </w:r>
      <w:r>
        <w:t xml:space="preserve">leen los consumidores.</w:t>
      </w:r>
    </w:p>
    <w:p>
      <w:pPr>
        <w:pStyle w:val="BlockText"/>
      </w:pPr>
      <w:r>
        <w:rPr>
          <w:bCs/>
          <w:b/>
        </w:rPr>
        <w:t xml:space="preserve">[FIGURA 6.1]</w:t>
      </w:r>
      <w:r>
        <w:t xml:space="preserve"> </w:t>
      </w:r>
      <w:r>
        <w:rPr>
          <w:iCs/>
          <w:i/>
        </w:rPr>
        <w:t xml:space="preserve">Arquitectura del almacén en tres capas.</w:t>
      </w:r>
      <w:r>
        <w:t xml:space="preserve"> </w:t>
      </w:r>
      <w:r>
        <w:rPr>
          <w:rStyle w:val="VerbatimChar"/>
        </w:rPr>
        <w:t xml:space="preserve">Fuente: Diagrama de elaboración propia. Vectorial o 200 ppp.</w:t>
      </w:r>
    </w:p>
    <w:p>
      <w:pPr>
        <w:pStyle w:val="FirstParagraph"/>
      </w:pPr>
      <w:r>
        <w:t xml:space="preserve">El despliegue del formato ancho a formato largo, que es la operación más pesada del proceso,</w:t>
      </w:r>
      <w:r>
        <w:t xml:space="preserve"> </w:t>
      </w:r>
      <w:r>
        <w:t xml:space="preserve">se resuelve con una sola sentencia</w:t>
      </w:r>
      <w:r>
        <w:t xml:space="preserve"> </w:t>
      </w:r>
      <w:r>
        <w:rPr>
          <w:rStyle w:val="VerbatimChar"/>
        </w:rPr>
        <w:t xml:space="preserve">UNPIVOT</w:t>
      </w:r>
      <w:r>
        <w:t xml:space="preserve"> </w:t>
      </w:r>
      <w:r>
        <w:t xml:space="preserve">sobre las 1.913 columnas diarias:</w:t>
      </w:r>
      <w:r>
        <w:t xml:space="preserve"> </w:t>
      </w:r>
      <w:r>
        <w:rPr>
          <w:bCs/>
          <w:b/>
        </w:rPr>
        <w:t xml:space="preserve">58.327.370</w:t>
      </w:r>
      <w:r>
        <w:rPr>
          <w:bCs/>
          <w:b/>
        </w:rPr>
        <w:t xml:space="preserve"> </w:t>
      </w:r>
      <w:r>
        <w:rPr>
          <w:bCs/>
          <w:b/>
        </w:rPr>
        <w:t xml:space="preserve">filas en cuatro segundos</w:t>
      </w:r>
      <w:r>
        <w:t xml:space="preserve">. La reconstrucción íntegra del almacén desde los ficheros de origen</w:t>
      </w:r>
      <w:r>
        <w:t xml:space="preserve"> </w:t>
      </w:r>
      <w:r>
        <w:t xml:space="preserve">tarda aproximadamente</w:t>
      </w:r>
      <w:r>
        <w:t xml:space="preserve"> </w:t>
      </w:r>
      <w:r>
        <w:rPr>
          <w:bCs/>
          <w:b/>
        </w:rPr>
        <w:t xml:space="preserve">veinte segundos</w:t>
      </w:r>
      <w:r>
        <w:t xml:space="preserve">.</w:t>
      </w:r>
    </w:p>
    <w:bookmarkEnd w:id="51"/>
    <w:bookmarkStart w:id="52" w:name="modelo-dimensional"/>
    <w:p>
      <w:pPr>
        <w:pStyle w:val="Heading3"/>
      </w:pPr>
      <w:r>
        <w:t xml:space="preserve">6.3.2. Modelo dimensional</w:t>
      </w:r>
    </w:p>
    <w:p>
      <w:pPr>
        <w:pStyle w:val="FirstParagraph"/>
      </w:pPr>
      <w:r>
        <w:t xml:space="preserve">La capa oro adopta un</w:t>
      </w:r>
      <w:r>
        <w:t xml:space="preserve"> </w:t>
      </w:r>
      <w:r>
        <w:rPr>
          <w:bCs/>
          <w:b/>
        </w:rPr>
        <w:t xml:space="preserve">esquema en estrella</w:t>
      </w:r>
      <w:r>
        <w:t xml:space="preserve"> </w:t>
      </w:r>
      <w:r>
        <w:t xml:space="preserve">con cuatro dimensiones y tres tablas de hechos: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dim_calendario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Fecha, día de la semana, evento, banderas de cierre y temporada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Categoría, departamento y los grupos de §7.2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dim_tienda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Nombre, ciudad y grupo de comportamiento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dim_serie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Estadísticos de la serie y clases ABC/XYZ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58.327.370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Unidades, precio e importe por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fact_predicciones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853.720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Previsión media y percentil 90 a 28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fact_reposicion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objetivo y pedido sugerido por revisión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dim_calendario</w:t>
      </w:r>
      <w:r>
        <w:t xml:space="preserve"> </w:t>
      </w:r>
      <w:r>
        <w:t xml:space="preserve">incluye 28 días posteriores al último día con venta, marcados con una bandera</w:t>
      </w:r>
      <w:r>
        <w:t xml:space="preserve"> </w:t>
      </w:r>
      <w:r>
        <w:t xml:space="preserve">de futuro, para que el horizonte de predicción tenga soporte en la dimensión temporal. La</w:t>
      </w:r>
      <w:r>
        <w:t xml:space="preserve"> </w:t>
      </w:r>
      <w:r>
        <w:t xml:space="preserve">tabla</w:t>
      </w:r>
      <w:r>
        <w:t xml:space="preserve"> </w:t>
      </w:r>
      <w:r>
        <w:rPr>
          <w:rStyle w:val="VerbatimChar"/>
        </w:rPr>
        <w:t xml:space="preserve">dim_serie</w:t>
      </w:r>
      <w:r>
        <w:t xml:space="preserve"> </w:t>
      </w:r>
      <w:r>
        <w:t xml:space="preserve">introduce además una clave sustituta —</w:t>
      </w:r>
      <w:r>
        <w:rPr>
          <w:rStyle w:val="VerbatimChar"/>
        </w:rPr>
        <w:t xml:space="preserve">serie_id</w:t>
      </w:r>
      <w:r>
        <w:t xml:space="preserve">— que sustituye a la pareja</w:t>
      </w:r>
      <w:r>
        <w:t xml:space="preserve"> </w:t>
      </w:r>
      <w:r>
        <w:t xml:space="preserve">de identificadores de texto en todas las uniones, lo que reduce de forma apreciable el coste de</w:t>
      </w:r>
      <w:r>
        <w:t xml:space="preserve"> </w:t>
      </w:r>
      <w:r>
        <w:t xml:space="preserve">las consultas sobre la tabla de 58 millones de filas.</w:t>
      </w:r>
    </w:p>
    <w:p>
      <w:pPr>
        <w:pStyle w:val="BodyText"/>
      </w:pPr>
      <w:r>
        <w:t xml:space="preserve">Se añaden dos tablas agregadas de consumo directo,</w:t>
      </w:r>
      <w:r>
        <w:t xml:space="preserve"> </w:t>
      </w:r>
      <w:r>
        <w:rPr>
          <w:rStyle w:val="VerbatimChar"/>
        </w:rPr>
        <w:t xml:space="preserve">mart_ventas_dia</w:t>
      </w:r>
      <w:r>
        <w:t xml:space="preserve"> </w:t>
      </w:r>
      <w:r>
        <w:t xml:space="preserve">(133.910 filas) y</w:t>
      </w:r>
      <w:r>
        <w:t xml:space="preserve"> </w:t>
      </w:r>
      <w:r>
        <w:rPr>
          <w:rStyle w:val="VerbatimChar"/>
        </w:rPr>
        <w:t xml:space="preserve">mart_producto_tienda</w:t>
      </w:r>
      <w:r>
        <w:t xml:space="preserve"> </w:t>
      </w:r>
      <w:r>
        <w:t xml:space="preserve">(30.490 filas), destinadas al cuadro de mando y a las consultas de nivel</w:t>
      </w:r>
      <w:r>
        <w:t xml:space="preserve"> </w:t>
      </w:r>
      <w:r>
        <w:t xml:space="preserve">ciudad o departamento, que no necesitan bajar al grano diario.</w:t>
      </w:r>
    </w:p>
    <w:p>
      <w:pPr>
        <w:pStyle w:val="BlockText"/>
      </w:pPr>
      <w:r>
        <w:rPr>
          <w:bCs/>
          <w:b/>
        </w:rPr>
        <w:t xml:space="preserve">[FIGURA 6.2]</w:t>
      </w:r>
      <w:r>
        <w:t xml:space="preserve"> </w:t>
      </w:r>
      <w:r>
        <w:rPr>
          <w:iCs/>
          <w:i/>
        </w:rPr>
        <w:t xml:space="preserve">Modelo dimensional de la capa de consumo (esquema en estrella).</w:t>
      </w:r>
      <w:r>
        <w:t xml:space="preserve"> </w:t>
      </w:r>
      <w:r>
        <w:rPr>
          <w:rStyle w:val="VerbatimChar"/>
        </w:rPr>
        <w:t xml:space="preserve">Fuente: Diagrama de elaboración propia con las cuatro dimensiones y las tres tablas de hechos.</w:t>
      </w:r>
    </w:p>
    <w:bookmarkEnd w:id="52"/>
    <w:bookmarkStart w:id="53" w:name="motor-y-decisiones-de-implementación"/>
    <w:p>
      <w:pPr>
        <w:pStyle w:val="Heading3"/>
      </w:pPr>
      <w:r>
        <w:t xml:space="preserve">6.3.3. Motor y decisiones de implementación</w:t>
      </w:r>
    </w:p>
    <w:p>
      <w:pPr>
        <w:pStyle w:val="FirstParagraph"/>
      </w:pPr>
      <w:r>
        <w:t xml:space="preserve">El almacén se implementó sobre</w:t>
      </w:r>
      <w:r>
        <w:t xml:space="preserve"> </w:t>
      </w:r>
      <w:r>
        <w:rPr>
          <w:bCs/>
          <w:b/>
        </w:rPr>
        <w:t xml:space="preserve">DuckDB</w:t>
      </w:r>
      <w:r>
        <w:t xml:space="preserve">, un motor analítico embebido que ejecuta SQL</w:t>
      </w:r>
      <w:r>
        <w:t xml:space="preserve"> </w:t>
      </w:r>
      <w:r>
        <w:t xml:space="preserve">directamente sobre ficheros Parquet sin necesidad de servidor. La elección responde a tres</w:t>
      </w:r>
      <w:r>
        <w:t xml:space="preserve"> </w:t>
      </w:r>
      <w:r>
        <w:t xml:space="preserve">criterios: el volumen —58 millones de filas— es grande para pandas y pequeño para un clúster;</w:t>
      </w:r>
      <w:r>
        <w:t xml:space="preserve"> </w:t>
      </w:r>
      <w:r>
        <w:t xml:space="preserve">el modelo de ejecución columnar y vectorizado se ajusta a consultas de agregación; y la ausencia</w:t>
      </w:r>
      <w:r>
        <w:t xml:space="preserve"> </w:t>
      </w:r>
      <w:r>
        <w:t xml:space="preserve">de servidor mantiene el proyecto reproducible en cualquier máquina con un solo comando.</w:t>
      </w:r>
    </w:p>
    <w:p>
      <w:pPr>
        <w:pStyle w:val="BodyText"/>
      </w:pPr>
      <w:r>
        <w:t xml:space="preserve">Dos decisiones de implementación merecen mención porque no son evidentes. La primera es que el</w:t>
      </w:r>
      <w:r>
        <w:t xml:space="preserve"> </w:t>
      </w:r>
      <w:r>
        <w:t xml:space="preserve">motor se instancia</w:t>
      </w:r>
      <w:r>
        <w:t xml:space="preserve"> </w:t>
      </w:r>
      <w:r>
        <w:rPr>
          <w:bCs/>
          <w:b/>
        </w:rPr>
        <w:t xml:space="preserve">en memoria</w:t>
      </w:r>
      <w:r>
        <w:t xml:space="preserve"> </w:t>
      </w:r>
      <w:r>
        <w:t xml:space="preserve">y las tablas se materializan como ficheros Parquet, en lugar</w:t>
      </w:r>
      <w:r>
        <w:t xml:space="preserve"> </w:t>
      </w:r>
      <w:r>
        <w:t xml:space="preserve">de mantener una base de datos persistente en disco; esto evita por completo la gestión del</w:t>
      </w:r>
      <w:r>
        <w:t xml:space="preserve"> </w:t>
      </w:r>
      <w:r>
        <w:t xml:space="preserve">fichero de registro de escritura anticipada, que en carpetas sincronizadas produce errores de</w:t>
      </w:r>
      <w:r>
        <w:t xml:space="preserve"> </w:t>
      </w:r>
      <w:r>
        <w:t xml:space="preserve">borrado. La segunda es que el directorio temporal del motor se sitúa fuera del árbol del</w:t>
      </w:r>
      <w:r>
        <w:t xml:space="preserve"> </w:t>
      </w:r>
      <w:r>
        <w:t xml:space="preserve">proyecto, por la misma razón.</w:t>
      </w:r>
    </w:p>
    <w:bookmarkEnd w:id="53"/>
    <w:bookmarkStart w:id="54" w:name="la-trampa-del-abanico"/>
    <w:p>
      <w:pPr>
        <w:pStyle w:val="Heading3"/>
      </w:pPr>
      <w:r>
        <w:t xml:space="preserve">6.3.4. La trampa del abanico</w:t>
      </w:r>
    </w:p>
    <w:p>
      <w:pPr>
        <w:pStyle w:val="FirstParagraph"/>
      </w:pPr>
      <w:r>
        <w:t xml:space="preserve">Al construir el cuadro de mando se detectó un error de agregación que conviene documentar</w:t>
      </w:r>
      <w:r>
        <w:t xml:space="preserve"> </w:t>
      </w:r>
      <w:r>
        <w:t xml:space="preserve">porque es sistemático y silencioso. La tabla</w:t>
      </w:r>
      <w:r>
        <w:t xml:space="preserve"> </w:t>
      </w:r>
      <w:r>
        <w:rPr>
          <w:rStyle w:val="VerbatimChar"/>
        </w:rPr>
        <w:t xml:space="preserve">fact_ventas</w:t>
      </w:r>
      <w:r>
        <w:t xml:space="preserve"> </w:t>
      </w:r>
      <w:r>
        <w:t xml:space="preserve">tiene grano diario y</w:t>
      </w:r>
      <w:r>
        <w:t xml:space="preserve"> </w:t>
      </w:r>
      <w:r>
        <w:rPr>
          <w:rStyle w:val="VerbatimChar"/>
        </w:rPr>
        <w:t xml:space="preserve">fact_reposicion</w:t>
      </w:r>
      <w:r>
        <w:t xml:space="preserve"> </w:t>
      </w:r>
      <w:r>
        <w:t xml:space="preserve">grano semanal; unirlas directamente multiplica por siete cada métrica del</w:t>
      </w:r>
      <w:r>
        <w:t xml:space="preserve"> </w:t>
      </w:r>
      <w:r>
        <w:t xml:space="preserve">lado semanal. El síntoma fue un stock de seguridad agregado de 2,6 millones de unidades donde</w:t>
      </w:r>
      <w:r>
        <w:t xml:space="preserve"> </w:t>
      </w:r>
      <w:r>
        <w:t xml:space="preserve">el valor correcto era de aproximadamente 29.000. La solución —agregar cada tabla por separado</w:t>
      </w:r>
      <w:r>
        <w:t xml:space="preserve"> </w:t>
      </w:r>
      <w:r>
        <w:t xml:space="preserve">en expresiones comunes de tabla y unir después los resultados— quedó documentada en la guía del</w:t>
      </w:r>
      <w:r>
        <w:t xml:space="preserve"> </w:t>
      </w:r>
      <w:r>
        <w:t xml:space="preserve">cuadro de mando como patrón obligatorio.</w:t>
      </w:r>
    </w:p>
    <w:bookmarkEnd w:id="54"/>
    <w:bookmarkEnd w:id="55"/>
    <w:bookmarkStart w:id="60" w:name="ingeniería-de-variables"/>
    <w:p>
      <w:pPr>
        <w:pStyle w:val="Heading2"/>
      </w:pPr>
      <w:r>
        <w:t xml:space="preserve">6.4. Ingeniería de variables</w:t>
      </w:r>
    </w:p>
    <w:bookmarkStart w:id="56" w:name="variables-construidas"/>
    <w:p>
      <w:pPr>
        <w:pStyle w:val="Heading3"/>
      </w:pPr>
      <w:r>
        <w:t xml:space="preserve">6.4.1. Variables construidas</w:t>
      </w:r>
    </w:p>
    <w:p>
      <w:pPr>
        <w:pStyle w:val="FirstParagraph"/>
      </w:pPr>
      <w:r>
        <w:t xml:space="preserve">El conjunto de variables predictoras se organiza en cuatro bloques: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Retardos.</w:t>
      </w:r>
      <w:r>
        <w:t xml:space="preserve"> </w:t>
      </w:r>
      <w:r>
        <w:t xml:space="preserve">Valores de la serie en días anteriores, con el retardo mínimo condicionado por</w:t>
      </w:r>
      <w:r>
        <w:t xml:space="preserve"> </w:t>
      </w:r>
      <w:r>
        <w:t xml:space="preserve">el horizonte de predicción (§6.4.2).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Medias móviles.</w:t>
      </w:r>
      <w:r>
        <w:t xml:space="preserve"> </w:t>
      </w:r>
      <w:r>
        <w:t xml:space="preserve">Promedios de la serie sobre ventanas de 7, 28, 91 y 364 días. La ventana</w:t>
      </w:r>
      <w:r>
        <w:t xml:space="preserve"> </w:t>
      </w:r>
      <w:r>
        <w:t xml:space="preserve">anual proporciona la referencia estacional sin necesidad de ampliar el período de</w:t>
      </w:r>
      <w:r>
        <w:t xml:space="preserve"> </w:t>
      </w:r>
      <w:r>
        <w:t xml:space="preserve">entrenamiento.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Calendario.</w:t>
      </w:r>
      <w:r>
        <w:t xml:space="preserve"> </w:t>
      </w:r>
      <w:r>
        <w:t xml:space="preserve">Día de la semana, mes, semana del año, bandera de fin de semana, evento y</w:t>
      </w:r>
      <w:r>
        <w:t xml:space="preserve"> </w:t>
      </w:r>
      <w:r>
        <w:t xml:space="preserve">banderas derivadas de cierre y temporada alta.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Precio y segmento.</w:t>
      </w:r>
      <w:r>
        <w:t xml:space="preserve"> </w:t>
      </w:r>
      <w:r>
        <w:t xml:space="preserve">Precio de la semana, variación relativa respecto de la semana anterior,</w:t>
      </w:r>
      <w:r>
        <w:t xml:space="preserve"> </w:t>
      </w:r>
      <w:r>
        <w:t xml:space="preserve">categoría, departamento, tienda, ciudad y los grupos de comportamiento obtenidos en §7.2.</w:t>
      </w:r>
    </w:p>
    <w:bookmarkEnd w:id="56"/>
    <w:bookmarkStart w:id="57" w:name="la-restricción-de-retardo-mínimo"/>
    <w:p>
      <w:pPr>
        <w:pStyle w:val="Heading3"/>
      </w:pPr>
      <w:r>
        <w:t xml:space="preserve">6.4.2. La restricción de retardo mínimo</w:t>
      </w:r>
    </w:p>
    <w:p>
      <w:pPr>
        <w:pStyle w:val="FirstParagraph"/>
      </w:pPr>
      <w:r>
        <w:t xml:space="preserve">Predecir a veintiocho días vista impone una restricción que se pasa por alto con facilidad: el</w:t>
      </w:r>
      <w:r>
        <w:t xml:space="preserve"> </w:t>
      </w:r>
      <w:r>
        <w:t xml:space="preserve">día que se predice con horizonte 28 no puede utilizar el valor de la serie del día anterior,</w:t>
      </w:r>
      <w:r>
        <w:t xml:space="preserve"> </w:t>
      </w:r>
      <w:r>
        <w:t xml:space="preserve">porque en el momento de predecir ese valor todavía no existe. El trabajo resuelve esta</w:t>
      </w:r>
      <w:r>
        <w:t xml:space="preserve"> </w:t>
      </w:r>
      <w:r>
        <w:t xml:space="preserve">restricción con una</w:t>
      </w:r>
      <w:r>
        <w:t xml:space="preserve"> </w:t>
      </w:r>
      <w:r>
        <w:rPr>
          <w:bCs/>
          <w:b/>
        </w:rPr>
        <w:t xml:space="preserve">estrategia por bloques semanales</w:t>
      </w:r>
      <w:r>
        <w:t xml:space="preserve">: se entrenan cuatro modelos, uno por</w:t>
      </w:r>
      <w:r>
        <w:t xml:space="preserve"> </w:t>
      </w:r>
      <w:r>
        <w:t xml:space="preserve">cada semana del horizonte, con retardos mínimos de 7, 14, 21 y 28 días respectivamente. Cada</w:t>
      </w:r>
      <w:r>
        <w:t xml:space="preserve"> </w:t>
      </w:r>
      <w:r>
        <w:t xml:space="preserve">modelo utiliza toda la información realmente disponible en el momento de predecir su bloque, ni</w:t>
      </w:r>
      <w:r>
        <w:t xml:space="preserve"> </w:t>
      </w:r>
      <w:r>
        <w:t xml:space="preserve">más ni menos.</w:t>
      </w:r>
    </w:p>
    <w:p>
      <w:pPr>
        <w:pStyle w:val="BodyText"/>
      </w:pPr>
      <w:r>
        <w:t xml:space="preserve">La alternativa habitual —la estrategia recursiva, que alimenta el modelo con sus propias</w:t>
      </w:r>
      <w:r>
        <w:t xml:space="preserve"> </w:t>
      </w:r>
      <w:r>
        <w:t xml:space="preserve">predicciones— se descartó porque acumula el error a lo largo del horizonte. El efecto de esta</w:t>
      </w:r>
      <w:r>
        <w:t xml:space="preserve"> </w:t>
      </w:r>
      <w:r>
        <w:t xml:space="preserve">elección resultó ser, con diferencia, el factor que más influyó en la precisión final, muy por</w:t>
      </w:r>
      <w:r>
        <w:t xml:space="preserve"> </w:t>
      </w:r>
      <w:r>
        <w:t xml:space="preserve">encima de la biblioteca de aprendizaje utilizada (§7.3).</w:t>
      </w:r>
    </w:p>
    <w:bookmarkEnd w:id="57"/>
    <w:bookmarkStart w:id="58" w:name="función-de-pérdida"/>
    <w:p>
      <w:pPr>
        <w:pStyle w:val="Heading3"/>
      </w:pPr>
      <w:r>
        <w:t xml:space="preserve">6.4.3. Función de pérdida</w:t>
      </w:r>
    </w:p>
    <w:p>
      <w:pPr>
        <w:pStyle w:val="FirstParagraph"/>
      </w:pPr>
      <w:r>
        <w:t xml:space="preserve">Los modelos de aprendizaje automático se entrenaron con la función de pérdida</w:t>
      </w:r>
      <w:r>
        <w:t xml:space="preserve"> </w:t>
      </w:r>
      <w:r>
        <w:rPr>
          <w:bCs/>
          <w:b/>
        </w:rPr>
        <w:t xml:space="preserve">Tweedie</w:t>
      </w:r>
      <w:r>
        <w:t xml:space="preserve"> </w:t>
      </w:r>
      <w:r>
        <w:t xml:space="preserve">con</w:t>
      </w:r>
      <w:r>
        <w:t xml:space="preserve"> </w:t>
      </w:r>
      <w:r>
        <w:t xml:space="preserve">parámetro de potencia de varianza 1,1. La distribución de Tweedie en ese rango es una</w:t>
      </w:r>
      <w:r>
        <w:t xml:space="preserve"> </w:t>
      </w:r>
      <w:r>
        <w:t xml:space="preserve">compuesta Poisson-Gamma: describe una variable con masa de probabilidad en cero y cola positiva</w:t>
      </w:r>
      <w:r>
        <w:t xml:space="preserve"> </w:t>
      </w:r>
      <w:r>
        <w:t xml:space="preserve">continua, que es exactamente la forma de la demanda diaria intermitente. Entrenar con error</w:t>
      </w:r>
      <w:r>
        <w:t xml:space="preserve"> </w:t>
      </w:r>
      <w:r>
        <w:t xml:space="preserve">cuadrático sobre esta variable equivale a suponer una distribución normal y produce</w:t>
      </w:r>
      <w:r>
        <w:t xml:space="preserve"> </w:t>
      </w:r>
      <w:r>
        <w:t xml:space="preserve">predicciones sistemáticamente desplazadas hacia arriba en las series con muchos ceros.</w:t>
      </w:r>
    </w:p>
    <w:bookmarkEnd w:id="58"/>
    <w:bookmarkStart w:id="59" w:name="precisión-numérica"/>
    <w:p>
      <w:pPr>
        <w:pStyle w:val="Heading3"/>
      </w:pPr>
      <w:r>
        <w:t xml:space="preserve">6.4.4. Precisión numérica</w:t>
      </w:r>
    </w:p>
    <w:p>
      <w:pPr>
        <w:pStyle w:val="FirstParagraph"/>
      </w:pPr>
      <w:r>
        <w:t xml:space="preserve">Se documenta aquí una limitación técnica encontrada durante el trabajo por su efecto práctico.</w:t>
      </w:r>
      <w:r>
        <w:t xml:space="preserve"> </w:t>
      </w:r>
      <w:r>
        <w:t xml:space="preserve">La construcción del conjunto de entrenamiento a partir de un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 </w:t>
      </w:r>
      <w:r>
        <w:t xml:space="preserve">de pandas provoca en</w:t>
      </w:r>
      <w:r>
        <w:t xml:space="preserve"> </w:t>
      </w:r>
      <w:r>
        <w:t xml:space="preserve">LightGBM una conversión interna a doble precisión que duplica la memoria requerida y agota la</w:t>
      </w:r>
      <w:r>
        <w:t xml:space="preserve"> </w:t>
      </w:r>
      <w:r>
        <w:t xml:space="preserve">disponible en el equipo de trabajo. La conversión explícita previa a matrices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resuelve</w:t>
      </w:r>
      <w:r>
        <w:t xml:space="preserve"> </w:t>
      </w:r>
      <w:r>
        <w:t xml:space="preserve">el problema sin pérdida apreciable de precisión, dado el rango de las variables.</w:t>
      </w:r>
    </w:p>
    <w:bookmarkEnd w:id="59"/>
    <w:bookmarkEnd w:id="60"/>
    <w:bookmarkStart w:id="64" w:name="protocolo-de-validación"/>
    <w:p>
      <w:pPr>
        <w:pStyle w:val="Heading2"/>
      </w:pPr>
      <w:r>
        <w:t xml:space="preserve">6.5. Protocolo de validación</w:t>
      </w:r>
    </w:p>
    <w:bookmarkStart w:id="61" w:name="validación-temporal-por-avance"/>
    <w:p>
      <w:pPr>
        <w:pStyle w:val="Heading3"/>
      </w:pPr>
      <w:r>
        <w:t xml:space="preserve">6.5.1. Validación temporal por avance</w:t>
      </w:r>
    </w:p>
    <w:p>
      <w:pPr>
        <w:pStyle w:val="FirstParagraph"/>
      </w:pPr>
      <w:r>
        <w:t xml:space="preserve">Toda la evaluación de modelos de predicción emplea</w:t>
      </w:r>
      <w:r>
        <w:t xml:space="preserve"> </w:t>
      </w:r>
      <w:r>
        <w:rPr>
          <w:bCs/>
          <w:b/>
        </w:rPr>
        <w:t xml:space="preserve">validación walk-forward</w:t>
      </w:r>
      <w:r>
        <w:t xml:space="preserve"> </w:t>
      </w:r>
      <w:r>
        <w:t xml:space="preserve">con tres</w:t>
      </w:r>
      <w:r>
        <w:t xml:space="preserve"> </w:t>
      </w:r>
      <w:r>
        <w:t xml:space="preserve">pliegues. Cada pliegue entrena con una ventana de días anterior a una fecha de corte y evalúa</w:t>
      </w:r>
      <w:r>
        <w:t xml:space="preserve"> </w:t>
      </w:r>
      <w:r>
        <w:t xml:space="preserve">sobre los veintiocho días siguientes; la fecha de corte avanza en el tiempo entre pliegues. No</w:t>
      </w:r>
      <w:r>
        <w:t xml:space="preserve"> </w:t>
      </w:r>
      <w:r>
        <w:t xml:space="preserve">se emplea en ningún momento validación cruzada aleatoria: barajar observaciones de una serie</w:t>
      </w:r>
      <w:r>
        <w:t xml:space="preserve"> </w:t>
      </w:r>
      <w:r>
        <w:t xml:space="preserve">temporal permite al modelo entrenar con el futuro y produce estimaciones de error</w:t>
      </w:r>
      <w:r>
        <w:t xml:space="preserve"> </w:t>
      </w:r>
      <w:r>
        <w:t xml:space="preserve">optimistas que no se reproducen en explotación.</w:t>
      </w:r>
    </w:p>
    <w:p>
      <w:pPr>
        <w:pStyle w:val="BodyText"/>
      </w:pPr>
      <w:r>
        <w:t xml:space="preserve">Los tres pliegues cumplen además una función de diagnóstico: la dispersión del error entre</w:t>
      </w:r>
      <w:r>
        <w:t xml:space="preserve"> </w:t>
      </w:r>
      <w:r>
        <w:t xml:space="preserve">pliegues informa sobre la estabilidad del modelo. En este trabajo esa dispersión resultó ser</w:t>
      </w:r>
      <w:r>
        <w:t xml:space="preserve"> </w:t>
      </w:r>
      <w:r>
        <w:t xml:space="preserve">relevante en un caso concreto —el sesgo de la predicción, que no se mantuvo constante entre</w:t>
      </w:r>
      <w:r>
        <w:t xml:space="preserve"> </w:t>
      </w:r>
      <w:r>
        <w:t xml:space="preserve">pliegues— y condicionó la decisión de calibrar únicamente con la ventana más reciente (§7.3).</w:t>
      </w:r>
    </w:p>
    <w:p>
      <w:pPr>
        <w:pStyle w:val="BlockText"/>
      </w:pPr>
      <w:r>
        <w:rPr>
          <w:bCs/>
          <w:b/>
        </w:rPr>
        <w:t xml:space="preserve">[FIGURA 6.3]</w:t>
      </w:r>
      <w:r>
        <w:t xml:space="preserve"> </w:t>
      </w:r>
      <w:r>
        <w:rPr>
          <w:iCs/>
          <w:i/>
        </w:rPr>
        <w:t xml:space="preserve">Esquema de la validación temporal por avance.</w:t>
      </w:r>
      <w:r>
        <w:t xml:space="preserve"> </w:t>
      </w:r>
      <w:r>
        <w:rPr>
          <w:rStyle w:val="VerbatimChar"/>
        </w:rPr>
        <w:t xml:space="preserve">Fuente: Diagrama de elaboración propia: tres ventanas de entrenamiento y sus horizontes de 28 días.</w:t>
      </w:r>
    </w:p>
    <w:bookmarkEnd w:id="61"/>
    <w:bookmarkStart w:id="62" w:name="ventana-de-entrenamiento"/>
    <w:p>
      <w:pPr>
        <w:pStyle w:val="Heading3"/>
      </w:pPr>
      <w:r>
        <w:t xml:space="preserve">6.5.2. Ventana de entrenamiento</w:t>
      </w:r>
    </w:p>
    <w:p>
      <w:pPr>
        <w:pStyle w:val="FirstParagraph"/>
      </w:pPr>
      <w:r>
        <w:t xml:space="preserve">Se emplean ventanas de 180 días. La decisión se apoya en la existencia de la variable de media</w:t>
      </w:r>
      <w:r>
        <w:t xml:space="preserve"> </w:t>
      </w:r>
      <w:r>
        <w:t xml:space="preserve">móvil anual, que aporta la referencia estacional sin necesidad de que el modelo vea físicamente</w:t>
      </w:r>
      <w:r>
        <w:t xml:space="preserve"> </w:t>
      </w:r>
      <w:r>
        <w:t xml:space="preserve">el año completo, y en la evidencia de que ampliar la ventana multiplica el coste de cómputo sin</w:t>
      </w:r>
      <w:r>
        <w:t xml:space="preserve"> </w:t>
      </w:r>
      <w:r>
        <w:t xml:space="preserve">mejora medible.</w:t>
      </w:r>
    </w:p>
    <w:bookmarkEnd w:id="62"/>
    <w:bookmarkStart w:id="63" w:name="validación-de-la-segmentación"/>
    <w:p>
      <w:pPr>
        <w:pStyle w:val="Heading3"/>
      </w:pPr>
      <w:r>
        <w:t xml:space="preserve">6.5.3. Validación de la segmentación</w:t>
      </w:r>
    </w:p>
    <w:p>
      <w:pPr>
        <w:pStyle w:val="FirstParagraph"/>
      </w:pPr>
      <w:r>
        <w:t xml:space="preserve">Las particiones de productos y tiendas se validaron con tres procedimientos complementarios.</w:t>
      </w:r>
      <w:r>
        <w:t xml:space="preserve"> </w:t>
      </w:r>
      <w:r>
        <w:t xml:space="preserve">Las</w:t>
      </w:r>
      <w:r>
        <w:t xml:space="preserve"> </w:t>
      </w:r>
      <w:r>
        <w:rPr>
          <w:bCs/>
          <w:b/>
        </w:rPr>
        <w:t xml:space="preserve">métricas internas</w:t>
      </w:r>
      <w:r>
        <w:t xml:space="preserve"> </w:t>
      </w:r>
      <w:r>
        <w:t xml:space="preserve">—coeficiente de silueta, índice de Davies-Bouldin e índice de</w:t>
      </w:r>
      <w:r>
        <w:t xml:space="preserve"> </w:t>
      </w:r>
      <w:r>
        <w:t xml:space="preserve">Calinski-Harabasz— guiaron la elección del número de grupos. La</w:t>
      </w:r>
      <w:r>
        <w:t xml:space="preserve"> </w:t>
      </w:r>
      <w:r>
        <w:rPr>
          <w:bCs/>
          <w:b/>
        </w:rPr>
        <w:t xml:space="preserve">concordancia entre métodos</w:t>
      </w:r>
      <w:r>
        <w:t xml:space="preserve"> </w:t>
      </w:r>
      <w:r>
        <w:t xml:space="preserve">se midió con el índice de Rand ajustado, comparando la partición obtenida por</w:t>
      </w:r>
      <w:r>
        <w:t xml:space="preserve"> </w:t>
      </w:r>
      <w:r>
        <w:rPr>
          <w:iCs/>
          <w:i/>
        </w:rPr>
        <w:t xml:space="preserve">k</w:t>
      </w:r>
      <w:r>
        <w:t xml:space="preserve">-medias con la</w:t>
      </w:r>
      <w:r>
        <w:t xml:space="preserve"> </w:t>
      </w:r>
      <w:r>
        <w:t xml:space="preserve">del método jerárquico de Ward y con la de un modelo de mezclas gaussianas. Por último, la</w:t>
      </w:r>
      <w:r>
        <w:t xml:space="preserve"> </w:t>
      </w:r>
      <w:r>
        <w:rPr>
          <w:bCs/>
          <w:b/>
        </w:rPr>
        <w:t xml:space="preserve">estabilidad</w:t>
      </w:r>
      <w:r>
        <w:t xml:space="preserve"> </w:t>
      </w:r>
      <w:r>
        <w:t xml:space="preserve">se evaluó con un procedimiento de exclusión sucesiva: se repitió la</w:t>
      </w:r>
      <w:r>
        <w:t xml:space="preserve"> </w:t>
      </w:r>
      <w:r>
        <w:t xml:space="preserve">segmentación de tiendas eliminando una tienda cada vez y se midió con el índice de Jaccard</w:t>
      </w:r>
      <w:r>
        <w:t xml:space="preserve"> </w:t>
      </w:r>
      <w:r>
        <w:t xml:space="preserve">cuánto se conservaban los grupos.</w:t>
      </w:r>
    </w:p>
    <w:bookmarkEnd w:id="63"/>
    <w:bookmarkEnd w:id="64"/>
    <w:bookmarkStart w:id="68" w:name="métricas"/>
    <w:p>
      <w:pPr>
        <w:pStyle w:val="Heading2"/>
      </w:pPr>
      <w:r>
        <w:t xml:space="preserve">6.6. Métricas</w:t>
      </w:r>
    </w:p>
    <w:bookmarkStart w:id="65" w:name="error-de-predicción"/>
    <w:p>
      <w:pPr>
        <w:pStyle w:val="Heading3"/>
      </w:pPr>
      <w:r>
        <w:t xml:space="preserve">6.6.1. Error de predicción</w:t>
      </w:r>
    </w:p>
    <w:p>
      <w:pPr>
        <w:pStyle w:val="FirstParagraph"/>
      </w:pPr>
      <w:r>
        <w:t xml:space="preserve">Se emplean cuatro métricas, cada una para un propósito distinto.</w:t>
      </w:r>
    </w:p>
    <w:p>
      <w:pPr>
        <w:pStyle w:val="BodyText"/>
      </w:pPr>
      <w:r>
        <w:rPr>
          <w:bCs/>
          <w:b/>
        </w:rPr>
        <w:t xml:space="preserve">MAE y RMSE</w:t>
      </w:r>
      <w:r>
        <w:t xml:space="preserve"> </w:t>
      </w:r>
      <w:r>
        <w:t xml:space="preserve">describen el error en unidades de la variable. Son interpretables pero no</w:t>
      </w:r>
      <w:r>
        <w:t xml:space="preserve"> </w:t>
      </w:r>
      <w:r>
        <w:t xml:space="preserve">agregables entre series de escalas muy distintas: el error de una referencia que vende</w:t>
      </w:r>
      <w:r>
        <w:t xml:space="preserve"> </w:t>
      </w:r>
      <w:r>
        <w:t xml:space="preserve">doscientas unidades diarias domina cualquier promedio en el que participe una que vende dos.</w:t>
      </w:r>
    </w:p>
    <w:p>
      <w:pPr>
        <w:pStyle w:val="BodyText"/>
      </w:pPr>
      <w:r>
        <w:rPr>
          <w:bCs/>
          <w:b/>
        </w:rPr>
        <w:t xml:space="preserve">RMSSE</w:t>
      </w:r>
      <w:r>
        <w:t xml:space="preserve"> </w:t>
      </w:r>
      <w:r>
        <w:t xml:space="preserve">(</w:t>
      </w:r>
      <w:r>
        <w:rPr>
          <w:iCs/>
          <w:i/>
        </w:rPr>
        <w:t xml:space="preserve">root mean squared scaled error</w:t>
      </w:r>
      <w:r>
        <w:t xml:space="preserve">) resuelve ese problema escalando el error cuadrático</w:t>
      </w:r>
      <w:r>
        <w:t xml:space="preserve"> </w:t>
      </w:r>
      <w:r>
        <w:t xml:space="preserve">medio por el error que cometería una predicción ingenua estacional sobre el propio período de</w:t>
      </w:r>
      <w:r>
        <w:t xml:space="preserve"> </w:t>
      </w:r>
      <w:r>
        <w:t xml:space="preserve">entrenamiento: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RMSSE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h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</m:oMath>
      </m:oMathPara>
    </w:p>
    <w:p>
      <w:pPr>
        <w:pStyle w:val="FirstParagraph"/>
      </w:pPr>
      <w:r>
        <w:t xml:space="preserve">El denominador convierte la métrica en adimensional, de modo que un valor inferior a 1 indica</w:t>
      </w:r>
      <w:r>
        <w:t xml:space="preserve"> </w:t>
      </w:r>
      <w:r>
        <w:t xml:space="preserve">que el modelo supera a la referencia ingenua y uno superior, que no la supera. Es la métrica</w:t>
      </w:r>
      <w:r>
        <w:t xml:space="preserve"> </w:t>
      </w:r>
      <w:r>
        <w:t xml:space="preserve">que permite promediar entre las 30.490 series.</w:t>
      </w:r>
    </w:p>
    <w:p>
      <w:pPr>
        <w:pStyle w:val="BodyText"/>
      </w:pPr>
      <w:r>
        <w:rPr>
          <w:bCs/>
          <w:b/>
        </w:rPr>
        <w:t xml:space="preserve">WRMSSE</w:t>
      </w:r>
      <w:r>
        <w:t xml:space="preserve"> </w:t>
      </w:r>
      <w:r>
        <w:t xml:space="preserve">pondera el RMSSE de cada serie por su participación en la facturación. Es la métrica</w:t>
      </w:r>
      <w:r>
        <w:t xml:space="preserve"> </w:t>
      </w:r>
      <w:r>
        <w:t xml:space="preserve">principal del trabajo, porque una mejora del error en una referencia que factura mil dólares</w:t>
      </w:r>
      <w:r>
        <w:t xml:space="preserve"> </w:t>
      </w:r>
      <w:r>
        <w:t xml:space="preserve">diarios y otra en una que factura dos no tienen el mismo valor para la compañía.</w:t>
      </w:r>
    </w:p>
    <w:p>
      <w:pPr>
        <w:pStyle w:val="BodyText"/>
      </w:pPr>
      <w:r>
        <w:rPr>
          <w:bCs/>
          <w:b/>
        </w:rPr>
        <w:t xml:space="preserve">Pérdida pinball</w:t>
      </w:r>
      <w:r>
        <w:t xml:space="preserve"> </w:t>
      </w:r>
      <w:r>
        <w:t xml:space="preserve">evalúa las predicciones cuantílicas. Para un cuantil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y un error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τ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τ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e</m:t>
              </m:r>
            </m:e>
          </m:d>
        </m:oMath>
      </m:oMathPara>
    </w:p>
    <w:p>
      <w:pPr>
        <w:pStyle w:val="FirstParagraph"/>
      </w:pPr>
      <w:r>
        <w:t xml:space="preserve">La asimetría de la función es lo que hace que su minimización devuelva el cuantil buscado y no</w:t>
      </w:r>
      <w:r>
        <w:t xml:space="preserve"> </w:t>
      </w:r>
      <w:r>
        <w:t xml:space="preserve">la media: con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, quedarse corto penaliza nueve veces más que pasarse.</w:t>
      </w:r>
    </w:p>
    <w:p>
      <w:pPr>
        <w:pStyle w:val="BodyText"/>
      </w:pPr>
      <w:r>
        <w:t xml:space="preserve">Se acompaña de la</w:t>
      </w:r>
      <w:r>
        <w:t xml:space="preserve"> </w:t>
      </w:r>
      <w:r>
        <w:rPr>
          <w:bCs/>
          <w:b/>
        </w:rPr>
        <w:t xml:space="preserve">cobertura empírica</w:t>
      </w:r>
      <w:r>
        <w:t xml:space="preserve">: la proporción de observaciones reales que no superan</w:t>
      </w:r>
      <w:r>
        <w:t xml:space="preserve"> </w:t>
      </w:r>
      <w:r>
        <w:t xml:space="preserve">el percentil predicho. Una cobertura del 90% frente a un objetivo del 90% indica un intervalo</w:t>
      </w:r>
      <w:r>
        <w:t xml:space="preserve"> </w:t>
      </w:r>
      <w:r>
        <w:t xml:space="preserve">bien calibrado.</w:t>
      </w:r>
    </w:p>
    <w:bookmarkEnd w:id="65"/>
    <w:bookmarkStart w:id="66" w:name="métricas-de-segmentación"/>
    <w:p>
      <w:pPr>
        <w:pStyle w:val="Heading3"/>
      </w:pPr>
      <w:r>
        <w:t xml:space="preserve">6.6.2. Métricas de segmentación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coeficiente de silueta</w:t>
      </w:r>
      <w:r>
        <w:t xml:space="preserve"> </w:t>
      </w:r>
      <w:r>
        <w:t xml:space="preserve">compara, para cada elemento, su distancia media al propio grupo</w:t>
      </w:r>
      <w:r>
        <w:t xml:space="preserve"> </w:t>
      </w:r>
      <w:r>
        <w:t xml:space="preserve">con la distancia media al grupo vecino más próximo; toma valores en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y desciende de</w:t>
      </w:r>
      <w:r>
        <w:t xml:space="preserve"> </w:t>
      </w:r>
      <w:r>
        <w:t xml:space="preserve">forma natural al aumentar el número de grupos, por lo que se interpreta junto con las otras</w:t>
      </w:r>
      <w:r>
        <w:t xml:space="preserve"> </w:t>
      </w:r>
      <w:r>
        <w:t xml:space="preserve">dos. El</w:t>
      </w:r>
      <w:r>
        <w:t xml:space="preserve"> </w:t>
      </w:r>
      <w:r>
        <w:rPr>
          <w:bCs/>
          <w:b/>
        </w:rPr>
        <w:t xml:space="preserve">índice de Davies-Bouldin</w:t>
      </w:r>
      <w:r>
        <w:t xml:space="preserve"> </w:t>
      </w:r>
      <w:r>
        <w:t xml:space="preserve">mide la razón entre dispersión interna y separación entre</w:t>
      </w:r>
      <w:r>
        <w:t xml:space="preserve"> </w:t>
      </w:r>
      <w:r>
        <w:t xml:space="preserve">grupos, y se minimiza. El</w:t>
      </w:r>
      <w:r>
        <w:t xml:space="preserve"> </w:t>
      </w:r>
      <w:r>
        <w:rPr>
          <w:bCs/>
          <w:b/>
        </w:rPr>
        <w:t xml:space="preserve">índice de Calinski-Harabasz</w:t>
      </w:r>
      <w:r>
        <w:t xml:space="preserve"> </w:t>
      </w:r>
      <w:r>
        <w:t xml:space="preserve">es un cociente entre varianza</w:t>
      </w:r>
      <w:r>
        <w:t xml:space="preserve"> </w:t>
      </w:r>
      <w:r>
        <w:t xml:space="preserve">explicada e intragrupo, y se maximiza.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Cs/>
          <w:b/>
        </w:rPr>
        <w:t xml:space="preserve">índice de Rand ajustado</w:t>
      </w:r>
      <w:r>
        <w:t xml:space="preserve"> </w:t>
      </w:r>
      <w:r>
        <w:t xml:space="preserve">mide la concordancia entre dos particiones del mismo conjunto</w:t>
      </w:r>
      <w:r>
        <w:t xml:space="preserve"> </w:t>
      </w:r>
      <w:r>
        <w:t xml:space="preserve">corrigiendo por la coincidencia esperable al azar. El</w:t>
      </w:r>
      <w:r>
        <w:t xml:space="preserve"> </w:t>
      </w:r>
      <w:r>
        <w:rPr>
          <w:bCs/>
          <w:b/>
        </w:rPr>
        <w:t xml:space="preserve">índice de Jaccard</w:t>
      </w:r>
      <w:r>
        <w:t xml:space="preserve"> </w:t>
      </w:r>
      <w:r>
        <w:t xml:space="preserve">entre dos conjuntos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</m:oMath>
      <w:r>
        <w:t xml:space="preserve">— se emplea para medir cuánto se conserva un grupo entre dos</w:t>
      </w:r>
      <w:r>
        <w:t xml:space="preserve"> </w:t>
      </w:r>
      <w:r>
        <w:t xml:space="preserve">ejecuciones distintas de la segmentación.</w:t>
      </w:r>
    </w:p>
    <w:bookmarkEnd w:id="66"/>
    <w:bookmarkStart w:id="67" w:name="métricas-económicas"/>
    <w:p>
      <w:pPr>
        <w:pStyle w:val="Heading3"/>
      </w:pPr>
      <w:r>
        <w:t xml:space="preserve">6.6.3. Métricas económicas</w:t>
      </w:r>
    </w:p>
    <w:p>
      <w:pPr>
        <w:pStyle w:val="FirstParagraph"/>
      </w:pPr>
      <w:r>
        <w:t xml:space="preserve">La evaluación de la política de reposición abandona las métricas de error y se expresa en</w:t>
      </w:r>
      <w:r>
        <w:t xml:space="preserve"> </w:t>
      </w:r>
      <w:r>
        <w:t xml:space="preserve">dinero. Se distinguen tres componentes de coste sobre el horizonte simulado: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Margen perdido por rotura</w:t>
      </w:r>
      <w:r>
        <w:t xml:space="preserve">, calculado como las unidades de demanda no atendida</w:t>
      </w:r>
      <w:r>
        <w:t xml:space="preserve"> </w:t>
      </w:r>
      <w:r>
        <w:t xml:space="preserve">multiplicadas por el margen unitario.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Coste de mantenimiento</w:t>
      </w:r>
      <w:r>
        <w:t xml:space="preserve">, proporcional al inventario medio inmovilizado.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Merma</w:t>
      </w:r>
      <w:r>
        <w:t xml:space="preserve">, proporcional al remanente no vendido al final del ciclo.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nivel de servicio</w:t>
      </w:r>
      <w:r>
        <w:t xml:space="preserve"> </w:t>
      </w:r>
      <w:r>
        <w:t xml:space="preserve">se mide como la proporción de unidades de demanda atendidas sobre la</w:t>
      </w:r>
      <w:r>
        <w:t xml:space="preserve"> </w:t>
      </w:r>
      <w:r>
        <w:t xml:space="preserve">demanda total, y no como la proporción de ciclos sin rotura, que es una definición más</w:t>
      </w:r>
      <w:r>
        <w:t xml:space="preserve"> </w:t>
      </w:r>
      <w:r>
        <w:t xml:space="preserve">benévola.</w:t>
      </w:r>
    </w:p>
    <w:bookmarkEnd w:id="67"/>
    <w:bookmarkEnd w:id="68"/>
    <w:bookmarkStart w:id="69" w:name="reproducibilidad"/>
    <w:p>
      <w:pPr>
        <w:pStyle w:val="Heading2"/>
      </w:pPr>
      <w:r>
        <w:t xml:space="preserve">6.7. Reproducibilidad</w:t>
      </w:r>
    </w:p>
    <w:p>
      <w:pPr>
        <w:pStyle w:val="FirstParagraph"/>
      </w:pPr>
      <w:r>
        <w:t xml:space="preserve">Todo el trabajo se ejecuta desde el almacén analítico y no desde ficheros temporales, de modo</w:t>
      </w:r>
      <w:r>
        <w:t xml:space="preserve"> </w:t>
      </w:r>
      <w:r>
        <w:t xml:space="preserve">que borrar cualquier caché no impide reproducir ningún resultado. Los cinco cuadernos se</w:t>
      </w:r>
      <w:r>
        <w:t xml:space="preserve"> </w:t>
      </w:r>
      <w:r>
        <w:t xml:space="preserve">generan a partir de guiones de construcción versionados —no se editan a mano—, lo que garantiza</w:t>
      </w:r>
      <w:r>
        <w:t xml:space="preserve"> </w:t>
      </w:r>
      <w:r>
        <w:t xml:space="preserve">que el cuaderno entregado y el código que lo produce no puedan divergir. Las semillas</w:t>
      </w:r>
      <w:r>
        <w:t xml:space="preserve"> </w:t>
      </w:r>
      <w:r>
        <w:t xml:space="preserve">aleatorias están fijadas en todos los procedimientos con componente estocástica.</w:t>
      </w:r>
    </w:p>
    <w:p>
      <w:pPr>
        <w:pStyle w:val="BodyText"/>
      </w:pPr>
      <w:r>
        <w:t xml:space="preserve">El entorno de ejecución y los tiempos de referencia de cada etapa se detallan en el anexo, junto</w:t>
      </w:r>
      <w:r>
        <w:t xml:space="preserve"> </w:t>
      </w:r>
      <w:r>
        <w:t xml:space="preserve">con el procedimiento completo de reconstrucción desde los ficheros de origen.</w:t>
      </w:r>
      <w:r>
        <w:t xml:space="preserve"> </w:t>
      </w:r>
      <w:r>
        <w:t xml:space="preserve"># 7. Resultados y conclusiones</w:t>
      </w:r>
    </w:p>
    <w:bookmarkEnd w:id="69"/>
    <w:bookmarkStart w:id="122" w:name="qué-está-pasando-en-las-tiendas"/>
    <w:p>
      <w:pPr>
        <w:pStyle w:val="Heading2"/>
      </w:pPr>
      <w:r>
        <w:t xml:space="preserve">7.1. Qué está pasando en las tiendas</w:t>
      </w:r>
    </w:p>
    <w:p>
      <w:pPr>
        <w:pStyle w:val="BlockText"/>
      </w:pPr>
      <w:r>
        <w:t xml:space="preserve">«Mirá en profundidad cómo se está vendiendo.»</w:t>
      </w:r>
      <w:r>
        <w:t xml:space="preserve"> </w:t>
      </w:r>
      <w:r>
        <w:t xml:space="preserve">— Michelle Huggins, directora de datos de DSMarket</w:t>
      </w:r>
    </w:p>
    <w:p>
      <w:pPr>
        <w:pStyle w:val="FirstParagraph"/>
      </w:pPr>
      <w:r>
        <w:t xml:space="preserve">La primera petición del encargo no plantea un problema de modelado sino de descripción. Antes de</w:t>
      </w:r>
      <w:r>
        <w:t xml:space="preserve"> </w:t>
      </w:r>
      <w:r>
        <w:t xml:space="preserve">predecir nada conviene saber si la demanda de DSMarket es una sola cosa o varias, porque de esa</w:t>
      </w:r>
      <w:r>
        <w:t xml:space="preserve"> </w:t>
      </w:r>
      <w:r>
        <w:t xml:space="preserve">respuesta depende que tenga sentido tratar la cadena como un único sistema o haga falta</w:t>
      </w:r>
      <w:r>
        <w:t xml:space="preserve"> </w:t>
      </w:r>
      <w:r>
        <w:t xml:space="preserve">segmentarla. El análisis exploratorio se organizó, por tanto, alrededor de una pregunta</w:t>
      </w:r>
      <w:r>
        <w:t xml:space="preserve"> </w:t>
      </w:r>
      <w:r>
        <w:t xml:space="preserve">concreta:</w:t>
      </w:r>
      <w:r>
        <w:t xml:space="preserve"> </w:t>
      </w:r>
      <w:r>
        <w:rPr>
          <w:bCs/>
          <w:b/>
        </w:rPr>
        <w:t xml:space="preserve">¿hasta qué punto se parecen entre sí las diez tiendas?</w:t>
      </w:r>
    </w:p>
    <w:bookmarkStart w:id="70" w:name="la-estructura-temporal"/>
    <w:p>
      <w:pPr>
        <w:pStyle w:val="Heading3"/>
      </w:pPr>
      <w:r>
        <w:t xml:space="preserve">7.1.1. La estructura temporal</w:t>
      </w:r>
    </w:p>
    <w:p>
      <w:pPr>
        <w:pStyle w:val="FirstParagraph"/>
      </w:pPr>
      <w:r>
        <w:t xml:space="preserve">La serie agregada de la cadena muestra los tres componentes esperables en un minorista de</w:t>
      </w:r>
      <w:r>
        <w:t xml:space="preserve"> </w:t>
      </w:r>
      <w:r>
        <w:t xml:space="preserve">alimentación. Una</w:t>
      </w:r>
      <w:r>
        <w:t xml:space="preserve"> </w:t>
      </w:r>
      <w:r>
        <w:rPr>
          <w:bCs/>
          <w:b/>
        </w:rPr>
        <w:t xml:space="preserve">tendencia</w:t>
      </w:r>
      <w:r>
        <w:t xml:space="preserve"> </w:t>
      </w:r>
      <w:r>
        <w:t xml:space="preserve">suavemente creciente a lo largo de los cinco años. Una</w:t>
      </w:r>
      <w:r>
        <w:t xml:space="preserve"> </w:t>
      </w:r>
      <w:r>
        <w:rPr>
          <w:bCs/>
          <w:b/>
        </w:rPr>
        <w:t xml:space="preserve">estacionalidad semanal</w:t>
      </w:r>
      <w:r>
        <w:t xml:space="preserve"> </w:t>
      </w:r>
      <w:r>
        <w:t xml:space="preserve">marcada, con el fin de semana por encima de la media y el punto bajo</w:t>
      </w:r>
      <w:r>
        <w:t xml:space="preserve"> </w:t>
      </w:r>
      <w:r>
        <w:t xml:space="preserve">a mitad de semana. Y una</w:t>
      </w:r>
      <w:r>
        <w:t xml:space="preserve"> </w:t>
      </w:r>
      <w:r>
        <w:rPr>
          <w:bCs/>
          <w:b/>
        </w:rPr>
        <w:t xml:space="preserve">estacionalidad anual</w:t>
      </w:r>
      <w:r>
        <w:t xml:space="preserve"> </w:t>
      </w:r>
      <w:r>
        <w:t xml:space="preserve">con máximo en verano y un comportamiento</w:t>
      </w:r>
      <w:r>
        <w:t xml:space="preserve"> </w:t>
      </w:r>
      <w:r>
        <w:t xml:space="preserve">particular en diciembre, que resulta ser el mes con mayor dispersión entre productos: no es que</w:t>
      </w:r>
      <w:r>
        <w:t xml:space="preserve"> </w:t>
      </w:r>
      <w:r>
        <w:t xml:space="preserve">diciembre venda más de todo, es que vende mucho más de unas pocas referencias.</w:t>
      </w:r>
    </w:p>
    <w:p>
      <w:pPr>
        <w:pStyle w:val="BodyText"/>
      </w:pPr>
      <w:r>
        <w:t xml:space="preserve">Los días de cierre de establecimiento aparecen con claridad como ceros exactos en la venta</w:t>
      </w:r>
      <w:r>
        <w:t xml:space="preserve"> </w:t>
      </w:r>
      <w:r>
        <w:t xml:space="preserve">agregada de una tienda. Se identificaron y se marcaron, y su tratamiento tiene consecuencias</w:t>
      </w:r>
      <w:r>
        <w:t xml:space="preserve"> </w:t>
      </w:r>
      <w:r>
        <w:t xml:space="preserve">que se cuantifican en §7.3.</w:t>
      </w:r>
    </w:p>
    <w:p>
      <w:pPr>
        <w:pStyle w:val="BlockText"/>
      </w:pPr>
      <w:r>
        <w:rPr>
          <w:bCs/>
          <w:b/>
        </w:rPr>
        <w:t xml:space="preserve">[FIGURA 7.1]</w:t>
      </w:r>
      <w:r>
        <w:t xml:space="preserve"> </w:t>
      </w:r>
      <w:r>
        <w:rPr>
          <w:iCs/>
          <w:i/>
        </w:rPr>
        <w:t xml:space="preserve">Serie agregada de ventas diarias y su descomposición en tendencia, estacionalidad y residuo.</w:t>
      </w:r>
      <w:r>
        <w:t xml:space="preserve"> </w:t>
      </w:r>
      <w:r>
        <w:rPr>
          <w:rStyle w:val="VerbatimChar"/>
        </w:rPr>
        <w:t xml:space="preserve">Fuente: Cuaderno 01, sección de descomposición. Exportar a 200 ppp.</w:t>
      </w:r>
    </w:p>
    <w:bookmarkEnd w:id="70"/>
    <w:bookmarkStart w:id="71" w:name="los-eventos-que-importan-y-el-que-no"/>
    <w:p>
      <w:pPr>
        <w:pStyle w:val="Heading3"/>
      </w:pPr>
      <w:r>
        <w:t xml:space="preserve">7.1.2. Los eventos que importan y el que no</w:t>
      </w:r>
    </w:p>
    <w:p>
      <w:pPr>
        <w:pStyle w:val="FirstParagraph"/>
      </w:pPr>
      <w:r>
        <w:t xml:space="preserve">De los eventos etiquetados en el calendario, tres muestran un efecto consistente sobre la</w:t>
      </w:r>
      <w:r>
        <w:t xml:space="preserve"> </w:t>
      </w:r>
      <w:r>
        <w:t xml:space="preserve">demanda una vez controlado el día de la semana:</w:t>
      </w:r>
      <w:r>
        <w:t xml:space="preserve"> </w:t>
      </w:r>
      <w:r>
        <w:rPr>
          <w:bCs/>
          <w:b/>
        </w:rPr>
        <w:t xml:space="preserve">Labor Day</w:t>
      </w:r>
      <w:r>
        <w:t xml:space="preserve">,</w:t>
      </w:r>
      <w:r>
        <w:t xml:space="preserve"> </w:t>
      </w:r>
      <w:r>
        <w:rPr>
          <w:bCs/>
          <w:b/>
        </w:rPr>
        <w:t xml:space="preserve">SuperBowl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Easter</w:t>
      </w:r>
      <w:r>
        <w:t xml:space="preserve">, con</w:t>
      </w:r>
      <w:r>
        <w:t xml:space="preserve"> </w:t>
      </w:r>
      <w:r>
        <w:t xml:space="preserve">elevaciones de entre el</w:t>
      </w:r>
      <w:r>
        <w:t xml:space="preserve"> </w:t>
      </w:r>
      <w:r>
        <w:rPr>
          <w:bCs/>
          <w:b/>
        </w:rPr>
        <w:t xml:space="preserve">15% y el 22%</w:t>
      </w:r>
      <w:r>
        <w:t xml:space="preserve"> </w:t>
      </w:r>
      <w:r>
        <w:t xml:space="preserve">sobre la venta media. Se incorporaron como variables al</w:t>
      </w:r>
      <w:r>
        <w:t xml:space="preserve"> </w:t>
      </w:r>
      <w:r>
        <w:t xml:space="preserve">conjunto de predictores.</w:t>
      </w:r>
    </w:p>
    <w:p>
      <w:pPr>
        <w:pStyle w:val="BodyText"/>
      </w:pPr>
      <w:r>
        <w:t xml:space="preserve">Un cuarto candidato quedó fuera, y merece un párrafo porque la decisión de excluirlo es un</w:t>
      </w:r>
      <w:r>
        <w:t xml:space="preserve"> </w:t>
      </w:r>
      <w:r>
        <w:t xml:space="preserve">resultado.</w:t>
      </w:r>
      <w:r>
        <w:t xml:space="preserve"> </w:t>
      </w:r>
      <w:r>
        <w:rPr>
          <w:bCs/>
          <w:b/>
        </w:rPr>
        <w:t xml:space="preserve">Black Friday</w:t>
      </w:r>
      <w:r>
        <w:t xml:space="preserve"> </w:t>
      </w:r>
      <w:r>
        <w:t xml:space="preserve">se había incorporado inicialmente al análisis por expectativa</w:t>
      </w:r>
      <w:r>
        <w:t xml:space="preserve"> </w:t>
      </w:r>
      <w:r>
        <w:t xml:space="preserve">comercial: es la fecha que cualquier informe de minorista destaca. El histórico de DSMarket no</w:t>
      </w:r>
      <w:r>
        <w:t xml:space="preserve"> </w:t>
      </w:r>
      <w:r>
        <w:t xml:space="preserve">muestra en esa fecha pico alguno distinguible del ruido. La tentación de presentarlo como una</w:t>
      </w:r>
      <w:r>
        <w:t xml:space="preserve"> </w:t>
      </w:r>
      <w:r>
        <w:t xml:space="preserve">oportunidad comercial desaprovechada —«la cadena no está capturando el efecto Black Friday»— era</w:t>
      </w:r>
      <w:r>
        <w:t xml:space="preserve"> </w:t>
      </w:r>
      <w:r>
        <w:t xml:space="preserve">considerable y habría dado un titular atractivo. El dato no la sostenía, y se retiró del</w:t>
      </w:r>
      <w:r>
        <w:t xml:space="preserve"> </w:t>
      </w:r>
      <w:r>
        <w:t xml:space="preserve">conjunto de eventos relevantes. Que la ausencia de efecto se deba a la política comercial de la</w:t>
      </w:r>
      <w:r>
        <w:t xml:space="preserve"> </w:t>
      </w:r>
      <w:r>
        <w:t xml:space="preserve">compañía, a la naturaleza de su catálogo o a la codificación del calendario es una pregunta que</w:t>
      </w:r>
      <w:r>
        <w:t xml:space="preserve"> </w:t>
      </w:r>
      <w:r>
        <w:t xml:space="preserve">estos datos no permiten responder, y así se deja consignado.</w:t>
      </w:r>
    </w:p>
    <w:p>
      <w:pPr>
        <w:pStyle w:val="BlockText"/>
      </w:pPr>
      <w:r>
        <w:rPr>
          <w:bCs/>
          <w:b/>
        </w:rPr>
        <w:t xml:space="preserve">[FIGURA 7.2]</w:t>
      </w:r>
      <w:r>
        <w:t xml:space="preserve"> </w:t>
      </w:r>
      <w:r>
        <w:rPr>
          <w:iCs/>
          <w:i/>
        </w:rPr>
        <w:t xml:space="preserve">Coeficiente de elevación por evento del calendario, con Black Friday señalado.</w:t>
      </w:r>
      <w:r>
        <w:t xml:space="preserve"> </w:t>
      </w:r>
      <w:r>
        <w:rPr>
          <w:rStyle w:val="VerbatimChar"/>
        </w:rPr>
        <w:t xml:space="preserve">Fuente: Cuaderno 01. La figura debe incluir Black Friday para que el lector vea la ausencia de pico.</w:t>
      </w:r>
    </w:p>
    <w:bookmarkEnd w:id="71"/>
    <w:bookmarkStart w:id="72" w:name="las-tiendas-no-son-intercambiables"/>
    <w:p>
      <w:pPr>
        <w:pStyle w:val="Heading3"/>
      </w:pPr>
      <w:r>
        <w:t xml:space="preserve">7.1.3. Las tiendas no son intercambiables</w:t>
      </w:r>
    </w:p>
    <w:p>
      <w:pPr>
        <w:pStyle w:val="FirstParagraph"/>
      </w:pPr>
      <w:r>
        <w:t xml:space="preserve">El hallazgo que sostiene el capítulo procede de una comparación deliberadamente simple. Para</w:t>
      </w:r>
      <w:r>
        <w:t xml:space="preserve"> </w:t>
      </w:r>
      <w:r>
        <w:t xml:space="preserve">cada ciudad se extrajeron los quince productos más vendidos y se examinó cuántos de ellos son</w:t>
      </w:r>
      <w:r>
        <w:t xml:space="preserve"> </w:t>
      </w:r>
      <w:r>
        <w:t xml:space="preserve">comunes a las tres.</w:t>
      </w:r>
    </w:p>
    <w:p>
      <w:pPr>
        <w:pStyle w:val="BodyText"/>
      </w:pPr>
      <w:r>
        <w:rPr>
          <w:bCs/>
          <w:b/>
        </w:rPr>
        <w:t xml:space="preserve">Solo cinco de quince.</w:t>
      </w:r>
      <w:r>
        <w:t xml:space="preserve"> </w:t>
      </w:r>
      <w:r>
        <w:t xml:space="preserve">Dos tercios de los productos que encabezan las ventas en una ciudad no</w:t>
      </w:r>
      <w:r>
        <w:t xml:space="preserve"> </w:t>
      </w:r>
      <w:r>
        <w:t xml:space="preserve">encabezan las de las otras dos. La descomposición por ciudad hace el contraste más nítido: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Ciudad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Productos del top 15 comunes a las tres ciudades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de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Nueva York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de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Filadelfia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de 15</w:t>
            </w:r>
          </w:p>
        </w:tc>
      </w:tr>
    </w:tbl>
    <w:p>
      <w:pPr>
        <w:pStyle w:val="BodyText"/>
      </w:pPr>
      <w:r>
        <w:t xml:space="preserve">Filadelfia es el caso extremo: once de sus quince referencias más vendidas no aparecen en el top</w:t>
      </w:r>
      <w:r>
        <w:t xml:space="preserve"> </w:t>
      </w:r>
      <w:r>
        <w:t xml:space="preserve">de las otras dos ciudades. Es la ciudad con el perfil de demanda más idiosincrásico de la</w:t>
      </w:r>
      <w:r>
        <w:t xml:space="preserve"> </w:t>
      </w:r>
      <w:r>
        <w:t xml:space="preserve">cadena, y ese hecho tiene consecuencias directas sobre el diseño de campañas —una promoción</w:t>
      </w:r>
      <w:r>
        <w:t xml:space="preserve"> </w:t>
      </w:r>
      <w:r>
        <w:t xml:space="preserve">uniforme para toda la red desperdicia esfuerzo en dos tercios del catálogo— y sobre el</w:t>
      </w:r>
      <w:r>
        <w:t xml:space="preserve"> </w:t>
      </w:r>
      <w:r>
        <w:t xml:space="preserve">modelado, que es lo que abre el capítulo siguiente.</w:t>
      </w:r>
    </w:p>
    <w:p>
      <w:pPr>
        <w:pStyle w:val="BlockText"/>
      </w:pPr>
      <w:r>
        <w:rPr>
          <w:bCs/>
          <w:b/>
        </w:rPr>
        <w:t xml:space="preserve">[FIGURA 7.3]</w:t>
      </w:r>
      <w:r>
        <w:t xml:space="preserve"> </w:t>
      </w:r>
      <w:r>
        <w:rPr>
          <w:iCs/>
          <w:i/>
        </w:rPr>
        <w:t xml:space="preserve">Solapamiento de los quince productos más vendidos entre las tres ciudades.</w:t>
      </w:r>
      <w:r>
        <w:t xml:space="preserve"> </w:t>
      </w:r>
      <w:r>
        <w:rPr>
          <w:rStyle w:val="VerbatimChar"/>
        </w:rPr>
        <w:t xml:space="preserve">Fuente: Cuaderno 01, diagrama de conjuntos o matriz de coincidencia.</w:t>
      </w:r>
    </w:p>
    <w:bookmarkEnd w:id="72"/>
    <w:bookmarkStart w:id="73" w:name="el-precio-y-un-resultado-contraintuitivo"/>
    <w:p>
      <w:pPr>
        <w:pStyle w:val="Heading3"/>
      </w:pPr>
      <w:r>
        <w:t xml:space="preserve">7.1.4. El precio, y un resultado contraintuitivo</w:t>
      </w:r>
    </w:p>
    <w:p>
      <w:pPr>
        <w:pStyle w:val="FirstParagraph"/>
      </w:pPr>
      <w:r>
        <w:t xml:space="preserve">El análisis de la dispersión de precios entre tiendas para una misma referencia buscaba</w:t>
      </w:r>
      <w:r>
        <w:t xml:space="preserve"> </w:t>
      </w:r>
      <w:r>
        <w:t xml:space="preserve">localizar dónde la compañía practica precios diferenciados. La expectativa razonable era</w:t>
      </w:r>
      <w:r>
        <w:t xml:space="preserve"> </w:t>
      </w:r>
      <w:r>
        <w:t xml:space="preserve">encontrarla en artículos de valor unitario alto, donde unos céntimos de diferencia son</w:t>
      </w:r>
      <w:r>
        <w:t xml:space="preserve"> </w:t>
      </w:r>
      <w:r>
        <w:t xml:space="preserve">irrelevantes y unos euros no lo son.</w:t>
      </w:r>
    </w:p>
    <w:p>
      <w:pPr>
        <w:pStyle w:val="BodyText"/>
      </w:pPr>
      <w:r>
        <w:t xml:space="preserve">El resultado fue el contrario. La categoría con mayor dispersión relativa de precios entre</w:t>
      </w:r>
      <w:r>
        <w:t xml:space="preserve"> </w:t>
      </w:r>
      <w:r>
        <w:t xml:space="preserve">establecimientos es</w:t>
      </w:r>
      <w:r>
        <w:t xml:space="preserve"> </w:t>
      </w:r>
      <w:r>
        <w:rPr>
          <w:bCs/>
          <w:b/>
        </w:rPr>
        <w:t xml:space="preserve">SUPERMARKET, con un 2,75%</w:t>
      </w:r>
      <w:r>
        <w:t xml:space="preserve">, por delante de las categorías de artículos de</w:t>
      </w:r>
      <w:r>
        <w:t xml:space="preserve"> </w:t>
      </w:r>
      <w:r>
        <w:t xml:space="preserve">mayor precio unitario. La lectura más plausible es que la diferenciación se concentra donde hay</w:t>
      </w:r>
      <w:r>
        <w:t xml:space="preserve"> </w:t>
      </w:r>
      <w:r>
        <w:t xml:space="preserve">volumen y competencia local, no donde hay margen unitario; pero el dato disponible permite</w:t>
      </w:r>
      <w:r>
        <w:t xml:space="preserve"> </w:t>
      </w:r>
      <w:r>
        <w:t xml:space="preserve">constatar el hecho, no explicarlo.</w:t>
      </w:r>
    </w:p>
    <w:p>
      <w:pPr>
        <w:pStyle w:val="BlockText"/>
      </w:pPr>
      <w:r>
        <w:rPr>
          <w:bCs/>
          <w:b/>
        </w:rPr>
        <w:t xml:space="preserve">[FIGURA 7.4]</w:t>
      </w:r>
      <w:r>
        <w:t xml:space="preserve"> </w:t>
      </w:r>
      <w:r>
        <w:rPr>
          <w:iCs/>
          <w:i/>
        </w:rPr>
        <w:t xml:space="preserve">Dispersión relativa de precios entre tiendas, por categoría.</w:t>
      </w:r>
      <w:r>
        <w:t xml:space="preserve"> </w:t>
      </w:r>
      <w:r>
        <w:rPr>
          <w:rStyle w:val="VerbatimChar"/>
        </w:rPr>
        <w:t xml:space="preserve">Fuente: Cuaderno 01. Ordenar las categorías por dispersión descendente.</w:t>
      </w:r>
    </w:p>
    <w:p>
      <w:pPr>
        <w:pStyle w:val="FirstParagraph"/>
      </w:pPr>
      <w:r>
        <w:t xml:space="preserve">Este resultado condiciona el capítulo §7.5: si el precio se mueve, hay algo que estimar. La</w:t>
      </w:r>
      <w:r>
        <w:t xml:space="preserve"> </w:t>
      </w:r>
      <w:r>
        <w:t xml:space="preserve">pregunta de si ese movimiento permite identificar un efecto causal se responde allí, y la</w:t>
      </w:r>
      <w:r>
        <w:t xml:space="preserve"> </w:t>
      </w:r>
      <w:r>
        <w:t xml:space="preserve">respuesta no es la esperable.</w:t>
      </w:r>
    </w:p>
    <w:bookmarkEnd w:id="73"/>
    <w:bookmarkStart w:id="74" w:name="qué-abre-el-capítulo-siguiente"/>
    <w:p>
      <w:pPr>
        <w:pStyle w:val="Heading3"/>
      </w:pPr>
      <w:r>
        <w:t xml:space="preserve">7.1.5. Qué abre el capítulo siguiente</w:t>
      </w:r>
    </w:p>
    <w:p>
      <w:pPr>
        <w:pStyle w:val="FirstParagraph"/>
      </w:pPr>
      <w:r>
        <w:t xml:space="preserve">El análisis exploratorio deja establecido que la demanda de DSMarket no es homogénea: varía</w:t>
      </w:r>
      <w:r>
        <w:t xml:space="preserve"> </w:t>
      </w:r>
      <w:r>
        <w:t xml:space="preserve">entre ciudades, varía entre tiendas de una misma ciudad y varía entre productos de una misma</w:t>
      </w:r>
      <w:r>
        <w:t xml:space="preserve"> </w:t>
      </w:r>
      <w:r>
        <w:t xml:space="preserve">categoría. Un modelo único para toda la cadena ignoraría esa estructura; un modelo por serie</w:t>
      </w:r>
      <w:r>
        <w:t xml:space="preserve"> </w:t>
      </w:r>
      <w:r>
        <w:t xml:space="preserve">—30.490 modelos— sería inmanejable y además desaprovecharía la información compartida entre</w:t>
      </w:r>
      <w:r>
        <w:t xml:space="preserve"> </w:t>
      </w:r>
      <w:r>
        <w:t xml:space="preserve">series parecidas.</w:t>
      </w:r>
    </w:p>
    <w:p>
      <w:pPr>
        <w:pStyle w:val="BodyText"/>
      </w:pPr>
      <w:r>
        <w:t xml:space="preserve">La salida es agrupar antes de modelar. Ese es el objeto del capítulo siguiente.</w:t>
      </w:r>
      <w:r>
        <w:t xml:space="preserve"> </w:t>
      </w:r>
      <w:r>
        <w:t xml:space="preserve">## 7.2. Cómo se comportan los productos y las tiendas</w:t>
      </w:r>
    </w:p>
    <w:p>
      <w:pPr>
        <w:pStyle w:val="BlockText"/>
      </w:pPr>
      <w:r>
        <w:t xml:space="preserve">«Necesitamos agrupar productos que se comporten de forma parecida, para poder evaluar</w:t>
      </w:r>
      <w:r>
        <w:t xml:space="preserve"> </w:t>
      </w:r>
      <w:r>
        <w:t xml:space="preserve">campañas sobre grupos y no sobre referencias sueltas.»</w:t>
      </w:r>
      <w:r>
        <w:t xml:space="preserve"> </w:t>
      </w:r>
      <w:r>
        <w:t xml:space="preserve">— Joelle, área de marketing</w:t>
      </w:r>
    </w:p>
    <w:p>
      <w:pPr>
        <w:pStyle w:val="FirstParagraph"/>
      </w:pPr>
      <w:r>
        <w:t xml:space="preserve">El capítulo anterior estableció que la demanda no es homogénea. Este construye las agrupaciones</w:t>
      </w:r>
      <w:r>
        <w:t xml:space="preserve"> </w:t>
      </w:r>
      <w:r>
        <w:t xml:space="preserve">que capturan esa heterogeneidad, con dos requisitos: que sean estables —que no dependan de qué</w:t>
      </w:r>
      <w:r>
        <w:t xml:space="preserve"> </w:t>
      </w:r>
      <w:r>
        <w:t xml:space="preserve">tiendas concretas entran en el cálculo— y que admitan una lectura de negocio.</w:t>
      </w:r>
    </w:p>
    <w:bookmarkEnd w:id="74"/>
    <w:bookmarkStart w:id="75" w:name="qué-se-agrupa-y-con-qué-variables"/>
    <w:p>
      <w:pPr>
        <w:pStyle w:val="Heading3"/>
      </w:pPr>
      <w:r>
        <w:t xml:space="preserve">7.2.1. Qué se agrupa y con qué variables</w:t>
      </w:r>
    </w:p>
    <w:p>
      <w:pPr>
        <w:pStyle w:val="FirstParagraph"/>
      </w:pPr>
      <w:r>
        <w:t xml:space="preserve">La segmentación se realiza sobre el</w:t>
      </w:r>
      <w:r>
        <w:t xml:space="preserve"> </w:t>
      </w:r>
      <w:r>
        <w:rPr>
          <w:bCs/>
          <w:b/>
        </w:rPr>
        <w:t xml:space="preserve">perfil de demanda</w:t>
      </w:r>
      <w:r>
        <w:t xml:space="preserve">, no sobre los atributos del producto.</w:t>
      </w:r>
      <w:r>
        <w:t xml:space="preserve"> </w:t>
      </w:r>
      <w:r>
        <w:t xml:space="preserve">Dos referencias de departamentos distintos que se venden igual pertenecen al mismo grupo; dos</w:t>
      </w:r>
      <w:r>
        <w:t xml:space="preserve"> </w:t>
      </w:r>
      <w:r>
        <w:t xml:space="preserve">referencias del mismo departamento que se venden de forma distinta, no. Esto es lo que hace la</w:t>
      </w:r>
      <w:r>
        <w:t xml:space="preserve"> </w:t>
      </w:r>
      <w:r>
        <w:t xml:space="preserve">segmentación útil para diseñar campañas: agrupa por comportamiento, que es lo que una campaña</w:t>
      </w:r>
      <w:r>
        <w:t xml:space="preserve"> </w:t>
      </w:r>
      <w:r>
        <w:t xml:space="preserve">puede mover, y no por catálogo, que ya está en la ficha del producto.</w:t>
      </w:r>
    </w:p>
    <w:p>
      <w:pPr>
        <w:pStyle w:val="BodyText"/>
      </w:pPr>
      <w:r>
        <w:t xml:space="preserve">El vector que describe cada producto reúne cuatro bloques: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Perfil semanal</w:t>
      </w:r>
      <w:r>
        <w:t xml:space="preserve">: la distribución de la venta entre los siete días de la semana, normalizada.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Perfil mensual</w:t>
      </w:r>
      <w:r>
        <w:t xml:space="preserve">: la distribución entre los doce meses, normalizada, que captura la</w:t>
      </w:r>
      <w:r>
        <w:t xml:space="preserve"> </w:t>
      </w:r>
      <w:r>
        <w:t xml:space="preserve">estacionalidad.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Elevación en diciembre</w:t>
      </w:r>
      <w:r>
        <w:t xml:space="preserve"> </w:t>
      </w:r>
      <w:r>
        <w:t xml:space="preserve">(</w:t>
      </w:r>
      <w:r>
        <w:rPr>
          <w:rStyle w:val="VerbatimChar"/>
        </w:rPr>
        <w:t xml:space="preserve">dec_lift</w:t>
      </w:r>
      <w:r>
        <w:t xml:space="preserve">): el cociente entre la venta media de diciembre y la</w:t>
      </w:r>
      <w:r>
        <w:t xml:space="preserve"> </w:t>
      </w:r>
      <w:r>
        <w:t xml:space="preserve">venta media anual.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Elevación en eventos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event_lift</w:t>
      </w:r>
      <w:r>
        <w:t xml:space="preserve">): el mismo cociente para los días con evento relevante.</w:t>
      </w:r>
    </w:p>
    <w:p>
      <w:pPr>
        <w:pStyle w:val="FirstParagraph"/>
      </w:pPr>
      <w:r>
        <w:t xml:space="preserve">Las dos últimas variables se añadieron precisamente para que la segmentación pudiera distinguir</w:t>
      </w:r>
      <w:r>
        <w:t xml:space="preserve"> </w:t>
      </w:r>
      <w:r>
        <w:t xml:space="preserve">comportamientos de campaña, que era la finalidad del encargo.</w:t>
      </w:r>
    </w:p>
    <w:p>
      <w:pPr>
        <w:pStyle w:val="BodyText"/>
      </w:pPr>
      <w:r>
        <w:rPr>
          <w:bCs/>
          <w:b/>
        </w:rPr>
        <w:t xml:space="preserve">Limitación reconocida.</w:t>
      </w:r>
      <w:r>
        <w:t xml:space="preserve"> </w:t>
      </w:r>
      <w:r>
        <w:t xml:space="preserve">Los perfiles semanal y mensual son datos composicionales: sus</w:t>
      </w:r>
      <w:r>
        <w:t xml:space="preserve"> </w:t>
      </w:r>
      <w:r>
        <w:t xml:space="preserve">componentes suman uno por construcción, de modo que operar sobre ellos con distancia euclídea</w:t>
      </w:r>
      <w:r>
        <w:t xml:space="preserve"> </w:t>
      </w:r>
      <w:r>
        <w:t xml:space="preserve">—como hace</w:t>
      </w:r>
      <w:r>
        <w:t xml:space="preserve"> </w:t>
      </w:r>
      <w:r>
        <w:rPr>
          <w:iCs/>
          <w:i/>
        </w:rPr>
        <w:t xml:space="preserve">k</w:t>
      </w:r>
      <w:r>
        <w:t xml:space="preserve">-medias— no respeta la geometría del símplex en el que viven. El tratamiento</w:t>
      </w:r>
      <w:r>
        <w:t xml:space="preserve"> </w:t>
      </w:r>
      <w:r>
        <w:t xml:space="preserve">riguroso pasaría por una transformación logarítmica de razones antes de agrupar. No se aplicó,</w:t>
      </w:r>
      <w:r>
        <w:t xml:space="preserve"> </w:t>
      </w:r>
      <w:r>
        <w:t xml:space="preserve">y se consigna como limitación metodológica; los resultados de estabilidad de §7.2.5 sugieren que</w:t>
      </w:r>
      <w:r>
        <w:t xml:space="preserve"> </w:t>
      </w:r>
      <w:r>
        <w:t xml:space="preserve">el efecto práctico sobre esta partición concreta es menor, pero eso es evidencia indirecta y no</w:t>
      </w:r>
      <w:r>
        <w:t xml:space="preserve"> </w:t>
      </w:r>
      <w:r>
        <w:t xml:space="preserve">una demostración.</w:t>
      </w:r>
    </w:p>
    <w:bookmarkEnd w:id="75"/>
    <w:bookmarkStart w:id="76" w:name="elección-del-número-de-grupos"/>
    <w:p>
      <w:pPr>
        <w:pStyle w:val="Heading3"/>
      </w:pPr>
      <w:r>
        <w:t xml:space="preserve">7.2.2. Elección del número de grupos</w:t>
      </w:r>
    </w:p>
    <w:p>
      <w:pPr>
        <w:pStyle w:val="FirstParagraph"/>
      </w:pPr>
      <w:r>
        <w:t xml:space="preserve">Se aplicó</w:t>
      </w:r>
      <w:r>
        <w:t xml:space="preserve"> </w:t>
      </w:r>
      <w:r>
        <w:rPr>
          <w:iCs/>
          <w:i/>
        </w:rPr>
        <w:t xml:space="preserve">k</w:t>
      </w:r>
      <w:r>
        <w:t xml:space="preserve">-medias sobre el vector normalizado, explorando el número de grupos entre 2 y 12 y</w:t>
      </w:r>
      <w:r>
        <w:t xml:space="preserve"> </w:t>
      </w:r>
      <w:r>
        <w:t xml:space="preserve">evaluando cada partición con las tres métricas internas descritas en §6.6.2. El coeficiente de</w:t>
      </w:r>
      <w:r>
        <w:t xml:space="preserve"> </w:t>
      </w:r>
      <w:r>
        <w:t xml:space="preserve">silueta desciende de forma monótona con el número de grupos, como es habitual, de modo que la</w:t>
      </w:r>
      <w:r>
        <w:t xml:space="preserve"> </w:t>
      </w:r>
      <w:r>
        <w:t xml:space="preserve">decisión no puede tomarse solo con él. El criterio combinado —silueta aceptable, mínimo local</w:t>
      </w:r>
      <w:r>
        <w:t xml:space="preserve"> </w:t>
      </w:r>
      <w:r>
        <w:t xml:space="preserve">del índice de Davies-Bouldin y máximo relativo del de Calinski-Harabasz— apuntó a</w:t>
      </w:r>
      <w:r>
        <w:t xml:space="preserve"> </w:t>
      </w:r>
      <w:r>
        <w:rPr>
          <w:bCs/>
          <w:b/>
        </w:rPr>
        <w:t xml:space="preserve">K = 5</w:t>
      </w:r>
      <w:r>
        <w:t xml:space="preserve"> </w:t>
      </w:r>
      <w:r>
        <w:t xml:space="preserve">como</w:t>
      </w:r>
      <w:r>
        <w:t xml:space="preserve"> </w:t>
      </w:r>
      <w:r>
        <w:t xml:space="preserve">partición gruesa.</w:t>
      </w:r>
    </w:p>
    <w:p>
      <w:pPr>
        <w:pStyle w:val="BodyText"/>
      </w:pPr>
      <w:r>
        <w:t xml:space="preserve">Se retuvo además una partición fina de</w:t>
      </w:r>
      <w:r>
        <w:t xml:space="preserve"> </w:t>
      </w:r>
      <w:r>
        <w:rPr>
          <w:bCs/>
          <w:b/>
        </w:rPr>
        <w:t xml:space="preserve">K = 10</w:t>
      </w:r>
      <w:r>
        <w:t xml:space="preserve"> </w:t>
      </w:r>
      <w:r>
        <w:t xml:space="preserve">con un propósito distinto y explícito: la</w:t>
      </w:r>
      <w:r>
        <w:t xml:space="preserve"> </w:t>
      </w:r>
      <w:r>
        <w:t xml:space="preserve">partición de cinco grupos responde a la pregunta «¿cómo se comporta este producto?», y la de</w:t>
      </w:r>
      <w:r>
        <w:t xml:space="preserve"> </w:t>
      </w:r>
      <w:r>
        <w:t xml:space="preserve">diez responde a «¿sobre qué grupo lanzo esta campaña?». No compiten; se usan para cosas</w:t>
      </w:r>
      <w:r>
        <w:t xml:space="preserve"> </w:t>
      </w:r>
      <w:r>
        <w:t xml:space="preserve">distintas y ambas se publican en la dimensión de producto del almacén.</w:t>
      </w:r>
    </w:p>
    <w:p>
      <w:pPr>
        <w:pStyle w:val="BodyText"/>
      </w:pPr>
      <w:r>
        <w:t xml:space="preserve">Como comprobación de que la estructura encontrada no es un artefacto del método, la misma</w:t>
      </w:r>
      <w:r>
        <w:t xml:space="preserve"> </w:t>
      </w:r>
      <w:r>
        <w:t xml:space="preserve">partición se obtuvo con agrupamiento jerárquico de Ward y con un</w:t>
      </w:r>
      <w:r>
        <w:t xml:space="preserve"> </w:t>
      </w:r>
      <w:r>
        <w:rPr>
          <w:bCs/>
          <w:b/>
        </w:rPr>
        <w:t xml:space="preserve">modelo de mezclas</w:t>
      </w:r>
      <w:r>
        <w:rPr>
          <w:bCs/>
          <w:b/>
        </w:rPr>
        <w:t xml:space="preserve"> </w:t>
      </w:r>
      <w:r>
        <w:rPr>
          <w:bCs/>
          <w:b/>
        </w:rPr>
        <w:t xml:space="preserve">gaussianas</w:t>
      </w:r>
      <w:r>
        <w:t xml:space="preserve">. La concordancia entre las tres, medida con el índice de Rand ajustado, resultó</w:t>
      </w:r>
      <w:r>
        <w:t xml:space="preserve"> </w:t>
      </w:r>
      <w:r>
        <w:t xml:space="preserve">alta y sostiene que los grupos describen una estructura presente en los datos y no una</w:t>
      </w:r>
      <w:r>
        <w:t xml:space="preserve"> </w:t>
      </w:r>
      <w:r>
        <w:t xml:space="preserve">imposición del algoritmo. El modelo de mezclas aporta además una lectura que</w:t>
      </w:r>
      <w:r>
        <w:t xml:space="preserve"> </w:t>
      </w:r>
      <w:r>
        <w:rPr>
          <w:iCs/>
          <w:i/>
        </w:rPr>
        <w:t xml:space="preserve">k</w:t>
      </w:r>
      <w:r>
        <w:t xml:space="preserve">-medias no da:</w:t>
      </w:r>
      <w:r>
        <w:t xml:space="preserve"> </w:t>
      </w:r>
      <w:r>
        <w:t xml:space="preserve">la pertenencia probabilística permite identificar los productos que quedan a caballo entre dos</w:t>
      </w:r>
      <w:r>
        <w:t xml:space="preserve"> </w:t>
      </w:r>
      <w:r>
        <w:t xml:space="preserve">arquetipos, que son precisamente los que una campaña dirigida debería tratar con cuidado.</w:t>
      </w:r>
    </w:p>
    <w:p>
      <w:pPr>
        <w:pStyle w:val="BlockText"/>
      </w:pPr>
      <w:r>
        <w:rPr>
          <w:bCs/>
          <w:b/>
        </w:rPr>
        <w:t xml:space="preserve">[FIGURA 7.5]</w:t>
      </w:r>
      <w:r>
        <w:t xml:space="preserve"> </w:t>
      </w:r>
      <w:r>
        <w:rPr>
          <w:iCs/>
          <w:i/>
        </w:rPr>
        <w:t xml:space="preserve">Métricas internas de agrupamiento frente al número de grupos.</w:t>
      </w:r>
      <w:r>
        <w:t xml:space="preserve"> </w:t>
      </w:r>
      <w:r>
        <w:rPr>
          <w:rStyle w:val="VerbatimChar"/>
        </w:rPr>
        <w:t xml:space="preserve">Fuente: Cuaderno 02. Tres paneles: silueta, Davies-Bouldin y Calinski-Harabasz, con K=5 señalado.</w:t>
      </w:r>
    </w:p>
    <w:bookmarkEnd w:id="76"/>
    <w:bookmarkStart w:id="77" w:name="los-cinco-arquetipos-de-producto"/>
    <w:p>
      <w:pPr>
        <w:pStyle w:val="Heading3"/>
      </w:pPr>
      <w:r>
        <w:t xml:space="preserve">7.2.3. Los cinco arquetipos de producto</w:t>
      </w:r>
    </w:p>
    <w:p>
      <w:pPr>
        <w:pStyle w:val="FirstParagraph"/>
      </w:pPr>
      <w:r>
        <w:t xml:space="preserve">Los cinco grupos admiten una interpretación directa en términos de comportamiento comercial. Se</w:t>
      </w:r>
      <w:r>
        <w:t xml:space="preserve"> </w:t>
      </w:r>
      <w:r>
        <w:t xml:space="preserve">describen aquí por su perfil característico y no por su composición de catálogo, que es</w:t>
      </w:r>
      <w:r>
        <w:t xml:space="preserve"> </w:t>
      </w:r>
      <w:r>
        <w:t xml:space="preserve">heterogénea en todos ellos, lo que confirma que la agrupación por comportamiento no reproduce la</w:t>
      </w:r>
      <w:r>
        <w:t xml:space="preserve"> </w:t>
      </w:r>
      <w:r>
        <w:t xml:space="preserve">agrupación por departamento.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Arquetipo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Rasgo que lo define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Núcleo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semanal plano y estacionalidad apagada. Concentra la mayor parte de la facturación y es el que mejor se predice.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 de semana/hogar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 concentrada en sábado y domingo.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 de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Elevación marcada en diciembre.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Cola larga/eventos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Demanda esporádica, muchos días sin venta, reacción a fechas señaladas.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Premium/accesorios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grupo más pequeño, de mayor precio unitario y rotación baja.</w:t>
            </w:r>
          </w:p>
        </w:tc>
      </w:tr>
    </w:tbl>
    <w:p>
      <w:pPr>
        <w:pStyle w:val="BodyText"/>
      </w:pPr>
      <w:r>
        <w:t xml:space="preserve">El grupo de</w:t>
      </w:r>
      <w:r>
        <w:t xml:space="preserve"> </w:t>
      </w:r>
      <w:r>
        <w:rPr>
          <w:bCs/>
          <w:b/>
        </w:rPr>
        <w:t xml:space="preserve">Núcleo estable</w:t>
      </w:r>
      <w:r>
        <w:t xml:space="preserve"> </w:t>
      </w:r>
      <w:r>
        <w:t xml:space="preserve">es el que sostiene la facturación y el que la previsión acierta con</w:t>
      </w:r>
      <w:r>
        <w:t xml:space="preserve"> </w:t>
      </w:r>
      <w:r>
        <w:t xml:space="preserve">holgura; el de</w:t>
      </w:r>
      <w:r>
        <w:t xml:space="preserve"> </w:t>
      </w:r>
      <w:r>
        <w:rPr>
          <w:bCs/>
          <w:b/>
        </w:rPr>
        <w:t xml:space="preserve">Cola larga/eventos</w:t>
      </w:r>
      <w:r>
        <w:t xml:space="preserve"> </w:t>
      </w:r>
      <w:r>
        <w:t xml:space="preserve">es el que la política de reposición tratará de forma</w:t>
      </w:r>
      <w:r>
        <w:t xml:space="preserve"> </w:t>
      </w:r>
      <w:r>
        <w:t xml:space="preserve">distinta en §7.4. El de</w:t>
      </w:r>
      <w:r>
        <w:t xml:space="preserve"> </w:t>
      </w:r>
      <w:r>
        <w:rPr>
          <w:bCs/>
          <w:b/>
        </w:rPr>
        <w:t xml:space="preserve">Fin de año</w:t>
      </w:r>
      <w:r>
        <w:t xml:space="preserve"> </w:t>
      </w:r>
      <w:r>
        <w:t xml:space="preserve">es donde aparece el caso descrito a continuación.</w:t>
      </w:r>
    </w:p>
    <w:p>
      <w:pPr>
        <w:pStyle w:val="BlockText"/>
      </w:pPr>
      <w:r>
        <w:rPr>
          <w:bCs/>
          <w:b/>
        </w:rPr>
        <w:t xml:space="preserve">[FIGURA 7.6]</w:t>
      </w:r>
      <w:r>
        <w:t xml:space="preserve"> </w:t>
      </w:r>
      <w:r>
        <w:rPr>
          <w:iCs/>
          <w:i/>
        </w:rPr>
        <w:t xml:space="preserve">Perfil semanal y mensual medio de los cinco arquetipos de producto.</w:t>
      </w:r>
      <w:r>
        <w:t xml:space="preserve"> </w:t>
      </w:r>
      <w:r>
        <w:rPr>
          <w:rStyle w:val="VerbatimChar"/>
        </w:rPr>
        <w:t xml:space="preserve">Fuente: Cuaderno 02. Rejilla de cinco filas con dos paneles cada una.</w:t>
      </w:r>
    </w:p>
    <w:bookmarkEnd w:id="77"/>
    <w:bookmarkStart w:id="78" w:name="X377ac72cbde6755b2e5ea9b764d636a88fb97c5"/>
    <w:p>
      <w:pPr>
        <w:pStyle w:val="Heading3"/>
      </w:pPr>
      <w:r>
        <w:t xml:space="preserve">7.2.4. Lo que la partición fina revela y la gruesa disuelve</w:t>
      </w:r>
    </w:p>
    <w:p>
      <w:pPr>
        <w:pStyle w:val="FirstParagraph"/>
      </w:pPr>
      <w:r>
        <w:t xml:space="preserve">Al pasar de cinco a diez grupos aparecen dos micro-segmentos que en la partición gruesa quedaban</w:t>
      </w:r>
      <w:r>
        <w:t xml:space="preserve"> </w:t>
      </w:r>
      <w:r>
        <w:t xml:space="preserve">absorbidos y que son exactamente los que interesan para campañas:</w:t>
      </w:r>
    </w:p>
    <w:p>
      <w:pPr>
        <w:numPr>
          <w:ilvl w:val="0"/>
          <w:numId w:val="1006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segmento navideño</w:t>
      </w:r>
      <w:r>
        <w:t xml:space="preserve">, con una elevación en diciembre de</w:t>
      </w:r>
      <w:r>
        <w:t xml:space="preserve"> </w:t>
      </w:r>
      <w:r>
        <w:rPr>
          <w:bCs/>
          <w:b/>
        </w:rPr>
        <w:t xml:space="preserve">2,29</w:t>
      </w:r>
      <w:r>
        <w:t xml:space="preserve"> </w:t>
      </w:r>
      <w:r>
        <w:t xml:space="preserve">veces la media anual.</w:t>
      </w:r>
    </w:p>
    <w:p>
      <w:pPr>
        <w:numPr>
          <w:ilvl w:val="0"/>
          <w:numId w:val="1006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segmento de eventos</w:t>
      </w:r>
      <w:r>
        <w:t xml:space="preserve">, con una elevación en fechas señaladas de</w:t>
      </w:r>
      <w:r>
        <w:t xml:space="preserve"> </w:t>
      </w:r>
      <w:r>
        <w:rPr>
          <w:bCs/>
          <w:b/>
        </w:rPr>
        <w:t xml:space="preserve">1,99</w:t>
      </w:r>
      <w:r>
        <w:t xml:space="preserve">.</w:t>
      </w:r>
    </w:p>
    <w:p>
      <w:pPr>
        <w:pStyle w:val="FirstParagraph"/>
      </w:pPr>
      <w:r>
        <w:t xml:space="preserve">Ambos reaparecen en los capítulos siguientes: son los segmentos donde la predicción falla en</w:t>
      </w:r>
      <w:r>
        <w:t xml:space="preserve"> </w:t>
      </w:r>
      <w:r>
        <w:t xml:space="preserve">temporada alta (§7.3) y donde la política de reposición necesita un nivel de servicio distinto</w:t>
      </w:r>
      <w:r>
        <w:t xml:space="preserve"> </w:t>
      </w:r>
      <w:r>
        <w:t xml:space="preserve">(§7.4).</w:t>
      </w:r>
    </w:p>
    <w:p>
      <w:pPr>
        <w:pStyle w:val="BodyText"/>
      </w:pPr>
      <w:r>
        <w:t xml:space="preserve">Dentro del segmento navideño, un producto se separa del resto de forma llamativa:</w:t>
      </w:r>
      <w:r>
        <w:t xml:space="preserve"> </w:t>
      </w:r>
      <w:r>
        <w:rPr>
          <w:rStyle w:val="VerbatimChar"/>
          <w:bCs/>
          <w:b/>
        </w:rPr>
        <w:t xml:space="preserve">SUPERMARKET_3_069</w:t>
      </w:r>
      <w:r>
        <w:t xml:space="preserve">, con una elevación en diciembre de</w:t>
      </w:r>
      <w:r>
        <w:t xml:space="preserve"> </w:t>
      </w:r>
      <w:r>
        <w:rPr>
          <w:bCs/>
          <w:b/>
        </w:rPr>
        <w:t xml:space="preserve">7,66</w:t>
      </w:r>
      <w:r>
        <w:t xml:space="preserve">. La inspección de sus días</w:t>
      </w:r>
      <w:r>
        <w:t xml:space="preserve"> </w:t>
      </w:r>
      <w:r>
        <w:t xml:space="preserve">de máxima venta muestra que los cuatro primeros son cuatro 31 de diciembre consecutivos. Se</w:t>
      </w:r>
      <w:r>
        <w:t xml:space="preserve"> </w:t>
      </w:r>
      <w:r>
        <w:t xml:space="preserve">trata, con toda probabilidad, de un artículo de Nochevieja. El caso se destaca porque ilustra</w:t>
      </w:r>
      <w:r>
        <w:t xml:space="preserve"> </w:t>
      </w:r>
      <w:r>
        <w:t xml:space="preserve">un límite del enfoque adoptado: un modelo entrenado sobre una ventana de 180 días nunca ve un</w:t>
      </w:r>
      <w:r>
        <w:t xml:space="preserve"> </w:t>
      </w:r>
      <w:r>
        <w:t xml:space="preserve">31 de diciembre cuando predice noviembre, y por tanto no puede anticipar ese pico. La solución</w:t>
      </w:r>
      <w:r>
        <w:t xml:space="preserve"> </w:t>
      </w:r>
      <w:r>
        <w:t xml:space="preserve">para productos así no es un modelo mejor, es una regla de calendario.</w:t>
      </w:r>
    </w:p>
    <w:p>
      <w:pPr>
        <w:pStyle w:val="BlockText"/>
      </w:pPr>
      <w:r>
        <w:rPr>
          <w:bCs/>
          <w:b/>
        </w:rPr>
        <w:t xml:space="preserve">[FIGURA 7.7]</w:t>
      </w:r>
      <w:r>
        <w:t xml:space="preserve"> </w:t>
      </w:r>
      <w:r>
        <w:rPr>
          <w:iCs/>
          <w:i/>
        </w:rPr>
        <w:t xml:space="preserve">Serie diaria de SUPERMARKET_3_069 con los cuatro 31 de diciembre señalados.</w:t>
      </w:r>
      <w:r>
        <w:t xml:space="preserve"> </w:t>
      </w:r>
      <w:r>
        <w:rPr>
          <w:rStyle w:val="VerbatimChar"/>
        </w:rPr>
        <w:t xml:space="preserve">Fuente: Cuaderno 02. Es la figura que hace evidente el argumento del párrafo siguiente.</w:t>
      </w:r>
    </w:p>
    <w:bookmarkEnd w:id="78"/>
    <w:bookmarkStart w:id="79" w:name="Xc37d685c05cd9a3981e6beec1b144ecc719336e"/>
    <w:p>
      <w:pPr>
        <w:pStyle w:val="Heading3"/>
      </w:pPr>
      <w:r>
        <w:t xml:space="preserve">7.2.5. Las tiendas, y un hallazgo que cruza fronteras</w:t>
      </w:r>
    </w:p>
    <w:p>
      <w:pPr>
        <w:pStyle w:val="FirstParagraph"/>
      </w:pPr>
      <w:r>
        <w:t xml:space="preserve">La misma metodología aplicada a las diez tiendas —sobre su perfil de demanda por categoría, día</w:t>
      </w:r>
      <w:r>
        <w:t xml:space="preserve"> </w:t>
      </w:r>
      <w:r>
        <w:t xml:space="preserve">de la semana y mes— produce</w:t>
      </w:r>
      <w:r>
        <w:t xml:space="preserve"> </w:t>
      </w:r>
      <w:r>
        <w:rPr>
          <w:bCs/>
          <w:b/>
        </w:rPr>
        <w:t xml:space="preserve">tres grupos de comportamiento</w:t>
      </w:r>
      <w:r>
        <w:t xml:space="preserve">. El resultado interesante es que</w:t>
      </w:r>
      <w:r>
        <w:t xml:space="preserve"> </w:t>
      </w:r>
      <w:r>
        <w:rPr>
          <w:bCs/>
          <w:b/>
        </w:rPr>
        <w:t xml:space="preserve">esos grupos no coinciden con las ciudades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Ciudades que mezcla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Greenwich Village, Brooklyn, Queen Village, Yorktown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 York y Filadelfia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Harlem, Midtown Village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 York y Filadelfia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South End, Roxbury, Back Bay, Tribeca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Boston y Nueva York</w:t>
            </w:r>
          </w:p>
        </w:tc>
      </w:tr>
    </w:tbl>
    <w:p>
      <w:pPr>
        <w:pStyle w:val="BodyText"/>
      </w:pPr>
      <w:r>
        <w:t xml:space="preserve">El grupo C reúne los tres establecimientos de Boston con</w:t>
      </w:r>
      <w:r>
        <w:t xml:space="preserve"> </w:t>
      </w:r>
      <w:r>
        <w:rPr>
          <w:bCs/>
          <w:b/>
        </w:rPr>
        <w:t xml:space="preserve">Tribeca</w:t>
      </w:r>
      <w:r>
        <w:t xml:space="preserve">, en Nueva York. Ninguno de</w:t>
      </w:r>
      <w:r>
        <w:t xml:space="preserve"> </w:t>
      </w:r>
      <w:r>
        <w:t xml:space="preserve">los tres grupos respeta la frontera de ciudad.</w:t>
      </w:r>
    </w:p>
    <w:p>
      <w:pPr>
        <w:pStyle w:val="BodyText"/>
      </w:pPr>
      <w:r>
        <w:t xml:space="preserve">Un resultado así invita a la sospecha, porque es el tipo de hallazgo que puede deberse a la</w:t>
      </w:r>
      <w:r>
        <w:t xml:space="preserve"> </w:t>
      </w:r>
      <w:r>
        <w:t xml:space="preserve">inestabilidad del algoritmo con solo diez observaciones. Se sometió por ello a una validación</w:t>
      </w:r>
      <w:r>
        <w:t xml:space="preserve"> </w:t>
      </w:r>
      <w:r>
        <w:t xml:space="preserve">por exclusión sucesiva: se repitió la segmentación diez veces, eliminando cada vez una tienda</w:t>
      </w:r>
      <w:r>
        <w:t xml:space="preserve"> </w:t>
      </w:r>
      <w:r>
        <w:t xml:space="preserve">distinta, y se midió con el índice de Jaccard cuánto se conservaba cada grupo.</w:t>
      </w:r>
      <w:r>
        <w:t xml:space="preserve"> </w:t>
      </w:r>
      <w:r>
        <w:rPr>
          <w:bCs/>
          <w:b/>
        </w:rPr>
        <w:t xml:space="preserve">El grupo que</w:t>
      </w:r>
      <w:r>
        <w:rPr>
          <w:bCs/>
          <w:b/>
        </w:rPr>
        <w:t xml:space="preserve"> </w:t>
      </w:r>
      <w:r>
        <w:rPr>
          <w:bCs/>
          <w:b/>
        </w:rPr>
        <w:t xml:space="preserve">reúne a las tiendas de Boston con Tribeca se mantuvo unido en las diez iteraciones</w:t>
      </w:r>
      <w:r>
        <w:t xml:space="preserve">, con</w:t>
      </w:r>
      <w:r>
        <w:t xml:space="preserve"> </w:t>
      </w:r>
      <w:r>
        <w:t xml:space="preserve">similitud de Jaccard igual a 1 en todos los casos.</w:t>
      </w:r>
    </w:p>
    <w:p>
      <w:pPr>
        <w:pStyle w:val="BodyText"/>
      </w:pPr>
      <w:r>
        <w:t xml:space="preserve">La lectura de negocio es que el perfil de demanda de una tienda lo determina su entorno —el tipo</w:t>
      </w:r>
      <w:r>
        <w:t xml:space="preserve"> </w:t>
      </w:r>
      <w:r>
        <w:t xml:space="preserve">de barrio, la clientela, la competencia próxima— más que su ciudad administrativa. Para el</w:t>
      </w:r>
      <w:r>
        <w:t xml:space="preserve"> </w:t>
      </w:r>
      <w:r>
        <w:t xml:space="preserve">diseño de campañas eso significa que la unidad de segmentación geográfica no debería ser la</w:t>
      </w:r>
      <w:r>
        <w:t xml:space="preserve"> </w:t>
      </w:r>
      <w:r>
        <w:t xml:space="preserve">ciudad.</w:t>
      </w:r>
    </w:p>
    <w:p>
      <w:pPr>
        <w:pStyle w:val="BlockText"/>
      </w:pPr>
      <w:r>
        <w:rPr>
          <w:bCs/>
          <w:b/>
        </w:rPr>
        <w:t xml:space="preserve">[FIGURA 7.8]</w:t>
      </w:r>
      <w:r>
        <w:t xml:space="preserve"> </w:t>
      </w:r>
      <w:r>
        <w:rPr>
          <w:iCs/>
          <w:i/>
        </w:rPr>
        <w:t xml:space="preserve">Grupos de tienda y estabilidad en la validación por exclusión sucesiva.</w:t>
      </w:r>
      <w:r>
        <w:t xml:space="preserve"> </w:t>
      </w:r>
      <w:r>
        <w:rPr>
          <w:rStyle w:val="VerbatimChar"/>
        </w:rPr>
        <w:t xml:space="preserve">Fuente: Cuaderno 02. Proyección de las diez tiendas con el color del grupo, y tabla de Jaccard.</w:t>
      </w:r>
    </w:p>
    <w:bookmarkEnd w:id="79"/>
    <w:bookmarkStart w:id="80" w:name="segmentación-operativa-abcxyz"/>
    <w:p>
      <w:pPr>
        <w:pStyle w:val="Heading3"/>
      </w:pPr>
      <w:r>
        <w:t xml:space="preserve">7.2.6. Segmentación operativa ABC/XYZ</w:t>
      </w:r>
    </w:p>
    <w:p>
      <w:pPr>
        <w:pStyle w:val="FirstParagraph"/>
      </w:pPr>
      <w:r>
        <w:t xml:space="preserve">Además de la segmentación por comportamiento, se construyó la clasificación</w:t>
      </w:r>
      <w:r>
        <w:t xml:space="preserve"> </w:t>
      </w:r>
      <w:r>
        <w:rPr>
          <w:bCs/>
          <w:b/>
        </w:rPr>
        <w:t xml:space="preserve">ABC/XYZ</w:t>
      </w:r>
      <w:r>
        <w:t xml:space="preserve"> </w:t>
      </w:r>
      <w:r>
        <w:t xml:space="preserve">que</w:t>
      </w:r>
      <w:r>
        <w:t xml:space="preserve"> </w:t>
      </w:r>
      <w:r>
        <w:t xml:space="preserve">utiliza la política de reposición del capítulo §7.4. La dimensión ABC ordena las series por</w:t>
      </w:r>
      <w:r>
        <w:t xml:space="preserve"> </w:t>
      </w:r>
      <w:r>
        <w:t xml:space="preserve">facturación acumulada; la dimensión XYZ, por predictibilidad, medida con el coeficiente de</w:t>
      </w:r>
      <w:r>
        <w:t xml:space="preserve"> </w:t>
      </w:r>
      <w:r>
        <w:t xml:space="preserve">variación de la demanda diaria.</w:t>
      </w:r>
    </w:p>
    <w:p>
      <w:pPr>
        <w:pStyle w:val="BodyText"/>
      </w:pPr>
      <w:r>
        <w:t xml:space="preserve">La matriz resultante concentra la información de gestión en una sola tabla: la celda</w:t>
      </w:r>
      <w:r>
        <w:t xml:space="preserve"> </w:t>
      </w:r>
      <w:r>
        <w:rPr>
          <w:bCs/>
          <w:b/>
        </w:rPr>
        <w:t xml:space="preserve">AX</w:t>
      </w:r>
      <w:r>
        <w:t xml:space="preserve"> </w:t>
      </w:r>
      <w:r>
        <w:t xml:space="preserve">—alta facturación, demanda estable— reúne alrededor del</w:t>
      </w:r>
      <w:r>
        <w:t xml:space="preserve"> </w:t>
      </w:r>
      <w:r>
        <w:rPr>
          <w:bCs/>
          <w:b/>
        </w:rPr>
        <w:t xml:space="preserve">56% de la facturación</w:t>
      </w:r>
      <w:r>
        <w:t xml:space="preserve"> </w:t>
      </w:r>
      <w:r>
        <w:t xml:space="preserve">de la cadena,</w:t>
      </w:r>
      <w:r>
        <w:t xml:space="preserve"> </w:t>
      </w:r>
      <w:r>
        <w:t xml:space="preserve">y es donde la automatización de la reposición rinde más. En el extremo opuesto, la celda</w:t>
      </w:r>
      <w:r>
        <w:t xml:space="preserve"> </w:t>
      </w:r>
      <w:r>
        <w:rPr>
          <w:bCs/>
          <w:b/>
        </w:rPr>
        <w:t xml:space="preserve">CZ</w:t>
      </w:r>
      <w:r>
        <w:t xml:space="preserve"> </w:t>
      </w:r>
      <w:r>
        <w:t xml:space="preserve">representa cerca del</w:t>
      </w:r>
      <w:r>
        <w:t xml:space="preserve"> </w:t>
      </w:r>
      <w:r>
        <w:rPr>
          <w:bCs/>
          <w:b/>
        </w:rPr>
        <w:t xml:space="preserve">28% del catálogo</w:t>
      </w:r>
      <w:r>
        <w:t xml:space="preserve"> </w:t>
      </w:r>
      <w:r>
        <w:t xml:space="preserve">por apenas el</w:t>
      </w:r>
      <w:r>
        <w:t xml:space="preserve"> </w:t>
      </w:r>
      <w:r>
        <w:rPr>
          <w:bCs/>
          <w:b/>
        </w:rPr>
        <w:t xml:space="preserve">3,5% de la facturación</w:t>
      </w:r>
      <w:r>
        <w:t xml:space="preserve">: series donde</w:t>
      </w:r>
      <w:r>
        <w:t xml:space="preserve"> </w:t>
      </w:r>
      <w:r>
        <w:t xml:space="preserve">una regla simple es preferible a un modelo, y donde la pregunta pertinente no es cuánto reponer</w:t>
      </w:r>
      <w:r>
        <w:t xml:space="preserve"> </w:t>
      </w:r>
      <w:r>
        <w:t xml:space="preserve">sino si mantener la referencia.</w:t>
      </w:r>
    </w:p>
    <w:p>
      <w:pPr>
        <w:pStyle w:val="BlockText"/>
      </w:pPr>
      <w:r>
        <w:rPr>
          <w:bCs/>
          <w:b/>
        </w:rPr>
        <w:t xml:space="preserve">[FIGURA 7.9]</w:t>
      </w:r>
      <w:r>
        <w:t xml:space="preserve"> </w:t>
      </w:r>
      <w:r>
        <w:rPr>
          <w:iCs/>
          <w:i/>
        </w:rPr>
        <w:t xml:space="preserve">Matriz ABC/XYZ: recuento de series y peso en la facturación.</w:t>
      </w:r>
      <w:r>
        <w:t xml:space="preserve"> </w:t>
      </w:r>
      <w:r>
        <w:rPr>
          <w:rStyle w:val="VerbatimChar"/>
        </w:rPr>
        <w:t xml:space="preserve">Fuente: Cuaderno 02. Dos mapas de calor 3x3 con los valores impresos.</w:t>
      </w:r>
    </w:p>
    <w:bookmarkEnd w:id="80"/>
    <w:bookmarkStart w:id="81" w:name="Xb651ec15533c09830763e8767bbd252ab7f0aed"/>
    <w:p>
      <w:pPr>
        <w:pStyle w:val="Heading3"/>
      </w:pPr>
      <w:r>
        <w:t xml:space="preserve">7.2.7. Una hipótesis que no sobrevivió: la afinidad entre productos</w:t>
      </w:r>
    </w:p>
    <w:p>
      <w:pPr>
        <w:pStyle w:val="FirstParagraph"/>
      </w:pPr>
      <w:r>
        <w:t xml:space="preserve">La segmentación por comportamiento sugiere una pregunta natural que el encargo no formulaba:</w:t>
      </w:r>
      <w:r>
        <w:t xml:space="preserve"> </w:t>
      </w:r>
      <w:r>
        <w:t xml:space="preserve">si hay productos que se comportan igual, ¿los hay que se compran juntos? La respuesta a esa</w:t>
      </w:r>
      <w:r>
        <w:t xml:space="preserve"> </w:t>
      </w:r>
      <w:r>
        <w:t xml:space="preserve">pregunta habilitaría recomendaciones de venta cruzada y promociones conjuntas.</w:t>
      </w:r>
    </w:p>
    <w:p>
      <w:pPr>
        <w:pStyle w:val="BodyText"/>
      </w:pPr>
      <w:r>
        <w:rPr>
          <w:bCs/>
          <w:b/>
        </w:rPr>
        <w:t xml:space="preserve">Lo primero que hubo que establecer es que el dato no permite responderla como se suele.</w:t>
      </w:r>
      <w:r>
        <w:t xml:space="preserve"> </w:t>
      </w:r>
      <w:r>
        <w:t xml:space="preserve">El</w:t>
      </w:r>
      <w:r>
        <w:t xml:space="preserve"> </w:t>
      </w:r>
      <w:r>
        <w:t xml:space="preserve">registro de ventas viene agregado por producto, tienda y día: no hay ticket, ni transacción, ni</w:t>
      </w:r>
      <w:r>
        <w:t xml:space="preserve"> </w:t>
      </w:r>
      <w:r>
        <w:t xml:space="preserve">cliente. Un análisis de cesta de la compra —soporte, confianza, lift, reglas de asociación—</w:t>
      </w:r>
      <w:r>
        <w:t xml:space="preserve"> </w:t>
      </w:r>
      <w:r>
        <w:t xml:space="preserve">necesita la cesta, y la cesta no está. Presentar cualquier resultado como «estos productos se</w:t>
      </w:r>
      <w:r>
        <w:t xml:space="preserve"> </w:t>
      </w:r>
      <w:r>
        <w:t xml:space="preserve">compran juntos» sería una afirmación que el dato no sostiene.</w:t>
      </w:r>
    </w:p>
    <w:p>
      <w:pPr>
        <w:pStyle w:val="BodyText"/>
      </w:pPr>
      <w:r>
        <w:t xml:space="preserve">Lo que sí puede medirse es la</w:t>
      </w:r>
      <w:r>
        <w:t xml:space="preserve"> </w:t>
      </w:r>
      <w:r>
        <w:rPr>
          <w:bCs/>
          <w:b/>
        </w:rPr>
        <w:t xml:space="preserve">afinidad de demanda</w:t>
      </w:r>
      <w:r>
        <w:t xml:space="preserve">: productos cuya venta sube y baja los</w:t>
      </w:r>
      <w:r>
        <w:t xml:space="preserve"> </w:t>
      </w:r>
      <w:r>
        <w:t xml:space="preserve">mismos días en el mismo establecimiento. Y tiene una trampa que invalida la versión ingenua,</w:t>
      </w:r>
      <w:r>
        <w:t xml:space="preserve"> </w:t>
      </w:r>
      <w:r>
        <w:t xml:space="preserve">porque casi todo el co-movimiento diario lo explica algo compartido —el día de la semana, el</w:t>
      </w:r>
      <w:r>
        <w:t xml:space="preserve"> </w:t>
      </w:r>
      <w:r>
        <w:t xml:space="preserve">mes, un evento, el tráfico de la tienda—. Se aplicó por tanto el mismo procedimiento que en</w:t>
      </w:r>
      <w:r>
        <w:t xml:space="preserve"> </w:t>
      </w:r>
      <w:r>
        <w:t xml:space="preserve">§7.5: residualizar cada serie contra esos factores y medir el co-movimiento sobre lo que queda.</w:t>
      </w:r>
    </w:p>
    <w:p>
      <w:pPr>
        <w:pStyle w:val="BodyText"/>
      </w:pPr>
      <w:r>
        <w:t xml:space="preserve">La residualización funcionó: la correlación media entre pares cae de</w:t>
      </w:r>
      <w:r>
        <w:t xml:space="preserve"> </w:t>
      </w:r>
      <w:r>
        <w:rPr>
          <w:bCs/>
          <w:b/>
        </w:rPr>
        <w:t xml:space="preserve">+0,041 a +0,001</w:t>
      </w:r>
      <w:r>
        <w:t xml:space="preserve">, y la</w:t>
      </w:r>
      <w:r>
        <w:t xml:space="preserve"> </w:t>
      </w:r>
      <w:r>
        <w:t xml:space="preserve">proporción de pares con correlación superior a 0,30 pasa del</w:t>
      </w:r>
      <w:r>
        <w:t xml:space="preserve"> </w:t>
      </w:r>
      <w:r>
        <w:rPr>
          <w:bCs/>
          <w:b/>
        </w:rPr>
        <w:t xml:space="preserve">5,17% al 2,55%</w:t>
      </w:r>
      <w:r>
        <w:t xml:space="preserve">. Buena parte de</w:t>
      </w:r>
      <w:r>
        <w:t xml:space="preserve"> </w:t>
      </w:r>
      <w:r>
        <w:t xml:space="preserve">la asociación aparente era, en efecto, calendario.</w:t>
      </w:r>
    </w:p>
    <w:p>
      <w:pPr>
        <w:pStyle w:val="BodyText"/>
      </w:pPr>
      <w:r>
        <w:rPr>
          <w:bCs/>
          <w:b/>
        </w:rPr>
        <w:t xml:space="preserve">La prueba que decide.</w:t>
      </w:r>
      <w:r>
        <w:t xml:space="preserve"> </w:t>
      </w:r>
      <w:r>
        <w:t xml:space="preserve">Un producto de una tienda y otro de una tienda distinta no pueden</w:t>
      </w:r>
      <w:r>
        <w:t xml:space="preserve"> </w:t>
      </w:r>
      <w:r>
        <w:t xml:space="preserve">compartir cesta por construcción, de modo que la distribución de sus correlaciones residuales es</w:t>
      </w:r>
      <w:r>
        <w:t xml:space="preserve"> </w:t>
      </w:r>
      <w:r>
        <w:t xml:space="preserve">el nivel de ruido. Sobre 14.280 pares entre establecimientos distintos, el percentil 99 se sitúa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+0,3875</w:t>
      </w:r>
      <w:r>
        <w:t xml:space="preserve">: pares que físicamente no pueden estar relacionados alcanzan correlaciones de</w:t>
      </w:r>
      <w:r>
        <w:t xml:space="preserve"> </w:t>
      </w:r>
      <w:r>
        <w:t xml:space="preserve">casi 0,4. De los pares del mismo establecimiento, solo el</w:t>
      </w:r>
      <w:r>
        <w:t xml:space="preserve"> </w:t>
      </w:r>
      <w:r>
        <w:rPr>
          <w:bCs/>
          <w:b/>
        </w:rPr>
        <w:t xml:space="preserve">1,27%</w:t>
      </w:r>
      <w:r>
        <w:t xml:space="preserve"> </w:t>
      </w:r>
      <w:r>
        <w:t xml:space="preserve">supera ese umbral, frente al</w:t>
      </w:r>
      <w:r>
        <w:t xml:space="preserve"> </w:t>
      </w:r>
      <w:r>
        <w:t xml:space="preserve">1,00% esperable por azar.</w:t>
      </w:r>
    </w:p>
    <w:p>
      <w:pPr>
        <w:pStyle w:val="BodyText"/>
      </w:pPr>
      <w:r>
        <w:rPr>
          <w:bCs/>
          <w:b/>
        </w:rPr>
        <w:t xml:space="preserve">No hay señal.</w:t>
      </w:r>
      <w:r>
        <w:t xml:space="preserve"> </w:t>
      </w:r>
      <w:r>
        <w:t xml:space="preserve">El exceso es indistinguible del ruido. Las parejas mejor clasificadas lo</w:t>
      </w:r>
      <w:r>
        <w:t xml:space="preserve"> </w:t>
      </w:r>
      <w:r>
        <w:t xml:space="preserve">parecen, pero al desplazar una de las dos series un solo día la correlación apenas cae —nitidez</w:t>
      </w:r>
      <w:r>
        <w:t xml:space="preserve"> </w:t>
      </w:r>
      <w:r>
        <w:t xml:space="preserve">mediana de 0,063—, lo que indica tendencia compartida y no compra simultánea.</w:t>
      </w:r>
    </w:p>
    <w:p>
      <w:pPr>
        <w:pStyle w:val="BodyText"/>
      </w:pPr>
      <w:r>
        <w:t xml:space="preserve">La conclusión práctica para DSMarket es concreta: el dato que permitiría responder esta pregunta</w:t>
      </w:r>
      <w:r>
        <w:t xml:space="preserve"> </w:t>
      </w:r>
      <w:r>
        <w:t xml:space="preserve">es el</w:t>
      </w:r>
      <w:r>
        <w:t xml:space="preserve"> </w:t>
      </w:r>
      <w:r>
        <w:rPr>
          <w:bCs/>
          <w:b/>
        </w:rPr>
        <w:t xml:space="preserve">identificador de ticket</w:t>
      </w:r>
      <w:r>
        <w:t xml:space="preserve"> </w:t>
      </w:r>
      <w:r>
        <w:t xml:space="preserve">en el registro de ventas, y hoy no existe. Es la tercera</w:t>
      </w:r>
      <w:r>
        <w:t xml:space="preserve"> </w:t>
      </w:r>
      <w:r>
        <w:t xml:space="preserve">recomendación de incorporación de datos de este trabajo, después de la merma y el inventario.</w:t>
      </w:r>
    </w:p>
    <w:bookmarkEnd w:id="81"/>
    <w:bookmarkStart w:id="82" w:name="qué-abre-el-capítulo-siguiente-1"/>
    <w:p>
      <w:pPr>
        <w:pStyle w:val="Heading3"/>
      </w:pPr>
      <w:r>
        <w:t xml:space="preserve">7.2.8. Qué abre el capítulo siguiente</w:t>
      </w:r>
    </w:p>
    <w:p>
      <w:pPr>
        <w:pStyle w:val="FirstParagraph"/>
      </w:pPr>
      <w:r>
        <w:t xml:space="preserve">Con productos y tiendas agrupados, y con la clasificación operativa construida, el trabajo</w:t>
      </w:r>
      <w:r>
        <w:t xml:space="preserve"> </w:t>
      </w:r>
      <w:r>
        <w:t xml:space="preserve">dispone de la estructura necesaria para modelar. Los grupos entran como variables categóricas en</w:t>
      </w:r>
      <w:r>
        <w:t xml:space="preserve"> </w:t>
      </w:r>
      <w:r>
        <w:t xml:space="preserve">los modelos de predicción, y la clasificación ABC/XYZ determinará más adelante qué método de</w:t>
      </w:r>
      <w:r>
        <w:t xml:space="preserve"> </w:t>
      </w:r>
      <w:r>
        <w:t xml:space="preserve">reposición se aplica a cada serie.</w:t>
      </w:r>
    </w:p>
    <w:p>
      <w:pPr>
        <w:pStyle w:val="BodyText"/>
      </w:pPr>
      <w:r>
        <w:t xml:space="preserve">La pregunta siguiente es la que el encargo formula de forma más directa: cuánto se va a vender.</w:t>
      </w:r>
      <w:r>
        <w:t xml:space="preserve"> </w:t>
      </w:r>
      <w:r>
        <w:t xml:space="preserve">## 7.3. Cuánto vamos a vender</w:t>
      </w:r>
    </w:p>
    <w:p>
      <w:pPr>
        <w:pStyle w:val="BlockText"/>
      </w:pPr>
      <w:r>
        <w:t xml:space="preserve">«¿Sigue siendo válido sumar las predicciones individuales para obtener las de los niveles</w:t>
      </w:r>
      <w:r>
        <w:t xml:space="preserve"> </w:t>
      </w:r>
      <w:r>
        <w:t xml:space="preserve">agregados?»</w:t>
      </w:r>
      <w:r>
        <w:t xml:space="preserve"> </w:t>
      </w:r>
      <w:r>
        <w:t xml:space="preserve">— Paul Rogers, director financiero</w:t>
      </w:r>
    </w:p>
    <w:p>
      <w:pPr>
        <w:pStyle w:val="FirstParagraph"/>
      </w:pPr>
      <w:r>
        <w:t xml:space="preserve">Este es el capítulo más técnico del trabajo y el que exige más honestidad, porque su primer</w:t>
      </w:r>
      <w:r>
        <w:t xml:space="preserve"> </w:t>
      </w:r>
      <w:r>
        <w:t xml:space="preserve">resultado relevante es negativo: con la formulación ingenua del problema, ninguno de los modelos</w:t>
      </w:r>
      <w:r>
        <w:t xml:space="preserve"> </w:t>
      </w:r>
      <w:r>
        <w:t xml:space="preserve">ensayados supera a una media móvil.</w:t>
      </w:r>
    </w:p>
    <w:bookmarkEnd w:id="82"/>
    <w:bookmarkStart w:id="83" w:name="diseño-de-la-comparación"/>
    <w:p>
      <w:pPr>
        <w:pStyle w:val="Heading3"/>
      </w:pPr>
      <w:r>
        <w:t xml:space="preserve">7.3.1. Diseño de la comparación</w:t>
      </w:r>
    </w:p>
    <w:p>
      <w:pPr>
        <w:pStyle w:val="FirstParagraph"/>
      </w:pPr>
      <w:r>
        <w:t xml:space="preserve">Se compararon cuatro familias de modelos bajo el protocolo único descrito en §6.5: validación</w:t>
      </w:r>
      <w:r>
        <w:t xml:space="preserve"> </w:t>
      </w:r>
      <w:r>
        <w:rPr>
          <w:iCs/>
          <w:i/>
        </w:rPr>
        <w:t xml:space="preserve">walk-forward</w:t>
      </w:r>
      <w:r>
        <w:t xml:space="preserve"> </w:t>
      </w:r>
      <w:r>
        <w:t xml:space="preserve">de tres pliegues, ventana de entrenamiento de 180 días, horizonte de 28 días y</w:t>
      </w:r>
      <w:r>
        <w:t xml:space="preserve"> </w:t>
      </w:r>
      <w:r>
        <w:t xml:space="preserve">evaluación sobre las 30.490 series.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Referencias ingenuas</w:t>
      </w:r>
      <w:r>
        <w:t xml:space="preserve">: último valor, media móvil de 28 días y naive estacional semanal.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Modelos globales de árboles</w:t>
      </w:r>
      <w:r>
        <w:t xml:space="preserve">: LightGBM y XGBoost, entrenados sobre todas las series a la vez</w:t>
      </w:r>
      <w:r>
        <w:t xml:space="preserve"> </w:t>
      </w:r>
      <w:r>
        <w:t xml:space="preserve">con la serie como variable categórica.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Descomposición aditiva</w:t>
      </w:r>
      <w:r>
        <w:t xml:space="preserve">: Prophet, ajustado por serie sobre una submuestra representativa.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Estadístico clásico</w:t>
      </w:r>
      <w:r>
        <w:t xml:space="preserve">: SARIMA, igualmente por serie sobre submuestra.</w:t>
      </w:r>
    </w:p>
    <w:p>
      <w:pPr>
        <w:pStyle w:val="FirstParagraph"/>
      </w:pPr>
      <w:r>
        <w:t xml:space="preserve">La distinción entre modelos</w:t>
      </w:r>
      <w:r>
        <w:t xml:space="preserve"> </w:t>
      </w:r>
      <w:r>
        <w:rPr>
          <w:bCs/>
          <w:b/>
        </w:rPr>
        <w:t xml:space="preserve">globales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locales</w:t>
      </w:r>
      <w:r>
        <w:t xml:space="preserve"> </w:t>
      </w:r>
      <w:r>
        <w:t xml:space="preserve">es la decisión de diseño más importante</w:t>
      </w:r>
      <w:r>
        <w:t xml:space="preserve"> </w:t>
      </w:r>
      <w:r>
        <w:t xml:space="preserve">del capítulo. Un modelo local ajusta parámetros a una sola serie y no puede aprender nada de las</w:t>
      </w:r>
      <w:r>
        <w:t xml:space="preserve"> </w:t>
      </w:r>
      <w:r>
        <w:t xml:space="preserve">demás; con series que venden dos unidades diarias, eso significa estimar sobre muy poca señal.</w:t>
      </w:r>
      <w:r>
        <w:t xml:space="preserve"> </w:t>
      </w:r>
      <w:r>
        <w:t xml:space="preserve">Un modelo global aprende un único conjunto de parámetros sobre las 30.490 series a la vez y</w:t>
      </w:r>
      <w:r>
        <w:t xml:space="preserve"> </w:t>
      </w:r>
      <w:r>
        <w:t xml:space="preserve">comparte la información entre ellas: lo que aprende de una referencia de alta rotación sobre el</w:t>
      </w:r>
      <w:r>
        <w:t xml:space="preserve"> </w:t>
      </w:r>
      <w:r>
        <w:t xml:space="preserve">efecto del fin de semana lo aplica a una de cola larga que por sí sola nunca lo habría mostrado.</w:t>
      </w:r>
      <w:r>
        <w:t xml:space="preserve"> </w:t>
      </w:r>
      <w:r>
        <w:t xml:space="preserve">Este es el enfoque que domina la práctica reciente en previsión minorista a gran escala, y es el</w:t>
      </w:r>
      <w:r>
        <w:t xml:space="preserve"> </w:t>
      </w:r>
      <w:r>
        <w:t xml:space="preserve">que el trabajo adopta como principal; Prophet y SARIMA se conservan como contraste de familia,</w:t>
      </w:r>
      <w:r>
        <w:t xml:space="preserve"> </w:t>
      </w:r>
      <w:r>
        <w:t xml:space="preserve">no como candidatos serios a la escala del problema.</w:t>
      </w:r>
    </w:p>
    <w:bookmarkEnd w:id="83"/>
    <w:bookmarkStart w:id="84" w:name="el-resultado-incómodo"/>
    <w:p>
      <w:pPr>
        <w:pStyle w:val="Heading3"/>
      </w:pPr>
      <w:r>
        <w:t xml:space="preserve">7.3.2. El resultado incómodo</w:t>
      </w:r>
    </w:p>
    <w:p>
      <w:pPr>
        <w:pStyle w:val="FirstParagraph"/>
      </w:pPr>
      <w:r>
        <w:t xml:space="preserve">Con la estrategia de predicción ingenua —un solo modelo que predice los veintiocho días con la</w:t>
      </w:r>
      <w:r>
        <w:t xml:space="preserve"> </w:t>
      </w:r>
      <w:r>
        <w:t xml:space="preserve">información disponible hasta el día anterior—,</w:t>
      </w:r>
      <w:r>
        <w:t xml:space="preserve"> </w:t>
      </w:r>
      <w:r>
        <w:rPr>
          <w:bCs/>
          <w:b/>
        </w:rPr>
        <w:t xml:space="preserve">los modelos de aprendizaje automático no</w:t>
      </w:r>
      <w:r>
        <w:rPr>
          <w:bCs/>
          <w:b/>
        </w:rPr>
        <w:t xml:space="preserve"> </w:t>
      </w:r>
      <w:r>
        <w:rPr>
          <w:bCs/>
          <w:b/>
        </w:rPr>
        <w:t xml:space="preserve">superan a la media móvil de 28 días en error absoluto medio</w:t>
      </w:r>
      <w:r>
        <w:t xml:space="preserve">. El resultado se repite en los</w:t>
      </w:r>
      <w:r>
        <w:t xml:space="preserve"> </w:t>
      </w:r>
      <w:r>
        <w:t xml:space="preserve">tres pliegues.</w:t>
      </w:r>
    </w:p>
    <w:p>
      <w:pPr>
        <w:pStyle w:val="BodyText"/>
      </w:pPr>
      <w:r>
        <w:t xml:space="preserve">La explicación no es que los modelos estén mal ajustados. Es que la formulación del problema les</w:t>
      </w:r>
      <w:r>
        <w:t xml:space="preserve"> </w:t>
      </w:r>
      <w:r>
        <w:t xml:space="preserve">está dando una ventaja informativa que en explotación no existe: el retardo de un día no está</w:t>
      </w:r>
      <w:r>
        <w:t xml:space="preserve"> </w:t>
      </w:r>
      <w:r>
        <w:t xml:space="preserve">disponible cuando se predice a veintiocho. Cualquier evaluación que lo permita mide un problema</w:t>
      </w:r>
      <w:r>
        <w:t xml:space="preserve"> </w:t>
      </w:r>
      <w:r>
        <w:t xml:space="preserve">distinto del que se quiere resolver.</w:t>
      </w:r>
    </w:p>
    <w:bookmarkEnd w:id="84"/>
    <w:bookmarkStart w:id="85" w:name="Xcbe6d525a62b1e18c11a4688a0e3f64f6595429"/>
    <w:p>
      <w:pPr>
        <w:pStyle w:val="Heading3"/>
      </w:pPr>
      <w:r>
        <w:t xml:space="preserve">7.3.3. La estrategia de horizonte, que es lo que cambia el resultado</w:t>
      </w:r>
    </w:p>
    <w:p>
      <w:pPr>
        <w:pStyle w:val="FirstParagraph"/>
      </w:pPr>
      <w:r>
        <w:t xml:space="preserve">Reformulado el problema con la</w:t>
      </w:r>
      <w:r>
        <w:t xml:space="preserve"> </w:t>
      </w:r>
      <w:r>
        <w:rPr>
          <w:bCs/>
          <w:b/>
        </w:rPr>
        <w:t xml:space="preserve">estrategia por bloques semanales</w:t>
      </w:r>
      <w:r>
        <w:t xml:space="preserve"> </w:t>
      </w:r>
      <w:r>
        <w:t xml:space="preserve">descrita en §6.4.2 —cuatro</w:t>
      </w:r>
      <w:r>
        <w:t xml:space="preserve"> </w:t>
      </w:r>
      <w:r>
        <w:t xml:space="preserve">modelos con retardos mínimos de 7, 14, 21 y 28 días— la comparación se invierte y aparece una</w:t>
      </w:r>
      <w:r>
        <w:t xml:space="preserve"> </w:t>
      </w:r>
      <w:r>
        <w:t xml:space="preserve">ventaja real sobre las referencias. El mejor resultado corresponde a LightGBM con objetivo</w:t>
      </w:r>
      <w:r>
        <w:t xml:space="preserve"> </w:t>
      </w:r>
      <w:r>
        <w:t xml:space="preserve">Tweedie y estrategia por bloques, con un</w:t>
      </w:r>
      <w:r>
        <w:t xml:space="preserve"> </w:t>
      </w:r>
      <w:r>
        <w:rPr>
          <w:bCs/>
          <w:b/>
        </w:rPr>
        <w:t xml:space="preserve">WRMSSE de 1,0414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[FIGURA 7.10]</w:t>
      </w:r>
      <w:r>
        <w:t xml:space="preserve"> </w:t>
      </w:r>
      <w:r>
        <w:rPr>
          <w:iCs/>
          <w:i/>
        </w:rPr>
        <w:t xml:space="preserve">Estrategia de predicción por bloques semanales.</w:t>
      </w:r>
      <w:r>
        <w:t xml:space="preserve"> </w:t>
      </w:r>
      <w:r>
        <w:rPr>
          <w:rStyle w:val="VerbatimChar"/>
        </w:rPr>
        <w:t xml:space="preserve">Fuente: Diagrama de elaboración propia: los cuatro modelos y sus retardos mínimos.</w:t>
      </w:r>
    </w:p>
    <w:p>
      <w:pPr>
        <w:pStyle w:val="FirstParagraph"/>
      </w:pPr>
      <w:r>
        <w:t xml:space="preserve">El hallazgo metodológico del capítulo es la magnitud relativa de los dos efectos:</w:t>
      </w:r>
      <w:r>
        <w:t xml:space="preserve"> </w:t>
      </w:r>
      <w:r>
        <w:rPr>
          <w:bCs/>
          <w:b/>
        </w:rPr>
        <w:t xml:space="preserve">la estrategia</w:t>
      </w:r>
      <w:r>
        <w:rPr>
          <w:bCs/>
          <w:b/>
        </w:rPr>
        <w:t xml:space="preserve"> </w:t>
      </w:r>
      <w:r>
        <w:rPr>
          <w:bCs/>
          <w:b/>
        </w:rPr>
        <w:t xml:space="preserve">de horizonte pesó aproximadamente veinte veces más que la elección de biblioteca</w:t>
      </w:r>
      <w:r>
        <w:t xml:space="preserve">. La diferencia</w:t>
      </w:r>
      <w:r>
        <w:t xml:space="preserve"> </w:t>
      </w:r>
      <w:r>
        <w:t xml:space="preserve">entre LightGBM y XGBoost, con el mismo planteamiento, es marginal; la diferencia entre plantear</w:t>
      </w:r>
      <w:r>
        <w:t xml:space="preserve"> </w:t>
      </w:r>
      <w:r>
        <w:t xml:space="preserve">el problema de forma recursiva o por bloques es lo que decide si hay modelo o no lo hay.</w:t>
      </w:r>
    </w:p>
    <w:p>
      <w:pPr>
        <w:pStyle w:val="BodyText"/>
      </w:pPr>
      <w:r>
        <w:t xml:space="preserve">Un WRMSSE ligeramente superior a 1 merece una lectura precisa y no complaciente: significa que,</w:t>
      </w:r>
      <w:r>
        <w:t xml:space="preserve"> </w:t>
      </w:r>
      <w:r>
        <w:t xml:space="preserve">ponderando por facturación, el modelo se comporta de forma comparable a la referencia ingenua</w:t>
      </w:r>
      <w:r>
        <w:t xml:space="preserve"> </w:t>
      </w:r>
      <w:r>
        <w:t xml:space="preserve">estacional sobre el conjunto de las series. La ventaja del modelo no está en batir esa</w:t>
      </w:r>
      <w:r>
        <w:t xml:space="preserve"> </w:t>
      </w:r>
      <w:r>
        <w:t xml:space="preserve">referencia de forma uniforme, sino en dónde la bate —el capítulo §7.4 muestra que esa</w:t>
      </w:r>
      <w:r>
        <w:t xml:space="preserve"> </w:t>
      </w:r>
      <w:r>
        <w:t xml:space="preserve">distribución importa más que el promedio— y en que produce, además, intervalos de predicción que</w:t>
      </w:r>
      <w:r>
        <w:t xml:space="preserve"> </w:t>
      </w:r>
      <w:r>
        <w:t xml:space="preserve">la referencia no da.</w:t>
      </w:r>
    </w:p>
    <w:p>
      <w:pPr>
        <w:pStyle w:val="BlockText"/>
      </w:pPr>
      <w:r>
        <w:rPr>
          <w:bCs/>
          <w:b/>
        </w:rPr>
        <w:t xml:space="preserve">[FIGURA 7.11]</w:t>
      </w:r>
      <w:r>
        <w:t xml:space="preserve"> </w:t>
      </w:r>
      <w:r>
        <w:rPr>
          <w:iCs/>
          <w:i/>
        </w:rPr>
        <w:t xml:space="preserve">Error de los modelos comparados, por pliegue de validación.</w:t>
      </w:r>
      <w:r>
        <w:t xml:space="preserve"> </w:t>
      </w:r>
      <w:r>
        <w:rPr>
          <w:rStyle w:val="VerbatimChar"/>
        </w:rPr>
        <w:t xml:space="preserve">Fuente: Cuaderno 03. Incluir las referencias ingenuas para que la comparación sea legible.</w:t>
      </w:r>
    </w:p>
    <w:bookmarkEnd w:id="85"/>
    <w:bookmarkStart w:id="86" w:name="qué-mira-el-modelo"/>
    <w:p>
      <w:pPr>
        <w:pStyle w:val="Heading3"/>
      </w:pPr>
      <w:r>
        <w:t xml:space="preserve">7.3.4. Qué mira el modelo</w:t>
      </w:r>
    </w:p>
    <w:p>
      <w:pPr>
        <w:pStyle w:val="FirstParagraph"/>
      </w:pPr>
      <w:r>
        <w:t xml:space="preserve">El análisis de importancia de variables arroja un resultado que conviene no maquillar: la media</w:t>
      </w:r>
      <w:r>
        <w:t xml:space="preserve"> </w:t>
      </w:r>
      <w:r>
        <w:t xml:space="preserve">móvil de 28 días,</w:t>
      </w:r>
      <w:r>
        <w:t xml:space="preserve"> </w:t>
      </w:r>
      <w:r>
        <w:rPr>
          <w:rStyle w:val="VerbatimChar"/>
        </w:rPr>
        <w:t xml:space="preserve">rmean_28</w:t>
      </w:r>
      <w:r>
        <w:t xml:space="preserve">, concentra el</w:t>
      </w:r>
      <w:r>
        <w:t xml:space="preserve"> </w:t>
      </w:r>
      <w:r>
        <w:rPr>
          <w:bCs/>
          <w:b/>
        </w:rPr>
        <w:t xml:space="preserve">71,7%</w:t>
      </w:r>
      <w:r>
        <w:t xml:space="preserve"> </w:t>
      </w:r>
      <w:r>
        <w:t xml:space="preserve">de la importancia total, y las cuatro medias</w:t>
      </w:r>
      <w:r>
        <w:t xml:space="preserve"> </w:t>
      </w:r>
      <w:r>
        <w:t xml:space="preserve">móviles juntas, alrededor del</w:t>
      </w:r>
      <w:r>
        <w:t xml:space="preserve"> </w:t>
      </w:r>
      <w:r>
        <w:rPr>
          <w:bCs/>
          <w:b/>
        </w:rPr>
        <w:t xml:space="preserve">88%</w:t>
      </w:r>
      <w:r>
        <w:t xml:space="preserve">.</w:t>
      </w:r>
    </w:p>
    <w:p>
      <w:pPr>
        <w:pStyle w:val="BodyText"/>
      </w:pPr>
      <w:r>
        <w:t xml:space="preserve">Esta observación se sometió a prueba con una búsqueda de hiperparámetros sobre un pliegue,</w:t>
      </w:r>
      <w:r>
        <w:t xml:space="preserve"> </w:t>
      </w:r>
      <w:r>
        <w:t xml:space="preserve">validada en otro que no participó en la búsqueda. La configuración afinada</w:t>
      </w:r>
      <w:r>
        <w:t xml:space="preserve"> </w:t>
      </w:r>
      <w:r>
        <w:rPr>
          <w:bCs/>
          <w:b/>
        </w:rPr>
        <w:t xml:space="preserve">no mejoró</w:t>
      </w:r>
      <w:r>
        <w:t xml:space="preserve">: WRMSSE</w:t>
      </w:r>
      <w:r>
        <w:t xml:space="preserve"> </w:t>
      </w:r>
      <w:r>
        <w:t xml:space="preserve">de 0,9788 en la original frente a 0,9790 en la afinada, una diferencia de signo negativo y</w:t>
      </w:r>
      <w:r>
        <w:t xml:space="preserve"> </w:t>
      </w:r>
      <w:r>
        <w:t xml:space="preserve">magnitud despreciable, con una mejora del 1,4% en error absoluto medio como única ganancia. El</w:t>
      </w:r>
      <w:r>
        <w:t xml:space="preserve"> </w:t>
      </w:r>
      <w:r>
        <w:t xml:space="preserve">modelo estaba, en efecto, en una zona plana del espacio de configuraciones, y el margen de mejora</w:t>
      </w:r>
      <w:r>
        <w:t xml:space="preserve"> </w:t>
      </w:r>
      <w:r>
        <w:t xml:space="preserve">no estaba ahí.</w:t>
      </w:r>
    </w:p>
    <w:p>
      <w:pPr>
        <w:pStyle w:val="BodyText"/>
      </w:pPr>
      <w:r>
        <w:t xml:space="preserve">La lectura correcta es que el modelo está haciendo, esencialmente, una media móvil corregida por</w:t>
      </w:r>
      <w:r>
        <w:t xml:space="preserve"> </w:t>
      </w:r>
      <w:r>
        <w:t xml:space="preserve">calendario, segmento y precio. Y esa lectura tiene una consecuencia práctica que se documenta en</w:t>
      </w:r>
      <w:r>
        <w:t xml:space="preserve"> </w:t>
      </w:r>
      <w:r>
        <w:t xml:space="preserve">la sección de trabajo futuro: no hay margen para que un modelo de mayor capacidad extraiga señal</w:t>
      </w:r>
      <w:r>
        <w:t xml:space="preserve"> </w:t>
      </w:r>
      <w:r>
        <w:t xml:space="preserve">adicional, porque el techo lo pone el ruido de una serie que vende dos unidades diarias, no la</w:t>
      </w:r>
      <w:r>
        <w:t xml:space="preserve"> </w:t>
      </w:r>
      <w:r>
        <w:t xml:space="preserve">arquitectura del modelo.</w:t>
      </w:r>
    </w:p>
    <w:p>
      <w:pPr>
        <w:pStyle w:val="BlockText"/>
      </w:pPr>
      <w:r>
        <w:rPr>
          <w:bCs/>
          <w:b/>
        </w:rPr>
        <w:t xml:space="preserve">[FIGURA 7.12]</w:t>
      </w:r>
      <w:r>
        <w:t xml:space="preserve"> </w:t>
      </w:r>
      <w:r>
        <w:rPr>
          <w:iCs/>
          <w:i/>
        </w:rPr>
        <w:t xml:space="preserve">Importancia de las variables del modelo final.</w:t>
      </w:r>
      <w:r>
        <w:t xml:space="preserve"> </w:t>
      </w:r>
      <w:r>
        <w:rPr>
          <w:rStyle w:val="VerbatimChar"/>
        </w:rPr>
        <w:t xml:space="preserve">Fuente: Cuaderno 03. Quince variables principales; rmean_28 destacada.</w:t>
      </w:r>
    </w:p>
    <w:bookmarkEnd w:id="86"/>
    <w:bookmarkStart w:id="87" w:name="dónde-falla-la-temporada-alta"/>
    <w:p>
      <w:pPr>
        <w:pStyle w:val="Heading3"/>
      </w:pPr>
      <w:r>
        <w:t xml:space="preserve">7.3.5. Dónde falla: la temporada alta</w:t>
      </w:r>
    </w:p>
    <w:p>
      <w:pPr>
        <w:pStyle w:val="FirstParagraph"/>
      </w:pPr>
      <w:r>
        <w:t xml:space="preserve">El diagnóstico por período reveló el fallo más grave del modelo. En el pliegue que incluye</w:t>
      </w:r>
      <w:r>
        <w:t xml:space="preserve"> </w:t>
      </w:r>
      <w:r>
        <w:t xml:space="preserve">diciembre, la predicción para el día de Navidad fue de</w:t>
      </w:r>
      <w:r>
        <w:t xml:space="preserve"> </w:t>
      </w:r>
      <w:r>
        <w:rPr>
          <w:bCs/>
          <w:b/>
        </w:rPr>
        <w:t xml:space="preserve">36.704 unidades</w:t>
      </w:r>
      <w:r>
        <w:t xml:space="preserve"> </w:t>
      </w:r>
      <w:r>
        <w:t xml:space="preserve">frente a</w:t>
      </w:r>
      <w:r>
        <w:t xml:space="preserve"> </w:t>
      </w:r>
      <w:r>
        <w:rPr>
          <w:bCs/>
          <w:b/>
        </w:rPr>
        <w:t xml:space="preserve">14</w:t>
      </w:r>
      <w:r>
        <w:rPr>
          <w:bCs/>
          <w:b/>
        </w:rPr>
        <w:t xml:space="preserve"> </w:t>
      </w:r>
      <w:r>
        <w:rPr>
          <w:bCs/>
          <w:b/>
        </w:rPr>
        <w:t xml:space="preserve">reales</w:t>
      </w:r>
      <w:r>
        <w:t xml:space="preserve">.</w:t>
      </w:r>
    </w:p>
    <w:p>
      <w:pPr>
        <w:pStyle w:val="BodyText"/>
      </w:pPr>
      <w:r>
        <w:t xml:space="preserve">La causa es estructural y no un error de programación: la ventana de entrenamiento de 180 días</w:t>
      </w:r>
      <w:r>
        <w:t xml:space="preserve"> </w:t>
      </w:r>
      <w:r>
        <w:t xml:space="preserve">que precede a diciembre no contiene ninguna Navidad, de modo que el modelo no dispone de</w:t>
      </w:r>
      <w:r>
        <w:t xml:space="preserve"> </w:t>
      </w:r>
      <w:r>
        <w:t xml:space="preserve">información alguna sobre el cierre de los establecimientos ni sobre el desplome de demanda de</w:t>
      </w:r>
      <w:r>
        <w:t xml:space="preserve"> </w:t>
      </w:r>
      <w:r>
        <w:t xml:space="preserve">ese día. Ninguna variable del conjunto se lo indica.</w:t>
      </w:r>
    </w:p>
    <w:p>
      <w:pPr>
        <w:pStyle w:val="BodyText"/>
      </w:pPr>
      <w:r>
        <w:t xml:space="preserve">La corrección adoptada no es de modelado sino de calendario: una</w:t>
      </w:r>
      <w:r>
        <w:t xml:space="preserve"> </w:t>
      </w:r>
      <w:r>
        <w:rPr>
          <w:bCs/>
          <w:b/>
        </w:rPr>
        <w:t xml:space="preserve">regla de cierre</w:t>
      </w:r>
      <w:r>
        <w:t xml:space="preserve"> </w:t>
      </w:r>
      <w:r>
        <w:t xml:space="preserve">que anula la</w:t>
      </w:r>
      <w:r>
        <w:t xml:space="preserve"> </w:t>
      </w:r>
      <w:r>
        <w:t xml:space="preserve">predicción en los días marcados como cierre en</w:t>
      </w:r>
      <w:r>
        <w:t xml:space="preserve"> </w:t>
      </w:r>
      <w:r>
        <w:rPr>
          <w:rStyle w:val="VerbatimChar"/>
        </w:rPr>
        <w:t xml:space="preserve">dim_calendario</w:t>
      </w:r>
      <w:r>
        <w:t xml:space="preserve">. Su efecto es medible y</w:t>
      </w:r>
      <w:r>
        <w:t xml:space="preserve"> </w:t>
      </w:r>
      <w:r>
        <w:t xml:space="preserve">sustancial: el WRMSSE del pliegue pasa de</w:t>
      </w:r>
      <w:r>
        <w:t xml:space="preserve"> </w:t>
      </w:r>
      <w:r>
        <w:rPr>
          <w:bCs/>
          <w:b/>
        </w:rPr>
        <w:t xml:space="preserve">1,1111 a 1,0805</w:t>
      </w:r>
      <w:r>
        <w:t xml:space="preserve">. Es la confirmación de un</w:t>
      </w:r>
      <w:r>
        <w:t xml:space="preserve"> </w:t>
      </w:r>
      <w:r>
        <w:t xml:space="preserve">principio general del trabajo —cuando la información necesaria no está en los datos de</w:t>
      </w:r>
      <w:r>
        <w:t xml:space="preserve"> </w:t>
      </w:r>
      <w:r>
        <w:t xml:space="preserve">entrenamiento, la solución es introducirla como conocimiento del dominio, no esperar que el</w:t>
      </w:r>
      <w:r>
        <w:t xml:space="preserve"> </w:t>
      </w:r>
      <w:r>
        <w:t xml:space="preserve">modelo la infiera.</w:t>
      </w:r>
    </w:p>
    <w:p>
      <w:pPr>
        <w:pStyle w:val="BlockText"/>
      </w:pPr>
      <w:r>
        <w:rPr>
          <w:bCs/>
          <w:b/>
        </w:rPr>
        <w:t xml:space="preserve">[FIGURA 7.13]</w:t>
      </w:r>
      <w:r>
        <w:t xml:space="preserve"> </w:t>
      </w:r>
      <w:r>
        <w:rPr>
          <w:iCs/>
          <w:i/>
        </w:rPr>
        <w:t xml:space="preserve">Demanda real y predicha en diciembre, antes y después de la regla de cierre.</w:t>
      </w:r>
      <w:r>
        <w:t xml:space="preserve"> </w:t>
      </w:r>
      <w:r>
        <w:rPr>
          <w:rStyle w:val="VerbatimChar"/>
        </w:rPr>
        <w:t xml:space="preserve">Fuente: Cuaderno 03. El día de Navidad debe quedar señalado.</w:t>
      </w:r>
    </w:p>
    <w:bookmarkEnd w:id="87"/>
    <w:bookmarkStart w:id="88" w:name="intervalos-de-predicción"/>
    <w:p>
      <w:pPr>
        <w:pStyle w:val="Heading3"/>
      </w:pPr>
      <w:r>
        <w:t xml:space="preserve">7.3.6. Intervalos de predicción</w:t>
      </w:r>
    </w:p>
    <w:p>
      <w:pPr>
        <w:pStyle w:val="FirstParagraph"/>
      </w:pPr>
      <w:r>
        <w:t xml:space="preserve">La reposición no necesita saber cuánto se venderá en promedio, sino cuánto podría venderse en el</w:t>
      </w:r>
      <w:r>
        <w:t xml:space="preserve"> </w:t>
      </w:r>
      <w:r>
        <w:t xml:space="preserve">peor caso razonable. Se entrenó por ello un segundo conjunto de modelos con</w:t>
      </w:r>
      <w:r>
        <w:t xml:space="preserve"> </w:t>
      </w:r>
      <w:r>
        <w:rPr>
          <w:bCs/>
          <w:b/>
        </w:rPr>
        <w:t xml:space="preserve">regresión</w:t>
      </w:r>
      <w:r>
        <w:rPr>
          <w:bCs/>
          <w:b/>
        </w:rPr>
        <w:t xml:space="preserve"> </w:t>
      </w:r>
      <w:r>
        <w:rPr>
          <w:bCs/>
          <w:b/>
        </w:rPr>
        <w:t xml:space="preserve">cuantílica</w:t>
      </w:r>
      <w:r>
        <w:t xml:space="preserve"> </w:t>
      </w:r>
      <w:r>
        <w:t xml:space="preserve">al percentil 90, minimizando la pérdida pinball descrita en §6.6.1.</w:t>
      </w:r>
    </w:p>
    <w:p>
      <w:pPr>
        <w:pStyle w:val="BodyText"/>
      </w:pPr>
      <w:r>
        <w:t xml:space="preserve">La calibración resultó ser buena: la</w:t>
      </w:r>
      <w:r>
        <w:t xml:space="preserve"> </w:t>
      </w:r>
      <w:r>
        <w:rPr>
          <w:bCs/>
          <w:b/>
        </w:rPr>
        <w:t xml:space="preserve">cobertura empírica del percentil 90 fue del 90,0%</w:t>
      </w:r>
      <w:r>
        <w:t xml:space="preserve"> </w:t>
      </w:r>
      <w:r>
        <w:t xml:space="preserve">frente</w:t>
      </w:r>
      <w:r>
        <w:t xml:space="preserve"> </w:t>
      </w:r>
      <w:r>
        <w:t xml:space="preserve">a un objetivo del 90%. El contraste con la predicción media es lo que justifica el esfuerzo: la</w:t>
      </w:r>
      <w:r>
        <w:t xml:space="preserve"> </w:t>
      </w:r>
      <w:r>
        <w:t xml:space="preserve">predicción media cubre únicamente el</w:t>
      </w:r>
      <w:r>
        <w:t xml:space="preserve"> </w:t>
      </w:r>
      <w:r>
        <w:rPr>
          <w:bCs/>
          <w:b/>
        </w:rPr>
        <w:t xml:space="preserve">67,8%</w:t>
      </w:r>
      <w:r>
        <w:t xml:space="preserve"> </w:t>
      </w:r>
      <w:r>
        <w:t xml:space="preserve">de las observaciones, de modo que dimensionar el</w:t>
      </w:r>
      <w:r>
        <w:t xml:space="preserve"> </w:t>
      </w:r>
      <w:r>
        <w:t xml:space="preserve">inventario con ella produciría rotura en una de cada tres ocasiones.</w:t>
      </w:r>
    </w:p>
    <w:p>
      <w:pPr>
        <w:pStyle w:val="BodyText"/>
      </w:pPr>
      <w:r>
        <w:t xml:space="preserve">La calibración se sometió además a una comprobación adicional. Una cobertura empírica correcta</w:t>
      </w:r>
      <w:r>
        <w:t xml:space="preserve"> </w:t>
      </w:r>
      <w:r>
        <w:t xml:space="preserve">lo es sobre la ventana en que se midió, y nada garantiza que lo siga siendo. La</w:t>
      </w:r>
      <w:r>
        <w:t xml:space="preserve"> </w:t>
      </w:r>
      <w:r>
        <w:rPr>
          <w:bCs/>
          <w:b/>
        </w:rPr>
        <w:t xml:space="preserve">predicción</w:t>
      </w:r>
      <w:r>
        <w:rPr>
          <w:bCs/>
          <w:b/>
        </w:rPr>
        <w:t xml:space="preserve"> </w:t>
      </w:r>
      <w:r>
        <w:rPr>
          <w:bCs/>
          <w:b/>
        </w:rPr>
        <w:t xml:space="preserve">conforme</w:t>
      </w:r>
      <w:r>
        <w:t xml:space="preserve"> </w:t>
      </w:r>
      <w:r>
        <w:t xml:space="preserve">convierte esa observación en una garantía de cobertura en muestra finita sin</w:t>
      </w:r>
      <w:r>
        <w:t xml:space="preserve"> </w:t>
      </w:r>
      <w:r>
        <w:t xml:space="preserve">supuestos distribucionales: se calibra el error de conformidad sobre un pliegue que el modelo no</w:t>
      </w:r>
      <w:r>
        <w:t xml:space="preserve"> </w:t>
      </w:r>
      <w:r>
        <w:t xml:space="preserve">vio y se corrige el cuantil con él. El resultado confirma la calidad del modelo original —la</w:t>
      </w:r>
      <w:r>
        <w:t xml:space="preserve"> </w:t>
      </w:r>
      <w:r>
        <w:t xml:space="preserve">cobertura pasa del</w:t>
      </w:r>
      <w:r>
        <w:t xml:space="preserve"> </w:t>
      </w:r>
      <w:r>
        <w:rPr>
          <w:bCs/>
          <w:b/>
        </w:rPr>
        <w:t xml:space="preserve">89,90% al 90,46%</w:t>
      </w:r>
      <w:r>
        <w:t xml:space="preserve"> </w:t>
      </w:r>
      <w:r>
        <w:t xml:space="preserve">y el intervalo se ensancha apenas 0,02 unidades— y por</w:t>
      </w:r>
      <w:r>
        <w:t xml:space="preserve"> </w:t>
      </w:r>
      <w:r>
        <w:t xml:space="preserve">clase de predictibilidad la corrección se concentra donde cabía esperarla: X 89,73→89,85,</w:t>
      </w:r>
      <w:r>
        <w:t xml:space="preserve"> </w:t>
      </w:r>
      <w:r>
        <w:t xml:space="preserve">Y 89,22→89,78, Z 90,96→91,80. Lo que se gana no es precisión sino</w:t>
      </w:r>
      <w:r>
        <w:t xml:space="preserve"> </w:t>
      </w:r>
      <w:r>
        <w:rPr>
          <w:bCs/>
          <w:b/>
        </w:rPr>
        <w:t xml:space="preserve">rigor</w:t>
      </w:r>
      <w:r>
        <w:t xml:space="preserve">: un compromiso de</w:t>
      </w:r>
      <w:r>
        <w:t xml:space="preserve"> </w:t>
      </w:r>
      <w:r>
        <w:t xml:space="preserve">nivel de servicio respaldado por una garantía formal y no por una observación afortunada.</w:t>
      </w:r>
    </w:p>
    <w:p>
      <w:pPr>
        <w:pStyle w:val="BodyText"/>
      </w:pPr>
      <w:r>
        <w:t xml:space="preserve">El precio de esa cobertura también se cuantificó, y no es menor: pasar del 68% al 90% de nivel de</w:t>
      </w:r>
      <w:r>
        <w:t xml:space="preserve"> </w:t>
      </w:r>
      <w:r>
        <w:t xml:space="preserve">servicio exige un</w:t>
      </w:r>
      <w:r>
        <w:t xml:space="preserve"> </w:t>
      </w:r>
      <w:r>
        <w:rPr>
          <w:bCs/>
          <w:b/>
        </w:rPr>
        <w:t xml:space="preserve">127% más de inventario</w:t>
      </w:r>
      <w:r>
        <w:t xml:space="preserve">. La decisión de dónde situarse en esa curva no es</w:t>
      </w:r>
      <w:r>
        <w:t xml:space="preserve"> </w:t>
      </w:r>
      <w:r>
        <w:t xml:space="preserve">estadística sino económica, y se resuelve en §7.4.</w:t>
      </w:r>
    </w:p>
    <w:p>
      <w:pPr>
        <w:pStyle w:val="BlockText"/>
      </w:pPr>
      <w:r>
        <w:rPr>
          <w:bCs/>
          <w:b/>
        </w:rPr>
        <w:t xml:space="preserve">[FIGURA 7.14]</w:t>
      </w:r>
      <w:r>
        <w:t xml:space="preserve"> </w:t>
      </w:r>
      <w:r>
        <w:rPr>
          <w:iCs/>
          <w:i/>
        </w:rPr>
        <w:t xml:space="preserve">Cobertura empírica del intervalo frente al nivel nominal.</w:t>
      </w:r>
      <w:r>
        <w:t xml:space="preserve"> </w:t>
      </w:r>
      <w:r>
        <w:rPr>
          <w:rStyle w:val="VerbatimChar"/>
        </w:rPr>
        <w:t xml:space="preserve">Fuente: Cuaderno 03. Curva de calibración con la diagonal de referencia.</w:t>
      </w:r>
    </w:p>
    <w:bookmarkEnd w:id="88"/>
    <w:bookmarkStart w:id="89" w:name="calibración-del-sesgo"/>
    <w:p>
      <w:pPr>
        <w:pStyle w:val="Heading3"/>
      </w:pPr>
      <w:r>
        <w:t xml:space="preserve">7.3.7. Calibración del sesgo</w:t>
      </w:r>
    </w:p>
    <w:p>
      <w:pPr>
        <w:pStyle w:val="FirstParagraph"/>
      </w:pPr>
      <w:r>
        <w:t xml:space="preserve">Se examinó si la predicción presenta un sesgo sistemático susceptible de corrección. El cociente</w:t>
      </w:r>
      <w:r>
        <w:t xml:space="preserve"> </w:t>
      </w:r>
      <w:r>
        <w:t xml:space="preserve">entre demanda real y predicha resultó ser</w:t>
      </w:r>
      <w:r>
        <w:t xml:space="preserve"> </w:t>
      </w:r>
      <w:r>
        <w:rPr>
          <w:bCs/>
          <w:b/>
        </w:rPr>
        <w:t xml:space="preserve">1,074</w:t>
      </w:r>
      <w:r>
        <w:t xml:space="preserve"> </w:t>
      </w:r>
      <w:r>
        <w:t xml:space="preserve">en el primer pliegue y</w:t>
      </w:r>
      <w:r>
        <w:t xml:space="preserve"> </w:t>
      </w:r>
      <w:r>
        <w:rPr>
          <w:bCs/>
          <w:b/>
        </w:rPr>
        <w:t xml:space="preserve">1,021</w:t>
      </w:r>
      <w:r>
        <w:t xml:space="preserve"> </w:t>
      </w:r>
      <w:r>
        <w:t xml:space="preserve">en los dos</w:t>
      </w:r>
      <w:r>
        <w:t xml:space="preserve"> </w:t>
      </w:r>
      <w:r>
        <w:t xml:space="preserve">siguientes.</w:t>
      </w:r>
    </w:p>
    <w:p>
      <w:pPr>
        <w:pStyle w:val="BodyText"/>
      </w:pPr>
      <w:r>
        <w:t xml:space="preserve">La conclusión relevante no es la magnitud del sesgo sino su</w:t>
      </w:r>
      <w:r>
        <w:t xml:space="preserve"> </w:t>
      </w:r>
      <w:r>
        <w:rPr>
          <w:bCs/>
          <w:b/>
        </w:rPr>
        <w:t xml:space="preserve">inestabilidad</w:t>
      </w:r>
      <w:r>
        <w:t xml:space="preserve">: un factor de</w:t>
      </w:r>
      <w:r>
        <w:t xml:space="preserve"> </w:t>
      </w:r>
      <w:r>
        <w:t xml:space="preserve">corrección estimado sobre los tres pliegues conjuntamente empeoraría la predicción en dos de</w:t>
      </w:r>
      <w:r>
        <w:t xml:space="preserve"> </w:t>
      </w:r>
      <w:r>
        <w:t xml:space="preserve">ellos. La calibración, por tanto, se aplica únicamente con la ventana más reciente, y se</w:t>
      </w:r>
      <w:r>
        <w:t xml:space="preserve"> </w:t>
      </w:r>
      <w:r>
        <w:t xml:space="preserve">recalcula en cada ejecución. Un sesgo que no es estable no es un parámetro, es una condición</w:t>
      </w:r>
      <w:r>
        <w:t xml:space="preserve"> </w:t>
      </w:r>
      <w:r>
        <w:t xml:space="preserve">del momento.</w:t>
      </w:r>
    </w:p>
    <w:bookmarkEnd w:id="89"/>
    <w:bookmarkStart w:id="90" w:name="X177e41c5f1617fe4d87f121c23ece4232e0d7a9"/>
    <w:p>
      <w:pPr>
        <w:pStyle w:val="Heading3"/>
      </w:pPr>
      <w:r>
        <w:t xml:space="preserve">7.3.8. La respuesta a la pregunta del director financiero</w:t>
      </w:r>
    </w:p>
    <w:p>
      <w:pPr>
        <w:pStyle w:val="FirstParagraph"/>
      </w:pPr>
      <w:r>
        <w:t xml:space="preserve">La pregunta de si los agregados pueden obtenerse sumando las previsiones individuales se</w:t>
      </w:r>
      <w:r>
        <w:t xml:space="preserve"> </w:t>
      </w:r>
      <w:r>
        <w:t xml:space="preserve">respondió de forma empírica sobre los seis niveles de la jerarquía: serie, producto, tienda,</w:t>
      </w:r>
      <w:r>
        <w:t xml:space="preserve"> </w:t>
      </w:r>
      <w:r>
        <w:t xml:space="preserve">ciudad, categoría y total.</w:t>
      </w:r>
    </w:p>
    <w:p>
      <w:pPr>
        <w:pStyle w:val="BodyText"/>
      </w:pPr>
      <w:r>
        <w:t xml:space="preserve">Se compararon tres enfoques.</w:t>
      </w:r>
      <w:r>
        <w:t xml:space="preserve"> </w:t>
      </w:r>
      <w:r>
        <w:rPr>
          <w:bCs/>
          <w:b/>
        </w:rPr>
        <w:t xml:space="preserve">Ascendente</w:t>
      </w:r>
      <w:r>
        <w:t xml:space="preserve"> </w:t>
      </w:r>
      <w:r>
        <w:t xml:space="preserve">(</w:t>
      </w:r>
      <w:r>
        <w:rPr>
          <w:iCs/>
          <w:i/>
        </w:rPr>
        <w:t xml:space="preserve">bottom-up</w:t>
      </w:r>
      <w:r>
        <w:t xml:space="preserve">): predecir cada serie y sumar.</w:t>
      </w:r>
      <w:r>
        <w:t xml:space="preserve"> </w:t>
      </w:r>
      <w:r>
        <w:rPr>
          <w:bCs/>
          <w:b/>
        </w:rPr>
        <w:t xml:space="preserve">Descendente</w:t>
      </w:r>
      <w:r>
        <w:t xml:space="preserve"> </w:t>
      </w:r>
      <w:r>
        <w:t xml:space="preserve">(</w:t>
      </w:r>
      <w:r>
        <w:rPr>
          <w:iCs/>
          <w:i/>
        </w:rPr>
        <w:t xml:space="preserve">top-down</w:t>
      </w:r>
      <w:r>
        <w:t xml:space="preserve">): predecir el total y repartirlo por proporciones históricas.</w:t>
      </w:r>
      <w:r>
        <w:t xml:space="preserve"> </w:t>
      </w:r>
      <w:r>
        <w:rPr>
          <w:bCs/>
          <w:b/>
        </w:rPr>
        <w:t xml:space="preserve">Reconciliación óptima</w:t>
      </w:r>
      <w:r>
        <w:t xml:space="preserve"> </w:t>
      </w:r>
      <w:r>
        <w:t xml:space="preserve">con el método MinT: obtener predicciones independientes en todos los</w:t>
      </w:r>
      <w:r>
        <w:t xml:space="preserve"> </w:t>
      </w:r>
      <w:r>
        <w:t xml:space="preserve">niveles y proyectarlas sobre el subespacio de las previsiones coherentes, minimizando la</w:t>
      </w:r>
      <w:r>
        <w:t xml:space="preserve"> </w:t>
      </w:r>
      <w:r>
        <w:t xml:space="preserve">varianza del error de reconciliación.</w:t>
      </w:r>
    </w:p>
    <w:p>
      <w:pPr>
        <w:pStyle w:val="BodyText"/>
      </w:pPr>
      <w:r>
        <w:t xml:space="preserve">El resultado es que</w:t>
      </w:r>
      <w:r>
        <w:t xml:space="preserve"> </w:t>
      </w:r>
      <w:r>
        <w:rPr>
          <w:bCs/>
          <w:b/>
        </w:rPr>
        <w:t xml:space="preserve">MinT supera al enfoque ascendente en los seis niveles</w:t>
      </w:r>
      <w:r>
        <w:t xml:space="preserve">, con una mejora del</w:t>
      </w:r>
      <w:r>
        <w:t xml:space="preserve"> </w:t>
      </w:r>
      <w:r>
        <w:t xml:space="preserve">error porcentual absoluto medio del</w:t>
      </w:r>
      <w:r>
        <w:t xml:space="preserve"> </w:t>
      </w:r>
      <w:r>
        <w:rPr>
          <w:bCs/>
          <w:b/>
        </w:rPr>
        <w:t xml:space="preserve">15,12% al 13,71%</w:t>
      </w:r>
      <w:r>
        <w:t xml:space="preserve">, es decir, una reducción relativa del</w:t>
      </w:r>
      <w:r>
        <w:t xml:space="preserve"> </w:t>
      </w:r>
      <w:r>
        <w:rPr>
          <w:bCs/>
          <w:b/>
        </w:rPr>
        <w:t xml:space="preserve">9,3%</w:t>
      </w:r>
      <w:r>
        <w:t xml:space="preserve">.</w:t>
      </w:r>
    </w:p>
    <w:p>
      <w:pPr>
        <w:pStyle w:val="BodyText"/>
      </w:pPr>
      <w:r>
        <w:t xml:space="preserve">La respuesta a Paul Rogers tiene por tanto dos partes. La primera: sumar las previsiones</w:t>
      </w:r>
      <w:r>
        <w:t xml:space="preserve"> </w:t>
      </w:r>
      <w:r>
        <w:t xml:space="preserve">individuales es un procedimiento válido y claramente preferible a modelar cada nivel por</w:t>
      </w:r>
      <w:r>
        <w:t xml:space="preserve"> </w:t>
      </w:r>
      <w:r>
        <w:t xml:space="preserve">separado sin más. La segunda: reconciliar es mejor que sumar, y añade una propiedad que el</w:t>
      </w:r>
      <w:r>
        <w:t xml:space="preserve"> </w:t>
      </w:r>
      <w:r>
        <w:t xml:space="preserve">director financiero valorará más que el punto de error —</w:t>
      </w:r>
      <w:r>
        <w:rPr>
          <w:bCs/>
          <w:b/>
        </w:rPr>
        <w:t xml:space="preserve">la coherencia garantizada</w:t>
      </w:r>
      <w:r>
        <w:t xml:space="preserve">. Con</w:t>
      </w:r>
      <w:r>
        <w:t xml:space="preserve"> </w:t>
      </w:r>
      <w:r>
        <w:t xml:space="preserve">reconciliación, la suma de las previsiones de las tiendas de una ciudad es exactamente la</w:t>
      </w:r>
      <w:r>
        <w:t xml:space="preserve"> </w:t>
      </w:r>
      <w:r>
        <w:t xml:space="preserve">previsión de esa ciudad, y el informe de dirección no puede contradecir al de operaciones.</w:t>
      </w:r>
    </w:p>
    <w:p>
      <w:pPr>
        <w:pStyle w:val="BlockText"/>
      </w:pPr>
      <w:r>
        <w:rPr>
          <w:bCs/>
          <w:b/>
        </w:rPr>
        <w:t xml:space="preserve">[FIGURA 7.15]</w:t>
      </w:r>
      <w:r>
        <w:t xml:space="preserve"> </w:t>
      </w:r>
      <w:r>
        <w:rPr>
          <w:iCs/>
          <w:i/>
        </w:rPr>
        <w:t xml:space="preserve">Error porcentual absoluto medio por nivel de la jerarquía: ascendente frente a MinT.</w:t>
      </w:r>
      <w:r>
        <w:t xml:space="preserve"> </w:t>
      </w:r>
      <w:r>
        <w:rPr>
          <w:rStyle w:val="VerbatimChar"/>
        </w:rPr>
        <w:t xml:space="preserve">Fuente: Cuaderno 03. Barras agrupadas por los seis niveles.</w:t>
      </w:r>
    </w:p>
    <w:bookmarkEnd w:id="90"/>
    <w:bookmarkStart w:id="91" w:name="Xdb3991560f8fad4b7c364cd151d118040e4c1c7"/>
    <w:p>
      <w:pPr>
        <w:pStyle w:val="Heading3"/>
      </w:pPr>
      <w:r>
        <w:t xml:space="preserve">7.3.9. El objetivo correcto no es el día, es el ciclo</w:t>
      </w:r>
    </w:p>
    <w:p>
      <w:pPr>
        <w:pStyle w:val="FirstParagraph"/>
      </w:pPr>
      <w:r>
        <w:t xml:space="preserve">Las secciones anteriores predicen la demanda de cada día y después la política de §7.4 suma los</w:t>
      </w:r>
      <w:r>
        <w:t xml:space="preserve"> </w:t>
      </w:r>
      <w:r>
        <w:t xml:space="preserve">nueve días que cubre un pedido. Esa cadena arrastra nueve errores para producir una sola cifra, y</w:t>
      </w:r>
      <w:r>
        <w:t xml:space="preserve"> </w:t>
      </w:r>
      <w:r>
        <w:t xml:space="preserve">la cifra que la decisión necesita es únicamente el total. La pregunta que se desprende es si</w:t>
      </w:r>
      <w:r>
        <w:t xml:space="preserve"> </w:t>
      </w:r>
      <w:r>
        <w:t xml:space="preserve">conviene predecir directamente ese agregado.</w:t>
      </w:r>
    </w:p>
    <w:p>
      <w:pPr>
        <w:pStyle w:val="BodyText"/>
      </w:pPr>
      <w:r>
        <w:t xml:space="preserve">Se entrenó por tanto un modelo cuyo objetivo es el</w:t>
      </w:r>
      <w:r>
        <w:t xml:space="preserve"> </w:t>
      </w:r>
      <w:r>
        <w:rPr>
          <w:bCs/>
          <w:b/>
        </w:rPr>
        <w:t xml:space="preserve">total del ciclo</w:t>
      </w:r>
      <w:r>
        <w:t xml:space="preserve"> </w:t>
      </w:r>
      <w:r>
        <w:t xml:space="preserve">en lugar de la venta</w:t>
      </w:r>
      <w:r>
        <w:t xml:space="preserve"> </w:t>
      </w:r>
      <w:r>
        <w:t xml:space="preserve">diaria, sobre los mismos datos y la misma validación: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Enfoque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Suma de nueve predicciones diarias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−7,41%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del total (LightGBM)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+0,32%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del total (XGBoost)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Ensamble de ambos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3,986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9,457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+0,20%</w:t>
            </w:r>
          </w:p>
        </w:tc>
      </w:tr>
    </w:tbl>
    <w:p>
      <w:pPr>
        <w:pStyle w:val="BodyText"/>
      </w:pPr>
      <w:r>
        <w:t xml:space="preserve">La mejora del error absoluto medio es del</w:t>
      </w:r>
      <w:r>
        <w:t xml:space="preserve"> </w:t>
      </w:r>
      <w:r>
        <w:rPr>
          <w:bCs/>
          <w:b/>
        </w:rPr>
        <w:t xml:space="preserve">15,7%</w:t>
      </w:r>
      <w:r>
        <w:t xml:space="preserve">, pero el resultado relevante es la última</w:t>
      </w:r>
      <w:r>
        <w:t xml:space="preserve"> </w:t>
      </w:r>
      <w:r>
        <w:t xml:space="preserve">columna: el sesgo pasa de</w:t>
      </w:r>
      <w:r>
        <w:t xml:space="preserve"> </w:t>
      </w:r>
      <w:r>
        <w:rPr>
          <w:bCs/>
          <w:b/>
        </w:rPr>
        <w:t xml:space="preserve">−7,41% a +0,20%</w:t>
      </w:r>
      <w:r>
        <w:t xml:space="preserve">. Sumar predicciones diarias no solo acumulaba</w:t>
      </w:r>
      <w:r>
        <w:t xml:space="preserve"> </w:t>
      </w:r>
      <w:r>
        <w:t xml:space="preserve">error, acumulaba error</w:t>
      </w:r>
      <w:r>
        <w:t xml:space="preserve"> </w:t>
      </w:r>
      <w:r>
        <w:rPr>
          <w:iCs/>
          <w:i/>
        </w:rPr>
        <w:t xml:space="preserve">en una dirección</w:t>
      </w:r>
      <w:r>
        <w:t xml:space="preserve">, infravalorando sistemáticamente la demanda del ciclo</w:t>
      </w:r>
      <w:r>
        <w:t xml:space="preserve"> </w:t>
      </w:r>
      <w:r>
        <w:t xml:space="preserve">—y por tanto el pedido.</w:t>
      </w:r>
    </w:p>
    <w:p>
      <w:pPr>
        <w:pStyle w:val="BodyText"/>
      </w:pPr>
      <w:r>
        <w:t xml:space="preserve">La lectura metodológica es la misma que atraviesa el capítulo:</w:t>
      </w:r>
      <w:r>
        <w:t xml:space="preserve"> </w:t>
      </w:r>
      <w:r>
        <w:rPr>
          <w:bCs/>
          <w:b/>
        </w:rPr>
        <w:t xml:space="preserve">el error no venía del modelo</w:t>
      </w:r>
      <w:r>
        <w:rPr>
          <w:bCs/>
          <w:b/>
        </w:rPr>
        <w:t xml:space="preserve"> </w:t>
      </w:r>
      <w:r>
        <w:rPr>
          <w:bCs/>
          <w:b/>
        </w:rPr>
        <w:t xml:space="preserve">sino de cómo estaba planteado el objetivo</w:t>
      </w:r>
      <w:r>
        <w:t xml:space="preserve">. Agregar promedia el ruido y, sobre todo, entrena</w:t>
      </w:r>
      <w:r>
        <w:t xml:space="preserve"> </w:t>
      </w:r>
      <w:r>
        <w:t xml:space="preserve">exactamente sobre la cantidad que se usa para decidir.</w:t>
      </w:r>
    </w:p>
    <w:bookmarkEnd w:id="91"/>
    <w:bookmarkStart w:id="92" w:name="productos-sin-histórico"/>
    <w:p>
      <w:pPr>
        <w:pStyle w:val="Heading3"/>
      </w:pPr>
      <w:r>
        <w:t xml:space="preserve">7.3.10. Productos sin histórico</w:t>
      </w:r>
    </w:p>
    <w:p>
      <w:pPr>
        <w:pStyle w:val="FirstParagraph"/>
      </w:pPr>
      <w:r>
        <w:t xml:space="preserve">Una referencia recién incorporada al catálogo no tiene retardos ni medias móviles, es decir,</w:t>
      </w:r>
      <w:r>
        <w:t xml:space="preserve"> </w:t>
      </w:r>
      <w:r>
        <w:t xml:space="preserve">carece del 88% de la información que el modelo utiliza. Es además el momento en que un error de</w:t>
      </w:r>
      <w:r>
        <w:t xml:space="preserve"> </w:t>
      </w:r>
      <w:r>
        <w:t xml:space="preserve">dimensionamiento resulta más caro. Se evaluaron por ello cuatro formas de estimar su demanda</w:t>
      </w:r>
      <w:r>
        <w:t xml:space="preserve"> </w:t>
      </w:r>
      <w:r>
        <w:t xml:space="preserve">media, sobre un conjunto de productos ocultados por completo —en todas las tiendas— durante el</w:t>
      </w:r>
      <w:r>
        <w:t xml:space="preserve"> </w:t>
      </w:r>
      <w:r>
        <w:t xml:space="preserve">entrenamiento: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sobre la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Misma referencia en la tienda del mismo 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0,838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por atributos (categoría, departamento, tienda, precio)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del departamento en la tienda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de la categoría en la tienda (referencia)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El resultado interesante es que</w:t>
      </w:r>
      <w:r>
        <w:t xml:space="preserve"> </w:t>
      </w:r>
      <w:r>
        <w:rPr>
          <w:bCs/>
          <w:b/>
        </w:rPr>
        <w:t xml:space="preserve">la vía más simple gana al modelo</w:t>
      </w:r>
      <w:r>
        <w:t xml:space="preserve">. Y su interés no es la</w:t>
      </w:r>
      <w:r>
        <w:t xml:space="preserve"> </w:t>
      </w:r>
      <w:r>
        <w:t xml:space="preserve">diferencia de error sino lo que valida: el agrupamiento de tiendas de §7.2.5 no era una</w:t>
      </w:r>
      <w:r>
        <w:t xml:space="preserve"> </w:t>
      </w:r>
      <w:r>
        <w:t xml:space="preserve">descripción, es un instrumento operativo — dice de qué establecimiento copiar cuando llega un</w:t>
      </w:r>
      <w:r>
        <w:t xml:space="preserve"> </w:t>
      </w:r>
      <w:r>
        <w:t xml:space="preserve">producto nuevo, y funciona mejor que un modelo entrenado con los atributos del producto.</w:t>
      </w:r>
    </w:p>
    <w:p>
      <w:pPr>
        <w:pStyle w:val="BodyText"/>
      </w:pPr>
      <w:r>
        <w:t xml:space="preserve">Ambos procedimientos comparten una limitación que hay que declarar: infravaloran de forma</w:t>
      </w:r>
      <w:r>
        <w:t xml:space="preserve"> </w:t>
      </w:r>
      <w:r>
        <w:t xml:space="preserve">apreciable, con un sesgo del</w:t>
      </w:r>
      <w:r>
        <w:t xml:space="preserve"> </w:t>
      </w:r>
      <w:r>
        <w:rPr>
          <w:bCs/>
          <w:b/>
        </w:rPr>
        <w:t xml:space="preserve">−18,2%</w:t>
      </w:r>
      <w:r>
        <w:t xml:space="preserve"> </w:t>
      </w:r>
      <w:r>
        <w:t xml:space="preserve">en la vía por tienda vecina y del</w:t>
      </w:r>
      <w:r>
        <w:t xml:space="preserve"> </w:t>
      </w:r>
      <w:r>
        <w:rPr>
          <w:bCs/>
          <w:b/>
        </w:rPr>
        <w:t xml:space="preserve">−25,2%</w:t>
      </w:r>
      <w:r>
        <w:t xml:space="preserve"> </w:t>
      </w:r>
      <w:r>
        <w:t xml:space="preserve">en la del</w:t>
      </w:r>
      <w:r>
        <w:t xml:space="preserve"> </w:t>
      </w:r>
      <w:r>
        <w:t xml:space="preserve">modelo. Cualquiera de los dos requeriría calibración antes de su uso.</w:t>
      </w:r>
    </w:p>
    <w:bookmarkEnd w:id="92"/>
    <w:bookmarkStart w:id="93" w:name="límites-reconocidos"/>
    <w:p>
      <w:pPr>
        <w:pStyle w:val="Heading3"/>
      </w:pPr>
      <w:r>
        <w:t xml:space="preserve">7.3.11. Límites reconocidos</w:t>
      </w:r>
    </w:p>
    <w:p>
      <w:pPr>
        <w:pStyle w:val="FirstParagraph"/>
      </w:pPr>
      <w:r>
        <w:t xml:space="preserve">El capítulo deja tres problemas abiertos, que se recogen en las conclusiones y en la propuesta</w:t>
      </w:r>
      <w:r>
        <w:t xml:space="preserve"> </w:t>
      </w:r>
      <w:r>
        <w:t xml:space="preserve">de trabajo futuro: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Temporada alta.</w:t>
      </w:r>
      <w:r>
        <w:t xml:space="preserve"> </w:t>
      </w:r>
      <w:r>
        <w:t xml:space="preserve">La regla de cierre corrige el caso extremo, pero el comportamiento del</w:t>
      </w:r>
      <w:r>
        <w:t xml:space="preserve"> </w:t>
      </w:r>
      <w:r>
        <w:t xml:space="preserve">modelo en diciembre sigue siendo el peor del año. Una ventana de entrenamiento que incluyera</w:t>
      </w:r>
      <w:r>
        <w:t xml:space="preserve"> </w:t>
      </w:r>
      <w:r>
        <w:t xml:space="preserve">el mismo período del año anterior es la vía natural, con el coste de cómputo que conlleva.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Cola larga.</w:t>
      </w:r>
      <w:r>
        <w:t xml:space="preserve"> </w:t>
      </w:r>
      <w:r>
        <w:t xml:space="preserve">En las series de demanda errática el modelo aporta poco sobre una regla</w:t>
      </w:r>
      <w:r>
        <w:t xml:space="preserve"> </w:t>
      </w:r>
      <w:r>
        <w:t xml:space="preserve">simple. Los métodos específicos para demanda intermitente son la referencia obligada.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Sesgo inestable.</w:t>
      </w:r>
      <w:r>
        <w:t xml:space="preserve"> </w:t>
      </w:r>
      <w:r>
        <w:t xml:space="preserve">La corrección con la ventana reciente es una solución práctica, no una</w:t>
      </w:r>
      <w:r>
        <w:t xml:space="preserve"> </w:t>
      </w:r>
      <w:r>
        <w:t xml:space="preserve">explicación de por qué el sesgo se mueve.</w:t>
      </w:r>
    </w:p>
    <w:bookmarkEnd w:id="93"/>
    <w:bookmarkStart w:id="94" w:name="qué-abre-el-capítulo-siguiente-2"/>
    <w:p>
      <w:pPr>
        <w:pStyle w:val="Heading3"/>
      </w:pPr>
      <w:r>
        <w:t xml:space="preserve">7.3.12. Qué abre el capítulo siguiente</w:t>
      </w:r>
    </w:p>
    <w:p>
      <w:pPr>
        <w:pStyle w:val="FirstParagraph"/>
      </w:pPr>
      <w:r>
        <w:t xml:space="preserve">El capítulo entrega una previsión media, una previsión al percentil 90 y una garantía de</w:t>
      </w:r>
      <w:r>
        <w:t xml:space="preserve"> </w:t>
      </w:r>
      <w:r>
        <w:t xml:space="preserve">coherencia entre niveles. Nada de eso repone una sola unidad. La pregunta siguiente es qué se</w:t>
      </w:r>
      <w:r>
        <w:t xml:space="preserve"> </w:t>
      </w:r>
      <w:r>
        <w:t xml:space="preserve">hace con estos números.</w:t>
      </w:r>
      <w:r>
        <w:t xml:space="preserve"> </w:t>
      </w:r>
      <w:r>
        <w:t xml:space="preserve">## 7.4. Cuánto hay que pedir</w:t>
      </w:r>
    </w:p>
    <w:p>
      <w:pPr>
        <w:pStyle w:val="BlockText"/>
      </w:pPr>
      <w:r>
        <w:t xml:space="preserve">Una predicción no repone nada. Alguien tiene que decidir cuántas unidades entran en el</w:t>
      </w:r>
      <w:r>
        <w:t xml:space="preserve"> </w:t>
      </w:r>
      <w:r>
        <w:t xml:space="preserve">pedido, y esa decisión tiene un coste que la predicción no mide.</w:t>
      </w:r>
    </w:p>
    <w:p>
      <w:pPr>
        <w:pStyle w:val="FirstParagraph"/>
      </w:pPr>
      <w:r>
        <w:t xml:space="preserve">El capítulo anterior entregó números; este los convierte en unidades pedidas y, sobre todo,</w:t>
      </w:r>
      <w:r>
        <w:t xml:space="preserve"> </w:t>
      </w:r>
      <w:r>
        <w:t xml:space="preserve">cambia la unidad de medida del trabajo: se abandona el error de predicción y se pasa al dinero.</w:t>
      </w:r>
    </w:p>
    <w:bookmarkEnd w:id="94"/>
    <w:bookmarkStart w:id="95" w:name="X673bcba50efdeb28591d09a7d4dcbc5cd08ca99"/>
    <w:p>
      <w:pPr>
        <w:pStyle w:val="Heading3"/>
      </w:pPr>
      <w:r>
        <w:t xml:space="preserve">7.4.1. El marco: el problema del vendedor de periódicos</w:t>
      </w:r>
    </w:p>
    <w:p>
      <w:pPr>
        <w:pStyle w:val="FirstParagraph"/>
      </w:pPr>
      <w:r>
        <w:t xml:space="preserve">La decisión de cuánto pedir ante una demanda incierta es un problema clásico de la teoría de</w:t>
      </w:r>
      <w:r>
        <w:t xml:space="preserve"> </w:t>
      </w:r>
      <w:r>
        <w:t xml:space="preserve">inventarios. Ante una demanda aleatoria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y una cantidad pedida</w:t>
      </w:r>
      <w:r>
        <w:t xml:space="preserve"> </w:t>
      </w:r>
      <m:oMath>
        <m:r>
          <m:t>S</m:t>
        </m:r>
      </m:oMath>
      <w:r>
        <w:t xml:space="preserve">, el coste esperado es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es el coste unitario de quedarse corto —el margen de una venta que no ocurrió— y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el de pasarse —mantenimiento del inventario más merma del remanente. La cantidad que</w:t>
      </w:r>
      <w:r>
        <w:t xml:space="preserve"> </w:t>
      </w:r>
      <w:r>
        <w:t xml:space="preserve">minimiza ese coste no es la demanda esperada sino un</w:t>
      </w:r>
      <w:r>
        <w:t xml:space="preserve"> </w:t>
      </w:r>
      <w:r>
        <w:rPr>
          <w:bCs/>
          <w:b/>
        </w:rPr>
        <w:t xml:space="preserve">cuantil</w:t>
      </w:r>
      <w:r>
        <w:t xml:space="preserve"> </w:t>
      </w:r>
      <w:r>
        <w:t xml:space="preserve">de la distribución de la</w:t>
      </w:r>
      <w:r>
        <w:t xml:space="preserve"> </w:t>
      </w:r>
      <w:r>
        <w:t xml:space="preserve">demanda, determinado por el</w:t>
      </w:r>
      <w:r>
        <w:t xml:space="preserve"> </w:t>
      </w:r>
      <w:r>
        <w:rPr>
          <w:bCs/>
          <w:b/>
        </w:rPr>
        <w:t xml:space="preserve">ratio crítico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τ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o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Este resultado es el que estructura todo el capítulo. La decisión de reposición no necesita una</w:t>
      </w:r>
      <w:r>
        <w:t xml:space="preserve"> </w:t>
      </w:r>
      <w:r>
        <w:t xml:space="preserve">predicción de la media: necesita una predicción de un cuantil, y qué cuantil lo dice la economía</w:t>
      </w:r>
      <w:r>
        <w:t xml:space="preserve"> </w:t>
      </w:r>
      <w:r>
        <w:t xml:space="preserve">del producto, no el análisis.</w:t>
      </w:r>
    </w:p>
    <w:p>
      <w:pPr>
        <w:pStyle w:val="BodyText"/>
      </w:pPr>
      <w:r>
        <w:t xml:space="preserve">La política adoptada es de</w:t>
      </w:r>
      <w:r>
        <w:t xml:space="preserve"> </w:t>
      </w:r>
      <w:r>
        <w:rPr>
          <w:bCs/>
          <w:b/>
        </w:rPr>
        <w:t xml:space="preserve">revisión periódica</w:t>
      </w:r>
      <w:r>
        <w:t xml:space="preserve"> </w:t>
      </w:r>
      <w:r>
        <w:t xml:space="preserve">con nivel objetivo: cada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días se revisa el</w:t>
      </w:r>
      <w:r>
        <w:t xml:space="preserve"> </w:t>
      </w:r>
      <w:r>
        <w:t xml:space="preserve">inventario y se pide la diferencia hasta un nivel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que debe cubrir la demanda de los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L</m:t>
        </m:r>
      </m:oMath>
      <w:r>
        <w:t xml:space="preserve"> </w:t>
      </w:r>
      <w:r>
        <w:t xml:space="preserve">días siguientes, siendo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el plazo de entrega. Con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, cada pedido cubre nueve</w:t>
      </w:r>
      <w:r>
        <w:t xml:space="preserve"> </w:t>
      </w:r>
      <w:r>
        <w:t xml:space="preserve">días.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⋅</m:t>
          </m:r>
          <m:sSub>
            <m:e>
              <m:r>
                <m:t>σ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L</m:t>
              </m:r>
            </m:sub>
          </m:sSub>
          <m:r>
            <m:t>  </m:t>
          </m:r>
          <m:r>
            <m:rPr>
              <m:nor/>
              <m:sty m:val="p"/>
            </m:rPr>
            <m:t>pedido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posición de inventario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</m:e>
          </m:d>
        </m:oMath>
      </m:oMathPara>
    </w:p>
    <w:bookmarkEnd w:id="95"/>
    <w:bookmarkStart w:id="96" w:name="una-política-híbrida-por-segmento"/>
    <w:p>
      <w:pPr>
        <w:pStyle w:val="Heading3"/>
      </w:pPr>
      <w:r>
        <w:t xml:space="preserve">7.4.2. Una política híbrida por segmento</w:t>
      </w:r>
    </w:p>
    <w:p>
      <w:pPr>
        <w:pStyle w:val="FirstParagraph"/>
      </w:pPr>
      <w:r>
        <w:t xml:space="preserve">La implementación no aplica el mismo método a todas las series. Para las de</w:t>
      </w:r>
      <w:r>
        <w:t xml:space="preserve"> </w:t>
      </w:r>
      <w:r>
        <w:rPr>
          <w:bCs/>
          <w:b/>
        </w:rPr>
        <w:t xml:space="preserve">clase X</w:t>
      </w:r>
      <w:r>
        <w:t xml:space="preserve"> </w:t>
      </w:r>
      <w:r>
        <w:t xml:space="preserve">—demanda</w:t>
      </w:r>
      <w:r>
        <w:t xml:space="preserve"> </w:t>
      </w:r>
      <w:r>
        <w:t xml:space="preserve">estable— el término de incertidumbre se estima con el desvío histórico, que en esas series es</w:t>
      </w:r>
      <w:r>
        <w:t xml:space="preserve"> </w:t>
      </w:r>
      <w:r>
        <w:t xml:space="preserve">fiable. Para las de</w:t>
      </w:r>
      <w:r>
        <w:t xml:space="preserve"> </w:t>
      </w:r>
      <w:r>
        <w:rPr>
          <w:bCs/>
          <w:b/>
        </w:rPr>
        <w:t xml:space="preserve">clase Y y Z</w:t>
      </w:r>
      <w:r>
        <w:t xml:space="preserve"> </w:t>
      </w:r>
      <w:r>
        <w:t xml:space="preserve">se toma directamente del modelo cuantílico de §7.3.6.</w:t>
      </w:r>
    </w:p>
    <w:p>
      <w:pPr>
        <w:pStyle w:val="BodyText"/>
      </w:pPr>
      <w:r>
        <w:t xml:space="preserve">Esta separación no es una elección estética: es el resultado del experimento descrito en §7.4.4,</w:t>
      </w:r>
      <w:r>
        <w:t xml:space="preserve"> </w:t>
      </w:r>
      <w:r>
        <w:t xml:space="preserve">y llegar a ella exigió contradecir una conclusión propia del capítulo anterior.</w:t>
      </w:r>
    </w:p>
    <w:bookmarkEnd w:id="96"/>
    <w:bookmarkStart w:id="97" w:name="cuánto-cuesta-la-política-actual"/>
    <w:p>
      <w:pPr>
        <w:pStyle w:val="Heading3"/>
      </w:pPr>
      <w:r>
        <w:t xml:space="preserve">7.4.3. Cuánto cuesta la política actual</w:t>
      </w:r>
    </w:p>
    <w:p>
      <w:pPr>
        <w:pStyle w:val="FirstParagraph"/>
      </w:pPr>
      <w:r>
        <w:t xml:space="preserve">La simulación se ejecutó sobre las</w:t>
      </w:r>
      <w:r>
        <w:t xml:space="preserve"> </w:t>
      </w:r>
      <w:r>
        <w:rPr>
          <w:bCs/>
          <w:b/>
        </w:rPr>
        <w:t xml:space="preserve">30.490 series durante cuatro semanas</w:t>
      </w:r>
      <w:r>
        <w:t xml:space="preserve"> </w:t>
      </w:r>
      <w:r>
        <w:t xml:space="preserve">con la demanda que</w:t>
      </w:r>
      <w:r>
        <w:t xml:space="preserve"> </w:t>
      </w:r>
      <w:r>
        <w:t xml:space="preserve">realmente se observó. El primer resultado describe el punto de partida: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 del coste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 (28 días)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Margen perdido por rotura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161.353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Coste de mantenimiento de 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11.527 USD</w:t>
            </w:r>
          </w:p>
        </w:tc>
      </w:tr>
    </w:tbl>
    <w:p>
      <w:pPr>
        <w:pStyle w:val="BodyText"/>
      </w:pPr>
      <w:r>
        <w:t xml:space="preserve">La proporción es lo relevante:</w:t>
      </w:r>
      <w:r>
        <w:t xml:space="preserve"> </w:t>
      </w:r>
      <w:r>
        <w:rPr>
          <w:bCs/>
          <w:b/>
        </w:rPr>
        <w:t xml:space="preserve">catorce dólares de venta perdida por cada dólar de inventario</w:t>
      </w:r>
      <w:r>
        <w:rPr>
          <w:bCs/>
          <w:b/>
        </w:rPr>
        <w:t xml:space="preserve"> </w:t>
      </w:r>
      <w:r>
        <w:rPr>
          <w:bCs/>
          <w:b/>
        </w:rPr>
        <w:t xml:space="preserve">inmovilizado</w:t>
      </w:r>
      <w:r>
        <w:t xml:space="preserve">. La política de partida no es cara porque acumule existencias; es cara porque</w:t>
      </w:r>
      <w:r>
        <w:t xml:space="preserve"> </w:t>
      </w:r>
      <w:r>
        <w:t xml:space="preserve">deja de vender. Ese diagnóstico, que la métrica de error no puede dar, orienta toda la</w:t>
      </w:r>
      <w:r>
        <w:t xml:space="preserve"> </w:t>
      </w:r>
      <w:r>
        <w:t xml:space="preserve">optimización posterior en una única dirección: subir el nivel de servicio.</w:t>
      </w:r>
    </w:p>
    <w:p>
      <w:pPr>
        <w:pStyle w:val="BlockText"/>
      </w:pPr>
      <w:r>
        <w:rPr>
          <w:bCs/>
          <w:b/>
        </w:rPr>
        <w:t xml:space="preserve">[FIGURA 7.16]</w:t>
      </w:r>
      <w:r>
        <w:t xml:space="preserve"> </w:t>
      </w:r>
      <w:r>
        <w:rPr>
          <w:iCs/>
          <w:i/>
        </w:rPr>
        <w:t xml:space="preserve">Descomposición del coste de la política de partida.</w:t>
      </w:r>
      <w:r>
        <w:t xml:space="preserve"> </w:t>
      </w:r>
      <w:r>
        <w:rPr>
          <w:rStyle w:val="VerbatimChar"/>
        </w:rPr>
        <w:t xml:space="preserve">Fuente: Cuaderno 04. La desproporción entre margen perdido y mantenimiento es el mensaje.</w:t>
      </w:r>
    </w:p>
    <w:p>
      <w:pPr>
        <w:pStyle w:val="FirstParagraph"/>
      </w:pPr>
      <w:r>
        <w:t xml:space="preserve">Aplicando la política con nivel objetivo por segmento, el nivel de servicio pasa del</w:t>
      </w:r>
      <w:r>
        <w:t xml:space="preserve"> </w:t>
      </w:r>
      <w:r>
        <w:rPr>
          <w:bCs/>
          <w:b/>
        </w:rPr>
        <w:t xml:space="preserve">86,3% al</w:t>
      </w:r>
      <w:r>
        <w:rPr>
          <w:bCs/>
          <w:b/>
        </w:rPr>
        <w:t xml:space="preserve"> </w:t>
      </w:r>
      <w:r>
        <w:rPr>
          <w:bCs/>
          <w:b/>
        </w:rPr>
        <w:t xml:space="preserve">96,0%</w:t>
      </w:r>
      <w:r>
        <w:t xml:space="preserve"> </w:t>
      </w:r>
      <w:r>
        <w:t xml:space="preserve">y el coste total desciende un</w:t>
      </w:r>
      <w:r>
        <w:t xml:space="preserve"> </w:t>
      </w:r>
      <w:r>
        <w:rPr>
          <w:bCs/>
          <w:b/>
        </w:rPr>
        <w:t xml:space="preserve">61%</w:t>
      </w:r>
      <w:r>
        <w:t xml:space="preserve">.</w:t>
      </w:r>
    </w:p>
    <w:bookmarkEnd w:id="97"/>
    <w:bookmarkStart w:id="98" w:name="Xa1237f68e44745741121975f12246553301a5bb"/>
    <w:p>
      <w:pPr>
        <w:pStyle w:val="Heading3"/>
      </w:pPr>
      <w:r>
        <w:t xml:space="preserve">7.4.4. La simulación refuta la conclusión del capítulo anterior</w:t>
      </w:r>
    </w:p>
    <w:p>
      <w:pPr>
        <w:pStyle w:val="FirstParagraph"/>
      </w:pPr>
      <w:r>
        <w:t xml:space="preserve">En §7.3 se concluyó, a partir del error de predicción, que el modelo aportaba valor en las</w:t>
      </w:r>
      <w:r>
        <w:t xml:space="preserve"> </w:t>
      </w:r>
      <w:r>
        <w:t xml:space="preserve">series del núcleo estable y poco en la cola larga. La simulación de la política dice lo</w:t>
      </w:r>
      <w:r>
        <w:t xml:space="preserve"> </w:t>
      </w:r>
      <w:r>
        <w:t xml:space="preserve">contrario: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 de usar el modelo frente a la regla histórica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Cola larga (clases Y y 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+19,3%</w:t>
            </w:r>
            <w:r>
              <w:t xml:space="preserve"> </w:t>
            </w:r>
            <w:r>
              <w:t xml:space="preserve">de mejora en coste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Núcleo estable (clase 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−7,9%</w:t>
            </w:r>
            <w:r>
              <w:t xml:space="preserve">: el modelo empeora el resultado</w:t>
            </w:r>
          </w:p>
        </w:tc>
      </w:tr>
    </w:tbl>
    <w:p>
      <w:pPr>
        <w:pStyle w:val="BodyText"/>
      </w:pPr>
      <w:r>
        <w:t xml:space="preserve">La explicación es que en las series estables el desvío histórico es un estimador excelente de la</w:t>
      </w:r>
      <w:r>
        <w:t xml:space="preserve"> </w:t>
      </w:r>
      <w:r>
        <w:t xml:space="preserve">incertidumbre —hay muchos datos y poca varianza— mientras que el modelo cuantílico introduce</w:t>
      </w:r>
      <w:r>
        <w:t xml:space="preserve"> </w:t>
      </w:r>
      <w:r>
        <w:t xml:space="preserve">ruido de estimación sin aportar información nueva. En la cola larga ocurre lo contrario: el</w:t>
      </w:r>
      <w:r>
        <w:t xml:space="preserve"> </w:t>
      </w:r>
      <w:r>
        <w:t xml:space="preserve">histórico es escaso y errático, y el modelo, que aprende de las 30.490 series a la vez, aporta</w:t>
      </w:r>
      <w:r>
        <w:t xml:space="preserve"> </w:t>
      </w:r>
      <w:r>
        <w:t xml:space="preserve">la estructura que la serie individual no tiene.</w:t>
      </w:r>
    </w:p>
    <w:p>
      <w:pPr>
        <w:pStyle w:val="BlockText"/>
      </w:pPr>
      <w:r>
        <w:rPr>
          <w:bCs/>
          <w:b/>
        </w:rPr>
        <w:t xml:space="preserve">[FIGURA 7.17]</w:t>
      </w:r>
      <w:r>
        <w:t xml:space="preserve"> </w:t>
      </w:r>
      <w:r>
        <w:rPr>
          <w:iCs/>
          <w:i/>
        </w:rPr>
        <w:t xml:space="preserve">Efecto de usar el modelo frente a la regla histórica, por segmento.</w:t>
      </w:r>
      <w:r>
        <w:t xml:space="preserve"> </w:t>
      </w:r>
      <w:r>
        <w:rPr>
          <w:rStyle w:val="VerbatimChar"/>
        </w:rPr>
        <w:t xml:space="preserve">Fuente: Cuaderno 04. Los signos opuestos deben ser visibles de un vistazo.</w:t>
      </w:r>
    </w:p>
    <w:p>
      <w:pPr>
        <w:pStyle w:val="FirstParagraph"/>
      </w:pPr>
      <w:r>
        <w:t xml:space="preserve">Este es el segundo de los tres momentos en que una prueba refutó una conclusión del trabajo.</w:t>
      </w:r>
      <w:r>
        <w:t xml:space="preserve"> </w:t>
      </w:r>
      <w:r>
        <w:t xml:space="preserve">Elegir la política por el RMSSE habría llevado a la decisión opuesta en ambos segmentos.</w:t>
      </w:r>
    </w:p>
    <w:bookmarkEnd w:id="98"/>
    <w:bookmarkStart w:id="99" w:name="la-función-de-pérdida-correcta"/>
    <w:p>
      <w:pPr>
        <w:pStyle w:val="Heading3"/>
      </w:pPr>
      <w:r>
        <w:t xml:space="preserve">7.4.5. La función de pérdida correcta</w:t>
      </w:r>
    </w:p>
    <w:p>
      <w:pPr>
        <w:pStyle w:val="FirstParagraph"/>
      </w:pPr>
      <w:r>
        <w:t xml:space="preserve">El hallazgo anterior admite una lectura más general, que el trabajo formula de forma explícita</w:t>
      </w:r>
      <w:r>
        <w:t xml:space="preserve"> </w:t>
      </w:r>
      <w:r>
        <w:t xml:space="preserve">porque es su aportación metodológica más transferible.</w:t>
      </w:r>
    </w:p>
    <w:p>
      <w:pPr>
        <w:pStyle w:val="BodyText"/>
      </w:pPr>
      <w:r>
        <w:t xml:space="preserve">El WRMSSE con el que se eligió el modelo en §7.3 es una métrica</w:t>
      </w:r>
      <w:r>
        <w:t xml:space="preserve"> </w:t>
      </w:r>
      <w:r>
        <w:rPr>
          <w:bCs/>
          <w:b/>
        </w:rPr>
        <w:t xml:space="preserve">simétrica</w:t>
      </w:r>
      <w:r>
        <w:t xml:space="preserve">: penaliza igual</w:t>
      </w:r>
      <w:r>
        <w:t xml:space="preserve"> </w:t>
      </w:r>
      <w:r>
        <w:t xml:space="preserve">pasarse que quedarse corto. La empresa no paga igual. Y la métrica que sí describe lo que la</w:t>
      </w:r>
      <w:r>
        <w:t xml:space="preserve"> </w:t>
      </w:r>
      <w:r>
        <w:t xml:space="preserve">empresa paga —el coste del vendedor de periódicos— resulta ser, salvo una constante</w:t>
      </w:r>
      <w:r>
        <w:t xml:space="preserve"> </w:t>
      </w:r>
      <w:r>
        <w:t xml:space="preserve">multiplicativa, la</w:t>
      </w:r>
      <w:r>
        <w:t xml:space="preserve"> </w:t>
      </w:r>
      <w:r>
        <w:rPr>
          <w:bCs/>
          <w:b/>
        </w:rPr>
        <w:t xml:space="preserve">pérdida pinball evaluada en el ratio crítico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o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L</m:t>
              </m:r>
            </m:e>
            <m:sub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t xml:space="preserve">De esta identidad se siguen tres consecuencias.</w:t>
      </w:r>
    </w:p>
    <w:p>
      <w:pPr>
        <w:pStyle w:val="BodyText"/>
      </w:pPr>
      <w:r>
        <w:rPr>
          <w:bCs/>
          <w:b/>
        </w:rPr>
        <w:t xml:space="preserve">Primera</w:t>
      </w:r>
      <w:r>
        <w:t xml:space="preserve">, elegir el modelo por su coste de negocio no supone renunciar al rigor estadístico:</w:t>
      </w:r>
      <w:r>
        <w:t xml:space="preserve"> </w:t>
      </w:r>
      <w:r>
        <w:t xml:space="preserve">la métrica de negocio tiene un equivalente estadístico exacto. Es la misma función de pérdida,</w:t>
      </w:r>
      <w:r>
        <w:t xml:space="preserve"> </w:t>
      </w:r>
      <w:r>
        <w:t xml:space="preserve">evaluada en el cuantil que determina la economía del producto en lugar de en uno elegido por</w:t>
      </w:r>
      <w:r>
        <w:t xml:space="preserve"> </w:t>
      </w:r>
      <w:r>
        <w:t xml:space="preserve">convención.</w:t>
      </w:r>
    </w:p>
    <w:p>
      <w:pPr>
        <w:pStyle w:val="BodyText"/>
      </w:pPr>
      <w:r>
        <w:rPr>
          <w:bCs/>
          <w:b/>
        </w:rPr>
        <w:t xml:space="preserve">Segunda</w:t>
      </w:r>
      <w:r>
        <w:t xml:space="preserve">, el nivel de servicio del 90% que el trabajo emplea como referencia es un valor</w:t>
      </w:r>
      <w:r>
        <w:t xml:space="preserve"> </w:t>
      </w:r>
      <w:r>
        <w:t xml:space="preserve">fijado a mano. El ratio crítico indica cuál debería ser: con un margen del 25% y un coste de</w:t>
      </w:r>
      <w:r>
        <w:t xml:space="preserve"> </w:t>
      </w:r>
      <w:r>
        <w:t xml:space="preserve">posesión del 5%,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83</m:t>
        </m:r>
      </m:oMath>
      <w:r>
        <w:t xml:space="preserve">; con un producto perecedero de merma del 20%,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. La distancia respecto del 0,90 uniforme es considerable, y la</w:t>
      </w:r>
      <w:r>
        <w:t xml:space="preserve"> </w:t>
      </w:r>
      <w:r>
        <w:t xml:space="preserve">consecuencia es que hoy el sistema pide de más en unos productos y de menos en otros.</w:t>
      </w:r>
    </w:p>
    <w:p>
      <w:pPr>
        <w:pStyle w:val="BodyText"/>
      </w:pPr>
      <w:r>
        <w:rPr>
          <w:bCs/>
          <w:b/>
        </w:rPr>
        <w:t xml:space="preserve">Tercera</w:t>
      </w:r>
      <w:r>
        <w:t xml:space="preserve">, si la función de pérdida cambia, el modelo ganador puede cambiar. Esta última</w:t>
      </w:r>
      <w:r>
        <w:t xml:space="preserve"> </w:t>
      </w:r>
      <w:r>
        <w:t xml:space="preserve">afirmación se sometió a prueba de forma directa: se compararon cinco candidatos sobre el mismo</w:t>
      </w:r>
      <w:r>
        <w:t xml:space="preserve"> </w:t>
      </w:r>
      <w:r>
        <w:t xml:space="preserve">período, ordenándolos por error estadístico y por coste simulado de la política que se deriva de</w:t>
      </w:r>
      <w:r>
        <w:t xml:space="preserve"> </w:t>
      </w:r>
      <w:r>
        <w:t xml:space="preserve">cada uno.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WRMSSE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· LightGBM + desvío histórico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0,837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256.451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· media móvil +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· LightGBM + desvío de residuos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265.847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· cuantílico entrenado en</w:t>
            </w:r>
            <w:r>
              <w:t xml:space="preserve"> </w:t>
            </w:r>
            <m:oMath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· cuantílico en 0,90 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628.935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98,6%</w:t>
            </w:r>
          </w:p>
        </w:tc>
      </w:tr>
    </w:tbl>
    <w:p>
      <w:pPr>
        <w:pStyle w:val="BodyText"/>
      </w:pPr>
      <w:r>
        <w:rPr>
          <w:bCs/>
          <w:b/>
        </w:rPr>
        <w:t xml:space="preserve">Los dos criterios coinciden en el ganador.</w:t>
      </w:r>
      <w:r>
        <w:t xml:space="preserve"> </w:t>
      </w:r>
      <w:r>
        <w:t xml:space="preserve">Es un resultado tranquilizador y merece</w:t>
      </w:r>
      <w:r>
        <w:t xml:space="preserve"> </w:t>
      </w:r>
      <w:r>
        <w:t xml:space="preserve">enunciarse como tal: en este problema la métrica estadística resulta un buen sustituto de la</w:t>
      </w:r>
      <w:r>
        <w:t xml:space="preserve"> </w:t>
      </w:r>
      <w:r>
        <w:t xml:space="preserve">económica, y elegir por WRMSSE no habría costado dinero. La hipótesis que motivó el experimento</w:t>
      </w:r>
      <w:r>
        <w:t xml:space="preserve"> </w:t>
      </w:r>
      <w:r>
        <w:t xml:space="preserve">no se confirmó.</w:t>
      </w:r>
    </w:p>
    <w:p>
      <w:pPr>
        <w:pStyle w:val="BodyText"/>
      </w:pPr>
      <w:r>
        <w:t xml:space="preserve">Pero el experimento reveló otra cosa, y de magnitud muy superior.</w:t>
      </w:r>
      <w:r>
        <w:t xml:space="preserve"> </w:t>
      </w:r>
      <w:r>
        <w:rPr>
          <w:bCs/>
          <w:b/>
        </w:rPr>
        <w:t xml:space="preserve">La fila E es la política que</w:t>
      </w:r>
      <w:r>
        <w:rPr>
          <w:bCs/>
          <w:b/>
        </w:rPr>
        <w:t xml:space="preserve"> </w:t>
      </w:r>
      <w:r>
        <w:rPr>
          <w:bCs/>
          <w:b/>
        </w:rPr>
        <w:t xml:space="preserve">el trabajo venía aplicando</w:t>
      </w:r>
      <w:r>
        <w:t xml:space="preserve">, con nivel de servicio fijado en 0,90 para todos los segmentos, y</w:t>
      </w:r>
      <w:r>
        <w:t xml:space="preserve"> </w:t>
      </w:r>
      <w:r>
        <w:t xml:space="preserve">resulta ser</w:t>
      </w:r>
      <w:r>
        <w:t xml:space="preserve"> </w:t>
      </w:r>
      <w:r>
        <w:rPr>
          <w:bCs/>
          <w:b/>
        </w:rPr>
        <w:t xml:space="preserve">2,45 veces más cara</w:t>
      </w:r>
      <w:r>
        <w:t xml:space="preserve"> </w:t>
      </w:r>
      <w:r>
        <w:t xml:space="preserve">que la mejor alternativa. Compra 9,7 puntos de nivel de</w:t>
      </w:r>
      <w:r>
        <w:t xml:space="preserve"> </w:t>
      </w:r>
      <w:r>
        <w:t xml:space="preserve">servicio a un coste de 372.000 dólares en cuatro semanas. Con margen del 25% y coste de exceso</w:t>
      </w:r>
      <w:r>
        <w:t xml:space="preserve"> </w:t>
      </w:r>
      <w:r>
        <w:t xml:space="preserve">del 5%, el ratio crítico correcto es</w:t>
      </w:r>
      <w:r>
        <w:t xml:space="preserve"> </w:t>
      </w:r>
      <w:r>
        <w:rPr>
          <w:bCs/>
          <w:b/>
        </w:rPr>
        <w:t xml:space="preserve">0,714</w:t>
      </w:r>
      <w:r>
        <w:t xml:space="preserve">, no 0,90.</w:t>
      </w:r>
    </w:p>
    <w:p>
      <w:pPr>
        <w:pStyle w:val="BodyText"/>
      </w:pPr>
      <w:r>
        <w:t xml:space="preserve">Es decir: la pregunta por la función de pérdida no cambió el modelo, cambió</w:t>
      </w:r>
      <w:r>
        <w:t xml:space="preserve"> </w:t>
      </w:r>
      <w:r>
        <w:rPr>
          <w:bCs/>
          <w:b/>
        </w:rPr>
        <w:t xml:space="preserve">el nivel de</w:t>
      </w:r>
      <w:r>
        <w:rPr>
          <w:bCs/>
          <w:b/>
        </w:rPr>
        <w:t xml:space="preserve"> </w:t>
      </w:r>
      <w:r>
        <w:rPr>
          <w:bCs/>
          <w:b/>
        </w:rPr>
        <w:t xml:space="preserve">servicio</w:t>
      </w:r>
      <w:r>
        <w:t xml:space="preserve">, y ahí estaba el error caro. Un parámetro fijado por convención y nunca sometido a</w:t>
      </w:r>
      <w:r>
        <w:t xml:space="preserve"> </w:t>
      </w:r>
      <w:r>
        <w:t xml:space="preserve">comprobación resultó ser la decisión más costosa del sistema.</w:t>
      </w:r>
    </w:p>
    <w:p>
      <w:pPr>
        <w:pStyle w:val="BodyText"/>
      </w:pPr>
      <w:r>
        <w:t xml:space="preserve">Dos observaciones adicionales de la misma tabla. La primera, que el candidato B gana en ocho de</w:t>
      </w:r>
      <w:r>
        <w:t xml:space="preserve"> </w:t>
      </w:r>
      <w:r>
        <w:t xml:space="preserve">los nueve segmentos ABC/XYZ, pero</w:t>
      </w:r>
      <w:r>
        <w:t xml:space="preserve"> </w:t>
      </w:r>
      <w:r>
        <w:rPr>
          <w:bCs/>
          <w:b/>
        </w:rPr>
        <w:t xml:space="preserve">en CZ gana la media móvil simple</w:t>
      </w:r>
      <w:r>
        <w:t xml:space="preserve">: en la demanda más</w:t>
      </w:r>
      <w:r>
        <w:t xml:space="preserve"> </w:t>
      </w:r>
      <w:r>
        <w:t xml:space="preserve">errática el modelo no aporta. La segunda, que sobre una rejilla de doce combinaciones de margen</w:t>
      </w:r>
      <w:r>
        <w:t xml:space="preserve"> </w:t>
      </w:r>
      <w:r>
        <w:t xml:space="preserve">y merma el candidato B gana en once, y solo cede con margen del 10% y merma del 20%. El ganador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robusto a los supuestos</w:t>
      </w:r>
      <w:r>
        <w:t xml:space="preserve">, que era exactamente lo que había que comprobar antes de</w:t>
      </w:r>
      <w:r>
        <w:t xml:space="preserve"> </w:t>
      </w:r>
      <w:r>
        <w:t xml:space="preserve">recomendarlo.</w:t>
      </w:r>
    </w:p>
    <w:p>
      <w:pPr>
        <w:pStyle w:val="BodyText"/>
      </w:pPr>
      <w:r>
        <w:t xml:space="preserve">Esa comprobación no es un adorno: el coste depende de parámetros que DSMarket no ha facilitado</w:t>
      </w:r>
      <w:r>
        <w:t xml:space="preserve"> </w:t>
      </w:r>
      <w:r>
        <w:t xml:space="preserve">—margen por categoría, coste de posesión, merma—, de modo que cualquier ranking basado en él es</w:t>
      </w:r>
      <w:r>
        <w:t xml:space="preserve"> </w:t>
      </w:r>
      <w:r>
        <w:t xml:space="preserve">condicional. Presentar un ganador sin la rejilla de sensibilidad sería presentar un número sin</w:t>
      </w:r>
      <w:r>
        <w:t xml:space="preserve"> </w:t>
      </w:r>
      <w:r>
        <w:t xml:space="preserve">intervalo.</w:t>
      </w:r>
    </w:p>
    <w:bookmarkEnd w:id="99"/>
    <w:bookmarkStart w:id="100" w:name="Xbf4a07bd22212f91c28182313c7a855310137a2"/>
    <w:p>
      <w:pPr>
        <w:pStyle w:val="Heading3"/>
      </w:pPr>
      <w:r>
        <w:t xml:space="preserve">7.4.6. La curva de servicio y quién decide el óptimo</w:t>
      </w:r>
    </w:p>
    <w:p>
      <w:pPr>
        <w:pStyle w:val="FirstParagraph"/>
      </w:pPr>
      <w:r>
        <w:t xml:space="preserve">Se calculó el coste total para ocho niveles de servicio objetivo entre el 50% y el 99%,</w:t>
      </w:r>
      <w:r>
        <w:t xml:space="preserve"> </w:t>
      </w:r>
      <w:r>
        <w:t xml:space="preserve">descompuesto en margen perdido, mantenimiento y merma. El resultado más útil para la dirección</w:t>
      </w:r>
      <w:r>
        <w:t xml:space="preserve"> </w:t>
      </w:r>
      <w:r>
        <w:t xml:space="preserve">no es el óptimo sino de qué depende: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Supuesto de merma sobre el remanente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servicio óptimo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</w:tbl>
    <w:p>
      <w:pPr>
        <w:pStyle w:val="BodyText"/>
      </w:pPr>
      <w:r>
        <w:t xml:space="preserve">Y el contraste que da sentido a la tabla:</w:t>
      </w:r>
      <w:r>
        <w:t xml:space="preserve"> </w:t>
      </w:r>
      <w:r>
        <w:rPr>
          <w:bCs/>
          <w:b/>
        </w:rPr>
        <w:t xml:space="preserve">mover el margen bruto entre el 10% y el 35% deja el</w:t>
      </w:r>
      <w:r>
        <w:rPr>
          <w:bCs/>
          <w:b/>
        </w:rPr>
        <w:t xml:space="preserve"> </w:t>
      </w:r>
      <w:r>
        <w:rPr>
          <w:bCs/>
          <w:b/>
        </w:rPr>
        <w:t xml:space="preserve">óptimo en el rango 98–99%</w:t>
      </w:r>
      <w:r>
        <w:t xml:space="preserve">. Es decir, el nivel de servicio óptimo lo decide la merma, no el</w:t>
      </w:r>
      <w:r>
        <w:t xml:space="preserve"> </w:t>
      </w:r>
      <w:r>
        <w:t xml:space="preserve">margen. La recomendación operativa que se deriva no es un número de nivel de servicio sino una</w:t>
      </w:r>
      <w:r>
        <w:t xml:space="preserve"> </w:t>
      </w:r>
      <w:r>
        <w:t xml:space="preserve">instrucción de medición: DSMarket necesita medir su tasa de merma por categoría, porque es el</w:t>
      </w:r>
      <w:r>
        <w:t xml:space="preserve"> </w:t>
      </w:r>
      <w:r>
        <w:t xml:space="preserve">parámetro del que depende la política y es el único que hoy no conoce.</w:t>
      </w:r>
    </w:p>
    <w:p>
      <w:pPr>
        <w:pStyle w:val="BlockText"/>
      </w:pPr>
      <w:r>
        <w:rPr>
          <w:bCs/>
          <w:b/>
        </w:rPr>
        <w:t xml:space="preserve">[FIGURA 7.18]</w:t>
      </w:r>
      <w:r>
        <w:t xml:space="preserve"> </w:t>
      </w:r>
      <w:r>
        <w:rPr>
          <w:iCs/>
          <w:i/>
        </w:rPr>
        <w:t xml:space="preserve">Coste total por nivel de servicio objetivo y supuesto de merma.</w:t>
      </w:r>
      <w:r>
        <w:t xml:space="preserve"> </w:t>
      </w:r>
      <w:r>
        <w:rPr>
          <w:rStyle w:val="VerbatimChar"/>
        </w:rPr>
        <w:t xml:space="preserve">Fuente: Cuaderno 04. Barras apiladas por componente, con el óptimo marcado en cada escenario.</w:t>
      </w:r>
    </w:p>
    <w:p>
      <w:pPr>
        <w:pStyle w:val="FirstParagraph"/>
      </w:pPr>
      <w:r>
        <w:t xml:space="preserve">Se documenta también el coste del servicio en términos de inventario: pasar de una cobertura del</w:t>
      </w:r>
      <w:r>
        <w:t xml:space="preserve"> </w:t>
      </w:r>
      <w:r>
        <w:t xml:space="preserve">68% —la que da la predicción media— al 90% exige un</w:t>
      </w:r>
      <w:r>
        <w:t xml:space="preserve"> </w:t>
      </w:r>
      <w:r>
        <w:rPr>
          <w:bCs/>
          <w:b/>
        </w:rPr>
        <w:t xml:space="preserve">127% más de stock</w:t>
      </w:r>
      <w:r>
        <w:t xml:space="preserve">. La curva es</w:t>
      </w:r>
      <w:r>
        <w:t xml:space="preserve"> </w:t>
      </w:r>
      <w:r>
        <w:t xml:space="preserve">fuertemente convexa en su tramo alto, lo que significa que los últimos puntos de servicio son</w:t>
      </w:r>
      <w:r>
        <w:t xml:space="preserve"> </w:t>
      </w:r>
      <w:r>
        <w:t xml:space="preserve">desproporcionadamente caros.</w:t>
      </w:r>
    </w:p>
    <w:bookmarkEnd w:id="100"/>
    <w:bookmarkStart w:id="101" w:name="cuánta-demanda-no-estamos-viendo"/>
    <w:p>
      <w:pPr>
        <w:pStyle w:val="Heading3"/>
      </w:pPr>
      <w:r>
        <w:t xml:space="preserve">7.4.7. Cuánta demanda no estamos viendo</w:t>
      </w:r>
    </w:p>
    <w:p>
      <w:pPr>
        <w:pStyle w:val="FirstParagraph"/>
      </w:pPr>
      <w:r>
        <w:t xml:space="preserve">Las cifras anteriores se apoyan en la demanda observada, que por la razón expuesta en §6.2.4 no</w:t>
      </w:r>
      <w:r>
        <w:t xml:space="preserve"> </w:t>
      </w:r>
      <w:r>
        <w:t xml:space="preserve">es la demanda real. Este apartado acota la diferencia.</w:t>
      </w:r>
    </w:p>
    <w:p>
      <w:pPr>
        <w:pStyle w:val="BodyText"/>
      </w:pPr>
      <w:r>
        <w:rPr>
          <w:bCs/>
          <w:b/>
        </w:rPr>
        <w:t xml:space="preserve">El procedimiento.</w:t>
      </w:r>
      <w:r>
        <w:t xml:space="preserve"> </w:t>
      </w:r>
      <w:r>
        <w:t xml:space="preserve">Un cero puede corresponder a ausencia de demanda —lo habitual en la cola</w:t>
      </w:r>
      <w:r>
        <w:t xml:space="preserve"> </w:t>
      </w:r>
      <w:r>
        <w:t xml:space="preserve">larga— o a ausencia de producto. Los dos casos se separan por verosimilitud: bajo un modelo de</w:t>
      </w:r>
      <w:r>
        <w:t xml:space="preserve"> </w:t>
      </w:r>
      <w:r>
        <w:t xml:space="preserve">Poisson con la intensidad esperada del día, obtenida de la media móvil de 28 días corregida por</w:t>
      </w:r>
      <w:r>
        <w:t xml:space="preserve"> </w:t>
      </w:r>
      <w:r>
        <w:t xml:space="preserve">el perfil de día de la semana, la probabilidad de observar un cero es conocida. Un cero cuya</w:t>
      </w:r>
      <w:r>
        <w:t xml:space="preserve"> </w:t>
      </w:r>
      <w:r>
        <w:t xml:space="preserve">probabilidad es inferior al 5% es incompatible con demanda nula y se marca como sospechoso.</w:t>
      </w:r>
    </w:p>
    <w:p>
      <w:pPr>
        <w:pStyle w:val="BodyText"/>
      </w:pPr>
      <w:r>
        <w:rPr>
          <w:bCs/>
          <w:b/>
        </w:rPr>
        <w:t xml:space="preserve">La comprobación que valida el procedimiento.</w:t>
      </w:r>
      <w:r>
        <w:t xml:space="preserve"> </w:t>
      </w:r>
      <w:r>
        <w:t xml:space="preserve">Un cero sospechoso aislado puede ser ruido; una</w:t>
      </w:r>
      <w:r>
        <w:t xml:space="preserve"> </w:t>
      </w:r>
      <w:r>
        <w:t xml:space="preserve">rotura de stock dura varios días. Se comparó por tanto la distribución observada de longitudes de</w:t>
      </w:r>
      <w:r>
        <w:t xml:space="preserve"> </w:t>
      </w:r>
      <w:r>
        <w:t xml:space="preserve">racha de ceros sospechosos con la que produciría el mismo número de ceros distribuidos de forma</w:t>
      </w:r>
      <w:r>
        <w:t xml:space="preserve"> </w:t>
      </w:r>
      <w:r>
        <w:t xml:space="preserve">independiente: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Longitud de la racha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Esperable por azar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+18,3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+10,7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4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+6,6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+4,9 pp</w:t>
            </w:r>
          </w:p>
        </w:tc>
      </w:tr>
    </w:tbl>
    <w:p>
      <w:pPr>
        <w:pStyle w:val="BodyText"/>
      </w:pPr>
      <w:r>
        <w:t xml:space="preserve">Las rachas de tres días o más resultan</w:t>
      </w:r>
      <w:r>
        <w:t xml:space="preserve"> </w:t>
      </w:r>
      <w:r>
        <w:rPr>
          <w:bCs/>
          <w:b/>
        </w:rPr>
        <w:t xml:space="preserve">doce veces más frecuentes</w:t>
      </w:r>
      <w:r>
        <w:t xml:space="preserve"> </w:t>
      </w:r>
      <w:r>
        <w:t xml:space="preserve">de lo que produciría la</w:t>
      </w:r>
      <w:r>
        <w:t xml:space="preserve"> </w:t>
      </w:r>
      <w:r>
        <w:t xml:space="preserve">distribución independiente. La firma es inequívoca: estos ceros no son demanda nula.</w:t>
      </w:r>
    </w:p>
    <w:p>
      <w:pPr>
        <w:pStyle w:val="BodyText"/>
      </w:pPr>
      <w:r>
        <w:rPr>
          <w:bCs/>
          <w:b/>
        </w:rPr>
        <w:t xml:space="preserve">Las cotas.</w:t>
      </w:r>
      <w:r>
        <w:t xml:space="preserve"> </w:t>
      </w:r>
      <w:r>
        <w:t xml:space="preserve">Se construyen dos. La inferior contabiliza únicamente los ceros sospechosos,</w:t>
      </w:r>
      <w:r>
        <w:t xml:space="preserve"> </w:t>
      </w:r>
      <w:r>
        <w:t xml:space="preserve">imputándoles como demanda perdida su intensidad esperada. La superior contabiliza todos los ceros</w:t>
      </w:r>
      <w:r>
        <w:t xml:space="preserve"> </w:t>
      </w:r>
      <w:r>
        <w:t xml:space="preserve">ponderados por la probabilidad de que no fueran demanda nula. Sobre el histórico completo, la</w:t>
      </w:r>
      <w:r>
        <w:t xml:space="preserve"> </w:t>
      </w:r>
      <w:r>
        <w:t xml:space="preserve">demanda no observada se sitúa entre</w:t>
      </w:r>
      <w:r>
        <w:t xml:space="preserve"> </w:t>
      </w:r>
      <w:r>
        <w:rPr>
          <w:bCs/>
          <w:b/>
        </w:rPr>
        <w:t xml:space="preserve">3,11 y 9,64 millones de unidades</w:t>
      </w:r>
      <w:r>
        <w:t xml:space="preserve">, es decir entre el</w:t>
      </w:r>
      <w:r>
        <w:t xml:space="preserve"> </w:t>
      </w:r>
      <w:r>
        <w:rPr>
          <w:bCs/>
          <w:b/>
        </w:rPr>
        <w:t xml:space="preserve">4,79% y el 14,83%</w:t>
      </w:r>
      <w:r>
        <w:t xml:space="preserve"> </w:t>
      </w:r>
      <w:r>
        <w:t xml:space="preserve">de todo lo vendido en cinco años.</w:t>
      </w:r>
    </w:p>
    <w:p>
      <w:pPr>
        <w:pStyle w:val="BodyText"/>
      </w:pPr>
      <w:r>
        <w:t xml:space="preserve">Un matiz que contradice la intuición y conviene destacar:</w:t>
      </w:r>
      <w:r>
        <w:t xml:space="preserve"> </w:t>
      </w:r>
      <w:r>
        <w:rPr>
          <w:bCs/>
          <w:b/>
        </w:rPr>
        <w:t xml:space="preserve">la censura no se concentra en la cola</w:t>
      </w:r>
      <w:r>
        <w:rPr>
          <w:bCs/>
          <w:b/>
        </w:rPr>
        <w:t xml:space="preserve"> </w:t>
      </w:r>
      <w:r>
        <w:rPr>
          <w:bCs/>
          <w:b/>
        </w:rPr>
        <w:t xml:space="preserve">larga</w:t>
      </w:r>
      <w:r>
        <w:t xml:space="preserve">. La fracción oculta es notablemente uniforme entre segmentos —del 4,1% en CZ al 6,7% en</w:t>
      </w:r>
      <w:r>
        <w:t xml:space="preserve"> </w:t>
      </w:r>
      <w:r>
        <w:t xml:space="preserve">BX— y en volumen absoluto la mayor masa corresponde a</w:t>
      </w:r>
      <w:r>
        <w:t xml:space="preserve"> </w:t>
      </w:r>
      <w:r>
        <w:rPr>
          <w:bCs/>
          <w:b/>
        </w:rPr>
        <w:t xml:space="preserve">AX, con 1,70 millones de unidades</w:t>
      </w:r>
      <w:r>
        <w:rPr>
          <w:bCs/>
          <w:b/>
        </w:rPr>
        <w:t xml:space="preserve"> </w:t>
      </w:r>
      <w:r>
        <w:rPr>
          <w:bCs/>
          <w:b/>
        </w:rPr>
        <w:t xml:space="preserve">ocultas</w:t>
      </w:r>
      <w:r>
        <w:t xml:space="preserve">. La rotura no es un problema de referencias marginales: afecta sobre todo a los</w:t>
      </w:r>
      <w:r>
        <w:t xml:space="preserve"> </w:t>
      </w:r>
      <w:r>
        <w:t xml:space="preserve">productos que más venden, que son también aquellos en los que cada unidad no vendida cuesta más.</w:t>
      </w:r>
    </w:p>
    <w:p>
      <w:pPr>
        <w:pStyle w:val="BodyText"/>
      </w:pPr>
      <w:r>
        <w:t xml:space="preserve">De los 27,7 millones de ceros,</w:t>
      </w:r>
      <w:r>
        <w:t xml:space="preserve"> </w:t>
      </w:r>
      <w:r>
        <w:rPr>
          <w:bCs/>
          <w:b/>
        </w:rPr>
        <w:t xml:space="preserve">538.771 resultan sospechosos</w:t>
      </w:r>
      <w:r>
        <w:t xml:space="preserve"> </w:t>
      </w:r>
      <w:r>
        <w:t xml:space="preserve">—el 1,9%—, y su longitud media de</w:t>
      </w:r>
      <w:r>
        <w:t xml:space="preserve"> </w:t>
      </w:r>
      <w:r>
        <w:t xml:space="preserve">racha es de 1,71 días frente a los 1,09 que produciría la distribución independiente.</w:t>
      </w:r>
    </w:p>
    <w:p>
      <w:pPr>
        <w:pStyle w:val="BodyText"/>
      </w:pPr>
      <w:r>
        <w:rPr>
          <w:bCs/>
          <w:b/>
        </w:rPr>
        <w:t xml:space="preserve">Qué le hace esto a la cifra del capítulo.</w:t>
      </w:r>
      <w:r>
        <w:t xml:space="preserve"> </w:t>
      </w:r>
      <w:r>
        <w:t xml:space="preserve">Sobre las mismas cuatro semanas que simula §7.4.3,</w:t>
      </w:r>
      <w:r>
        <w:t xml:space="preserve"> </w:t>
      </w:r>
      <w:r>
        <w:t xml:space="preserve">la censura oculta entre</w:t>
      </w:r>
      <w:r>
        <w:t xml:space="preserve"> </w:t>
      </w:r>
      <w:r>
        <w:rPr>
          <w:bCs/>
          <w:b/>
        </w:rPr>
        <w:t xml:space="preserve">22.325 y 174.024 dólares</w:t>
      </w:r>
      <w:r>
        <w:t xml:space="preserve"> </w:t>
      </w:r>
      <w:r>
        <w:t xml:space="preserve">de margen adicional. El coste de mantenimiento</w:t>
      </w:r>
      <w:r>
        <w:t xml:space="preserve"> </w:t>
      </w:r>
      <w:r>
        <w:t xml:space="preserve">no cambia, de modo que: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Margen perdido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Medido en la simulación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161.353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11.527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la cota inferior de censura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183.678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11.527 USD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la cota superior de censura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335.377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11.527 USD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 : 1</w:t>
            </w:r>
          </w:p>
        </w:tc>
      </w:tr>
    </w:tbl>
    <w:p>
      <w:pPr>
        <w:pStyle w:val="BodyText"/>
      </w:pPr>
      <w:r>
        <w:t xml:space="preserve">La proporción de catorce a uno entre venta perdida y capital inmovilizado es, por tanto, un</w:t>
      </w:r>
      <w:r>
        <w:t xml:space="preserve"> </w:t>
      </w:r>
      <w:r>
        <w:t xml:space="preserve">mínimo, y en el peor escenario la asimetría se duplica. El diagnóstico del capítulo —que la</w:t>
      </w:r>
      <w:r>
        <w:t xml:space="preserve"> </w:t>
      </w:r>
      <w:r>
        <w:t xml:space="preserve">política no es cara por inmovilizar capital sino por dejar de vender— no solo se sostiene: se</w:t>
      </w:r>
      <w:r>
        <w:t xml:space="preserve"> </w:t>
      </w:r>
      <w:r>
        <w:t xml:space="preserve">refuerza.</w:t>
      </w:r>
    </w:p>
    <w:p>
      <w:pPr>
        <w:pStyle w:val="BodyText"/>
      </w:pPr>
      <w:r>
        <w:t xml:space="preserve">Este resultado no debilita la conclusión del capítulo, la refuerza. Y su lectura para la compañía</w:t>
      </w:r>
      <w:r>
        <w:t xml:space="preserve"> </w:t>
      </w:r>
      <w:r>
        <w:t xml:space="preserve">es directa: después de medir la merma por categoría, la incorporación más valiosa al registro de</w:t>
      </w:r>
      <w:r>
        <w:t xml:space="preserve"> </w:t>
      </w:r>
      <w:r>
        <w:t xml:space="preserve">datos es</w:t>
      </w:r>
      <w:r>
        <w:t xml:space="preserve"> </w:t>
      </w:r>
      <w:r>
        <w:rPr>
          <w:bCs/>
          <w:b/>
        </w:rPr>
        <w:t xml:space="preserve">el inventario diario por tienda y referencia</w:t>
      </w:r>
      <w:r>
        <w:t xml:space="preserve">, porque es el único dato que convertiría</w:t>
      </w:r>
      <w:r>
        <w:t xml:space="preserve"> </w:t>
      </w:r>
      <w:r>
        <w:t xml:space="preserve">estas cotas en una medición.</w:t>
      </w:r>
    </w:p>
    <w:bookmarkEnd w:id="101"/>
    <w:bookmarkStart w:id="102" w:name="qué-abre-el-capítulo-siguiente-3"/>
    <w:p>
      <w:pPr>
        <w:pStyle w:val="Heading3"/>
      </w:pPr>
      <w:r>
        <w:t xml:space="preserve">7.4.8. Qué abre el capítulo siguiente</w:t>
      </w:r>
    </w:p>
    <w:p>
      <w:pPr>
        <w:pStyle w:val="FirstParagraph"/>
      </w:pPr>
      <w:r>
        <w:t xml:space="preserve">La política de reposición toma la demanda como dada y decide cuánto pedir. Queda por examinar la</w:t>
      </w:r>
      <w:r>
        <w:t xml:space="preserve"> </w:t>
      </w:r>
      <w:r>
        <w:t xml:space="preserve">otra palanca que la compañía tiene sobre la demanda misma: el precio.</w:t>
      </w:r>
      <w:r>
        <w:t xml:space="preserve"> </w:t>
      </w:r>
      <w:r>
        <w:t xml:space="preserve">## 7.5. ¿Se puede mover el precio?</w:t>
      </w:r>
    </w:p>
    <w:p>
      <w:pPr>
        <w:pStyle w:val="BlockText"/>
      </w:pPr>
      <w:r>
        <w:t xml:space="preserve">«Nuestras acciones de marketing tendrían que explotar esas diferencias de precio entre</w:t>
      </w:r>
      <w:r>
        <w:t xml:space="preserve"> </w:t>
      </w:r>
      <w:r>
        <w:t xml:space="preserve">tiendas.»</w:t>
      </w:r>
      <w:r>
        <w:t xml:space="preserve"> </w:t>
      </w:r>
      <w:r>
        <w:t xml:space="preserve">— Michelle Huggins, directora de datos</w:t>
      </w:r>
    </w:p>
    <w:p>
      <w:pPr>
        <w:pStyle w:val="FirstParagraph"/>
      </w:pPr>
      <w:r>
        <w:t xml:space="preserve">El análisis exploratorio (§7.1.4) dejó establecido que el precio de una misma referencia varía</w:t>
      </w:r>
      <w:r>
        <w:t xml:space="preserve"> </w:t>
      </w:r>
      <w:r>
        <w:t xml:space="preserve">entre establecimientos. La pregunta natural es cuánto responde la demanda a ese movimiento, es</w:t>
      </w:r>
      <w:r>
        <w:t xml:space="preserve"> </w:t>
      </w:r>
      <w:r>
        <w:t xml:space="preserve">decir, cuál es la elasticidad precio. Este es el capítulo más corto del trabajo y probablemente</w:t>
      </w:r>
      <w:r>
        <w:t xml:space="preserve"> </w:t>
      </w:r>
      <w:r>
        <w:t xml:space="preserve">el más valioso, porque su respuesta es que</w:t>
      </w:r>
      <w:r>
        <w:t xml:space="preserve"> </w:t>
      </w:r>
      <w:r>
        <w:rPr>
          <w:bCs/>
          <w:b/>
        </w:rPr>
        <w:t xml:space="preserve">con estos datos la pregunta no se puede</w:t>
      </w:r>
      <w:r>
        <w:rPr>
          <w:bCs/>
          <w:b/>
        </w:rPr>
        <w:t xml:space="preserve"> </w:t>
      </w:r>
      <w:r>
        <w:rPr>
          <w:bCs/>
          <w:b/>
        </w:rPr>
        <w:t xml:space="preserve">responder</w:t>
      </w:r>
      <w:r>
        <w:t xml:space="preserve">, y esa conclusión se sostiene sobre una prueba y no sobre una impresión.</w:t>
      </w:r>
    </w:p>
    <w:bookmarkEnd w:id="102"/>
    <w:bookmarkStart w:id="103" w:name="la-especificación"/>
    <w:p>
      <w:pPr>
        <w:pStyle w:val="Heading3"/>
      </w:pPr>
      <w:r>
        <w:t xml:space="preserve">7.5.1. La especificación</w:t>
      </w:r>
    </w:p>
    <w:p>
      <w:pPr>
        <w:pStyle w:val="FirstParagraph"/>
      </w:pPr>
      <w:r>
        <w:t xml:space="preserve">Se estimó la especificación habitual en la literatura de paneles: un modelo logarítmico doble</w:t>
      </w:r>
      <w:r>
        <w:t xml:space="preserve"> </w:t>
      </w:r>
      <w:r>
        <w:t xml:space="preserve">con efectos fijos de serie y de tiempo,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s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s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s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son las unidades vendidas,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el precio,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  <m:r>
              <m:t>s</m:t>
            </m:r>
          </m:sub>
        </m:sSub>
      </m:oMath>
      <w:r>
        <w:t xml:space="preserve"> </w:t>
      </w:r>
      <w:r>
        <w:t xml:space="preserve">un efecto fijo por serie</w:t>
      </w:r>
      <w:r>
        <w:t xml:space="preserve"> </w:t>
      </w:r>
      <w:r>
        <w:t xml:space="preserve">producto-tienda y</w:t>
      </w:r>
      <w:r>
        <w:t xml:space="preserve"> </w:t>
      </w:r>
      <m:oMath>
        <m:sSub>
          <m:e>
            <m:r>
              <m:t>γ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un efecto fijo temporal. El coeficiente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se interpreta</w:t>
      </w:r>
      <w:r>
        <w:t xml:space="preserve"> </w:t>
      </w:r>
      <w:r>
        <w:t xml:space="preserve">directamente como elasticidad.</w:t>
      </w:r>
    </w:p>
    <w:p>
      <w:pPr>
        <w:pStyle w:val="BodyText"/>
      </w:pPr>
      <w:r>
        <w:t xml:space="preserve">Los efectos fijos de serie absorben todo lo que distingue de forma constante a una referencia en</w:t>
      </w:r>
      <w:r>
        <w:t xml:space="preserve"> </w:t>
      </w:r>
      <w:r>
        <w:t xml:space="preserve">una tienda —su nicho, su clientela, su posición en el lineal— y los efectos temporales absorben</w:t>
      </w:r>
      <w:r>
        <w:t xml:space="preserve"> </w:t>
      </w:r>
      <w:r>
        <w:t xml:space="preserve">lo que afecta a todas las series a la vez —estacionalidad, tendencia, eventos. El panel supera</w:t>
      </w:r>
      <w:r>
        <w:t xml:space="preserve"> </w:t>
      </w:r>
      <w:r>
        <w:t xml:space="preserve">los seis millones de observaciones, lo que hace inviable construir la matriz de variables</w:t>
      </w:r>
      <w:r>
        <w:t xml:space="preserve"> </w:t>
      </w:r>
      <w:r>
        <w:t xml:space="preserve">ficticias de forma explícita; la estimación se resolvió mediante</w:t>
      </w:r>
      <w:r>
        <w:t xml:space="preserve"> </w:t>
      </w:r>
      <w:r>
        <w:rPr>
          <w:bCs/>
          <w:b/>
        </w:rPr>
        <w:t xml:space="preserve">proyecciones alternadas</w:t>
      </w:r>
      <w:r>
        <w:t xml:space="preserve">,</w:t>
      </w:r>
      <w:r>
        <w:t xml:space="preserve"> </w:t>
      </w:r>
      <w:r>
        <w:t xml:space="preserve">que es la implementación práctica del teorema de Frisch-Waugh-Lovell: en lugar de estimar los</w:t>
      </w:r>
      <w:r>
        <w:t xml:space="preserve"> </w:t>
      </w:r>
      <w:r>
        <w:t xml:space="preserve">efectos fijos, se elimina su influencia restando iterativamente las medias por grupo de cada</w:t>
      </w:r>
      <w:r>
        <w:t xml:space="preserve"> </w:t>
      </w:r>
      <w:r>
        <w:t xml:space="preserve">variable, y se estima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sobre los residuos.</w:t>
      </w:r>
    </w:p>
    <w:bookmarkEnd w:id="103"/>
    <w:bookmarkStart w:id="104" w:name="un-resultado-excelente"/>
    <w:p>
      <w:pPr>
        <w:pStyle w:val="Heading3"/>
      </w:pPr>
      <w:r>
        <w:t xml:space="preserve">7.5.2. Un resultado excelente</w:t>
      </w:r>
    </w:p>
    <w:p>
      <w:pPr>
        <w:pStyle w:val="FirstParagraph"/>
      </w:pPr>
      <w:r>
        <w:t xml:space="preserve">La estimación arroja una elasticidad de</w:t>
      </w:r>
      <w:r>
        <w:t xml:space="preserve"> </w:t>
      </w:r>
      <w:r>
        <w:rPr>
          <w:bCs/>
          <w:b/>
        </w:rPr>
        <w:t xml:space="preserve">−0,395</w:t>
      </w:r>
      <w:r>
        <w:t xml:space="preserve"> </w:t>
      </w:r>
      <w:r>
        <w:t xml:space="preserve">con un estadístico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−19,3</w:t>
      </w:r>
      <w:r>
        <w:t xml:space="preserve">. El signo</w:t>
      </w:r>
      <w:r>
        <w:t xml:space="preserve"> </w:t>
      </w:r>
      <w:r>
        <w:t xml:space="preserve">es el correcto, la magnitud es plausible para bienes de alimentación, la significación</w:t>
      </w:r>
      <w:r>
        <w:t xml:space="preserve"> </w:t>
      </w:r>
      <w:r>
        <w:t xml:space="preserve">estadística es abrumadora y la descomposición por arquetipo de producto tiene sentido: los</w:t>
      </w:r>
      <w:r>
        <w:t xml:space="preserve"> </w:t>
      </w:r>
      <w:r>
        <w:t xml:space="preserve">grupos de rotación estable resultan menos elásticos que los de compra ocasional.</w:t>
      </w:r>
    </w:p>
    <w:p>
      <w:pPr>
        <w:pStyle w:val="BodyText"/>
      </w:pPr>
      <w:r>
        <w:t xml:space="preserve">Es exactamente el tipo de resultado que una memoria presentaría como hallazgo principal y sobre</w:t>
      </w:r>
      <w:r>
        <w:t xml:space="preserve"> </w:t>
      </w:r>
      <w:r>
        <w:t xml:space="preserve">el que construiría una recomendación de política de precios.</w:t>
      </w:r>
    </w:p>
    <w:p>
      <w:pPr>
        <w:pStyle w:val="BlockText"/>
      </w:pPr>
      <w:r>
        <w:rPr>
          <w:bCs/>
          <w:b/>
        </w:rPr>
        <w:t xml:space="preserve">[FIGURA 7.19]</w:t>
      </w:r>
      <w:r>
        <w:t xml:space="preserve"> </w:t>
      </w:r>
      <w:r>
        <w:rPr>
          <w:iCs/>
          <w:i/>
        </w:rPr>
        <w:t xml:space="preserve">Elasticidad estimada por arquetipo de producto.</w:t>
      </w:r>
      <w:r>
        <w:t xml:space="preserve"> </w:t>
      </w:r>
      <w:r>
        <w:rPr>
          <w:rStyle w:val="VerbatimChar"/>
        </w:rPr>
        <w:t xml:space="preserve">Fuente: Cuaderno 05. Puntos con su intervalo de confianza.</w:t>
      </w:r>
    </w:p>
    <w:bookmarkEnd w:id="104"/>
    <w:bookmarkStart w:id="105" w:name="la-prueba-que-lo-derriba"/>
    <w:p>
      <w:pPr>
        <w:pStyle w:val="Heading3"/>
      </w:pPr>
      <w:r>
        <w:t xml:space="preserve">7.5.3. La prueba que lo derriba</w:t>
      </w:r>
    </w:p>
    <w:p>
      <w:pPr>
        <w:pStyle w:val="FirstParagraph"/>
      </w:pPr>
      <w:r>
        <w:t xml:space="preserve">Antes de escribirlo así, se aplicó una</w:t>
      </w:r>
      <w:r>
        <w:t xml:space="preserve"> </w:t>
      </w:r>
      <w:r>
        <w:rPr>
          <w:bCs/>
          <w:b/>
        </w:rPr>
        <w:t xml:space="preserve">prueba de falsación</w:t>
      </w:r>
      <w:r>
        <w:t xml:space="preserve"> </w:t>
      </w:r>
      <w:r>
        <w:t xml:space="preserve">de diseño elemental: se sustituyó</w:t>
      </w:r>
      <w:r>
        <w:t xml:space="preserve"> </w:t>
      </w:r>
      <w:r>
        <w:t xml:space="preserve">el precio de la semana en curso por el de la</w:t>
      </w:r>
      <w:r>
        <w:t xml:space="preserve"> </w:t>
      </w:r>
      <w:r>
        <w:rPr>
          <w:bCs/>
          <w:b/>
        </w:rPr>
        <w:t xml:space="preserve">semana siguiente</w:t>
      </w:r>
      <w:r>
        <w:t xml:space="preserve"> </w:t>
      </w:r>
      <w:r>
        <w:t xml:space="preserve">y se reestimó el mismo modelo.</w:t>
      </w:r>
      <w:r>
        <w:t xml:space="preserve"> </w:t>
      </w:r>
      <w:r>
        <w:t xml:space="preserve">Un precio futuro no puede causar una venta pasada. Si la especificación estuviera identificando</w:t>
      </w:r>
      <w:r>
        <w:t xml:space="preserve"> </w:t>
      </w:r>
      <w:r>
        <w:t xml:space="preserve">un efecto causal, ese coeficiente debería ser aproximadamente cero.</w:t>
      </w:r>
    </w:p>
    <w:p>
      <w:pPr>
        <w:pStyle w:val="BodyText"/>
      </w:pPr>
      <w:r>
        <w:t xml:space="preserve">El coeficiente placebo resultó ser</w:t>
      </w:r>
      <w:r>
        <w:t xml:space="preserve"> </w:t>
      </w:r>
      <w:r>
        <w:rPr>
          <w:bCs/>
          <w:b/>
        </w:rPr>
        <w:t xml:space="preserve">−0,398</w:t>
      </w:r>
      <w:r>
        <w:t xml:space="preserve">: prácticamente idéntico al original.</w:t>
      </w:r>
    </w:p>
    <w:p>
      <w:pPr>
        <w:pStyle w:val="BodyText"/>
      </w:pPr>
      <w:r>
        <w:t xml:space="preserve">La conclusión es inmediata y no admite matices: la especificación no está midiendo la respuesta</w:t>
      </w:r>
      <w:r>
        <w:t xml:space="preserve"> </w:t>
      </w:r>
      <w:r>
        <w:t xml:space="preserve">de la demanda al precio, sino la asociación entre ambas variables generada por un tercer factor</w:t>
      </w:r>
      <w:r>
        <w:t xml:space="preserve"> </w:t>
      </w:r>
      <w:r>
        <w:t xml:space="preserve">que las mueve a la vez. La causa más plausible es la política comercial de la compañía —los</w:t>
      </w:r>
      <w:r>
        <w:t xml:space="preserve"> </w:t>
      </w:r>
      <w:r>
        <w:t xml:space="preserve">precios se fijan en función de la demanda esperada, no al azar—, lo que constituye un problema de</w:t>
      </w:r>
      <w:r>
        <w:t xml:space="preserve"> </w:t>
      </w:r>
      <w:r>
        <w:t xml:space="preserve">endogeneidad de manual.</w:t>
      </w:r>
    </w:p>
    <w:p>
      <w:pPr>
        <w:pStyle w:val="BlockText"/>
      </w:pPr>
      <w:r>
        <w:rPr>
          <w:bCs/>
          <w:b/>
        </w:rPr>
        <w:t xml:space="preserve">[FIGURA 7.20]</w:t>
      </w:r>
      <w:r>
        <w:t xml:space="preserve"> </w:t>
      </w:r>
      <w:r>
        <w:rPr>
          <w:iCs/>
          <w:i/>
        </w:rPr>
        <w:t xml:space="preserve">Coeficiente estimado frente al coeficiente placebo con el precio de la semana siguiente.</w:t>
      </w:r>
      <w:r>
        <w:t xml:space="preserve"> </w:t>
      </w:r>
      <w:r>
        <w:rPr>
          <w:rStyle w:val="VerbatimChar"/>
        </w:rPr>
        <w:t xml:space="preserve">Fuente: Cuaderno 05. Es la figura central del capítulo: los dos intervalos, prácticamente superpuestos.</w:t>
      </w:r>
    </w:p>
    <w:p>
      <w:pPr>
        <w:pStyle w:val="FirstParagraph"/>
      </w:pPr>
      <w:r>
        <w:t xml:space="preserve">Como comprobación adicional se estimó el modelo en</w:t>
      </w:r>
      <w:r>
        <w:t xml:space="preserve"> </w:t>
      </w:r>
      <w:r>
        <w:rPr>
          <w:bCs/>
          <w:b/>
        </w:rPr>
        <w:t xml:space="preserve">primeras diferencias</w:t>
      </w:r>
      <w:r>
        <w:t xml:space="preserve">, que elimina</w:t>
      </w:r>
      <w:r>
        <w:t xml:space="preserve"> </w:t>
      </w:r>
      <w:r>
        <w:t xml:space="preserve">cualquier componente de nivel persistente. La elasticidad estimada pasa a</w:t>
      </w:r>
      <w:r>
        <w:t xml:space="preserve"> </w:t>
      </w:r>
      <w:r>
        <w:rPr>
          <w:bCs/>
          <w:b/>
        </w:rPr>
        <w:t xml:space="preserve">+0,02</w:t>
      </w:r>
      <w:r>
        <w:t xml:space="preserve">: el efecto</w:t>
      </w:r>
      <w:r>
        <w:t xml:space="preserve"> </w:t>
      </w:r>
      <w:r>
        <w:t xml:space="preserve">desaparece por completo.</w:t>
      </w:r>
    </w:p>
    <w:bookmarkEnd w:id="105"/>
    <w:bookmarkStart w:id="106" w:name="Xd39cd14ce4ff5a4038fd67217aae4b4b1f6b636"/>
    <w:p>
      <w:pPr>
        <w:pStyle w:val="Heading3"/>
      </w:pPr>
      <w:r>
        <w:t xml:space="preserve">7.5.4. Por qué ocurre: el precio casi no se mueve</w:t>
      </w:r>
    </w:p>
    <w:p>
      <w:pPr>
        <w:pStyle w:val="FirstParagraph"/>
      </w:pPr>
      <w:r>
        <w:t xml:space="preserve">El diagnóstico se completa con un dato descriptivo que explica la fragilidad de la estimación.</w:t>
      </w:r>
      <w:r>
        <w:t xml:space="preserve"> </w:t>
      </w:r>
      <w:r>
        <w:rPr>
          <w:bCs/>
          <w:b/>
        </w:rPr>
        <w:t xml:space="preserve">Solo el 1,1% de las semanas presenta un cambio de precio</w:t>
      </w:r>
      <w:r>
        <w:t xml:space="preserve"> </w:t>
      </w:r>
      <w:r>
        <w:t xml:space="preserve">en una serie dada. La variación</w:t>
      </w:r>
      <w:r>
        <w:t xml:space="preserve"> </w:t>
      </w:r>
      <w:r>
        <w:t xml:space="preserve">disponible para identificar el efecto es escasísima, y además no es aleatoria: cuando el precio</w:t>
      </w:r>
      <w:r>
        <w:t xml:space="preserve"> </w:t>
      </w:r>
      <w:r>
        <w:t xml:space="preserve">se mueve, lo hace por una razón comercial que probablemente coincide con un movimiento esperado</w:t>
      </w:r>
      <w:r>
        <w:t xml:space="preserve"> </w:t>
      </w:r>
      <w:r>
        <w:t xml:space="preserve">de la demanda.</w:t>
      </w:r>
    </w:p>
    <w:p>
      <w:pPr>
        <w:pStyle w:val="BodyText"/>
      </w:pPr>
      <w:r>
        <w:t xml:space="preserve">Con tan poca variación y con esa variación correlacionada con lo que se quiere medir, ningún</w:t>
      </w:r>
      <w:r>
        <w:t xml:space="preserve"> </w:t>
      </w:r>
      <w:r>
        <w:t xml:space="preserve">método observacional sobre estos datos puede separar el efecto del precio de las razones por las</w:t>
      </w:r>
      <w:r>
        <w:t xml:space="preserve"> </w:t>
      </w:r>
      <w:r>
        <w:t xml:space="preserve">que el precio cambió.</w:t>
      </w:r>
    </w:p>
    <w:bookmarkEnd w:id="106"/>
    <w:bookmarkStart w:id="107" w:name="lo-que-sí-respondería-la-pregunta"/>
    <w:p>
      <w:pPr>
        <w:pStyle w:val="Heading3"/>
      </w:pPr>
      <w:r>
        <w:t xml:space="preserve">7.5.5. Lo que sí respondería la pregunta</w:t>
      </w:r>
    </w:p>
    <w:p>
      <w:pPr>
        <w:pStyle w:val="FirstParagraph"/>
      </w:pPr>
      <w:r>
        <w:t xml:space="preserve">La conclusión negativa se acompaña del diseño que permitiría obtener la respuesta, porque una</w:t>
      </w:r>
      <w:r>
        <w:t xml:space="preserve"> </w:t>
      </w:r>
      <w:r>
        <w:t xml:space="preserve">memoria que dice «no se puede» sin decir «así sí» deja el encargo a medias.</w:t>
      </w:r>
    </w:p>
    <w:p>
      <w:pPr>
        <w:pStyle w:val="BodyText"/>
      </w:pPr>
      <w:r>
        <w:t xml:space="preserve">Se propone un</w:t>
      </w:r>
      <w:r>
        <w:t xml:space="preserve"> </w:t>
      </w:r>
      <w:r>
        <w:rPr>
          <w:bCs/>
          <w:b/>
        </w:rPr>
        <w:t xml:space="preserve">experimento de precios</w:t>
      </w:r>
      <w:r>
        <w:t xml:space="preserve"> </w:t>
      </w:r>
      <w:r>
        <w:t xml:space="preserve">con asignación aleatoria: seleccionar un conjunto de</w:t>
      </w:r>
      <w:r>
        <w:t xml:space="preserve"> </w:t>
      </w:r>
      <w:r>
        <w:t xml:space="preserve">series comparables, asignarlas al azar a un brazo de tratamiento —con una variación de precio</w:t>
      </w:r>
      <w:r>
        <w:t xml:space="preserve"> </w:t>
      </w:r>
      <w:r>
        <w:t xml:space="preserve">predefinida— y a un brazo de control, y medir la diferencia de demanda durante el período. La</w:t>
      </w:r>
      <w:r>
        <w:t xml:space="preserve"> </w:t>
      </w:r>
      <w:r>
        <w:t xml:space="preserve">aleatorización rompe por construcción la correlación entre el precio y las razones que lo</w:t>
      </w:r>
      <w:r>
        <w:t xml:space="preserve"> </w:t>
      </w:r>
      <w:r>
        <w:t xml:space="preserve">mueven, que es exactamente el problema que impide identificar el efecto con datos históricos.</w:t>
      </w:r>
    </w:p>
    <w:p>
      <w:pPr>
        <w:pStyle w:val="BodyText"/>
      </w:pPr>
      <w:r>
        <w:t xml:space="preserve">El cálculo de potencia, realizado sobre la variabilidad observada en el propio panel, determina</w:t>
      </w:r>
      <w:r>
        <w:t xml:space="preserve"> </w:t>
      </w:r>
      <w:r>
        <w:t xml:space="preserve">el tamaño necesario:</w:t>
      </w:r>
      <w:r>
        <w:t xml:space="preserve"> </w:t>
      </w:r>
      <w:r>
        <w:rPr>
          <w:bCs/>
          <w:b/>
        </w:rPr>
        <w:t xml:space="preserve">451 series por brazo durante ocho semanas</w:t>
      </w:r>
      <w:r>
        <w:t xml:space="preserve"> </w:t>
      </w:r>
      <w:r>
        <w:t xml:space="preserve">para detectar una elasticidad</w:t>
      </w:r>
      <w:r>
        <w:t xml:space="preserve"> </w:t>
      </w:r>
      <w:r>
        <w:t xml:space="preserve">de −0,4 con una potencia del 80% y un nivel de significación del 5%. Es un experimento</w:t>
      </w:r>
      <w:r>
        <w:t xml:space="preserve"> </w:t>
      </w:r>
      <w:r>
        <w:t xml:space="preserve">perfectamente asumible para una cadena de diez tiendas.</w:t>
      </w:r>
    </w:p>
    <w:p>
      <w:pPr>
        <w:pStyle w:val="BlockText"/>
      </w:pPr>
      <w:r>
        <w:rPr>
          <w:bCs/>
          <w:b/>
        </w:rPr>
        <w:t xml:space="preserve">[FIGURA 7.21]</w:t>
      </w:r>
      <w:r>
        <w:t xml:space="preserve"> </w:t>
      </w:r>
      <w:r>
        <w:rPr>
          <w:iCs/>
          <w:i/>
        </w:rPr>
        <w:t xml:space="preserve">Curva de potencia frente al tamaño de muestra por brazo.</w:t>
      </w:r>
      <w:r>
        <w:t xml:space="preserve"> </w:t>
      </w:r>
      <w:r>
        <w:rPr>
          <w:rStyle w:val="VerbatimChar"/>
        </w:rPr>
        <w:t xml:space="preserve">Fuente: Cuaderno 05. Marcar el punto de 451 series y potencia 0,80.</w:t>
      </w:r>
    </w:p>
    <w:bookmarkEnd w:id="107"/>
    <w:bookmarkStart w:id="108" w:name="el-valor-de-un-resultado-negativo"/>
    <w:p>
      <w:pPr>
        <w:pStyle w:val="Heading3"/>
      </w:pPr>
      <w:r>
        <w:t xml:space="preserve">7.5.6. El valor de un resultado negativo</w:t>
      </w:r>
    </w:p>
    <w:p>
      <w:pPr>
        <w:pStyle w:val="FirstParagraph"/>
      </w:pPr>
      <w:r>
        <w:t xml:space="preserve">Este capítulo no aporta una elasticidad; aporta la razón por la que no se puede aportar y el</w:t>
      </w:r>
      <w:r>
        <w:t xml:space="preserve"> </w:t>
      </w:r>
      <w:r>
        <w:t xml:space="preserve">procedimiento para conseguirla. En términos de la compañía, el valor es directo: sin la prueba</w:t>
      </w:r>
      <w:r>
        <w:t xml:space="preserve"> </w:t>
      </w:r>
      <w:r>
        <w:t xml:space="preserve">de falsación, el trabajo habría entregado una recomendación de precios apoyada en una</w:t>
      </w:r>
      <w:r>
        <w:t xml:space="preserve"> </w:t>
      </w:r>
      <w:r>
        <w:t xml:space="preserve">correlación espuria, y una recomendación así aplicada a una cadena real tiene un coste que no es</w:t>
      </w:r>
      <w:r>
        <w:t xml:space="preserve"> </w:t>
      </w:r>
      <w:r>
        <w:t xml:space="preserve">académico.</w:t>
      </w:r>
    </w:p>
    <w:p>
      <w:pPr>
        <w:pStyle w:val="BodyText"/>
      </w:pPr>
      <w:r>
        <w:t xml:space="preserve">Es el tercero de los tres momentos en que una prueba refutó una conclusión propia del trabajo.</w:t>
      </w:r>
    </w:p>
    <w:bookmarkEnd w:id="108"/>
    <w:bookmarkStart w:id="109" w:name="qué-abre-el-capítulo-siguiente-4"/>
    <w:p>
      <w:pPr>
        <w:pStyle w:val="Heading3"/>
      </w:pPr>
      <w:r>
        <w:t xml:space="preserve">7.5.7. Qué abre el capítulo siguiente</w:t>
      </w:r>
    </w:p>
    <w:p>
      <w:pPr>
        <w:pStyle w:val="FirstParagraph"/>
      </w:pPr>
      <w:r>
        <w:t xml:space="preserve">Los cinco capítulos anteriores producen resultados. El siguiente responde a una pregunta</w:t>
      </w:r>
      <w:r>
        <w:t xml:space="preserve"> </w:t>
      </w:r>
      <w:r>
        <w:t xml:space="preserve">distinta: qué hace falta para que esos resultados sigan existiendo dentro de seis meses.</w:t>
      </w:r>
      <w:r>
        <w:t xml:space="preserve"> </w:t>
      </w:r>
      <w:r>
        <w:t xml:space="preserve">## 7.6. Cómo se sostiene esto en el tiempo</w:t>
      </w:r>
    </w:p>
    <w:p>
      <w:pPr>
        <w:pStyle w:val="BlockText"/>
      </w:pPr>
      <w:r>
        <w:t xml:space="preserve">«Migrar todas las fuentes y procesos de datos a la nube.»</w:t>
      </w:r>
      <w:r>
        <w:t xml:space="preserve"> </w:t>
      </w:r>
      <w:r>
        <w:t xml:space="preserve">— plan estratégico a cinco años de DSMarket</w:t>
      </w:r>
    </w:p>
    <w:p>
      <w:pPr>
        <w:pStyle w:val="FirstParagraph"/>
      </w:pPr>
      <w:r>
        <w:t xml:space="preserve">Los cinco capítulos anteriores describen análisis. Este describe el sistema que permite volver a</w:t>
      </w:r>
      <w:r>
        <w:t xml:space="preserve"> </w:t>
      </w:r>
      <w:r>
        <w:t xml:space="preserve">ejecutarlos, y responde al contexto que el propio encargo plantea: DSMarket no pide un informe,</w:t>
      </w:r>
      <w:r>
        <w:t xml:space="preserve"> </w:t>
      </w:r>
      <w:r>
        <w:t xml:space="preserve">pide capacidad analítica sostenible.</w:t>
      </w:r>
    </w:p>
    <w:bookmarkEnd w:id="109"/>
    <w:bookmarkStart w:id="110" w:name="el-problema-que-resuelve"/>
    <w:p>
      <w:pPr>
        <w:pStyle w:val="Heading3"/>
      </w:pPr>
      <w:r>
        <w:t xml:space="preserve">7.6.1. El problema que resuelve</w:t>
      </w:r>
    </w:p>
    <w:p>
      <w:pPr>
        <w:pStyle w:val="FirstParagraph"/>
      </w:pPr>
      <w:r>
        <w:t xml:space="preserve">Los primeros cuadernos leían directamente los ficheros de origen. Ese esquema funciona con un</w:t>
      </w:r>
      <w:r>
        <w:t xml:space="preserve"> </w:t>
      </w:r>
      <w:r>
        <w:t xml:space="preserve">consumidor y se rompe con dos: en cuanto el cuaderno de reposición, el cuadro de mando y el</w:t>
      </w:r>
      <w:r>
        <w:t xml:space="preserve"> </w:t>
      </w:r>
      <w:r>
        <w:t xml:space="preserve">servicio web necesitan las mismas cifras, cada uno acaba con su propia lectura, su propia</w:t>
      </w:r>
      <w:r>
        <w:t xml:space="preserve"> </w:t>
      </w:r>
      <w:r>
        <w:t xml:space="preserve">limpieza y su propia interpretación de las columnas. La divergencia no aparece de golpe;</w:t>
      </w:r>
      <w:r>
        <w:t xml:space="preserve"> </w:t>
      </w:r>
      <w:r>
        <w:t xml:space="preserve">aparece meses después, cuando dos informes dan números distintos y nadie sabe cuál es el bueno.</w:t>
      </w:r>
    </w:p>
    <w:p>
      <w:pPr>
        <w:pStyle w:val="BodyText"/>
      </w:pPr>
      <w:r>
        <w:t xml:space="preserve">La solución adoptada —el almacén analítico descrito en §6.3— convierte cuatro cuadernos</w:t>
      </w:r>
      <w:r>
        <w:t xml:space="preserve"> </w:t>
      </w:r>
      <w:r>
        <w:t xml:space="preserve">independientes en un sistema con una única fuente de verdad.</w:t>
      </w:r>
    </w:p>
    <w:bookmarkEnd w:id="110"/>
    <w:bookmarkStart w:id="111" w:name="lo-que-se-construyó"/>
    <w:p>
      <w:pPr>
        <w:pStyle w:val="Heading3"/>
      </w:pPr>
      <w:r>
        <w:t xml:space="preserve">7.6.2. Lo que se construyó</w:t>
      </w:r>
    </w:p>
    <w:p>
      <w:pPr>
        <w:pStyle w:val="FirstParagraph"/>
      </w:pPr>
      <w:r>
        <w:rPr>
          <w:bCs/>
          <w:b/>
        </w:rPr>
        <w:t xml:space="preserve">El almacén.</w:t>
      </w:r>
      <w:r>
        <w:t xml:space="preserve"> </w:t>
      </w:r>
      <w:r>
        <w:t xml:space="preserve">Tres capas —bronce, plata y oro— reconstruibles íntegramente desde los ficheros</w:t>
      </w:r>
      <w:r>
        <w:t xml:space="preserve"> </w:t>
      </w:r>
      <w:r>
        <w:t xml:space="preserve">de origen con un solo comando y en aproximadamente veinte segundos. La conversión a formato</w:t>
      </w:r>
      <w:r>
        <w:t xml:space="preserve"> </w:t>
      </w:r>
      <w:r>
        <w:t xml:space="preserve">columnar reduce los 490,9 MB de partida a 22,1 MB en la capa de bronce, y el despliegue de las</w:t>
      </w:r>
      <w:r>
        <w:t xml:space="preserve"> </w:t>
      </w:r>
      <w:r>
        <w:t xml:space="preserve">1.913 columnas diarias a formato largo produce 58.327.370 filas en cuatro segundos.</w:t>
      </w:r>
    </w:p>
    <w:p>
      <w:pPr>
        <w:pStyle w:val="BodyText"/>
      </w:pPr>
      <w:r>
        <w:rPr>
          <w:bCs/>
          <w:b/>
        </w:rPr>
        <w:t xml:space="preserve">El bucle de realimentación.</w:t>
      </w:r>
      <w:r>
        <w:t xml:space="preserve"> </w:t>
      </w:r>
      <w:r>
        <w:t xml:space="preserve">Las predicciones no se guardan como ficheros sueltos junto al</w:t>
      </w:r>
      <w:r>
        <w:t xml:space="preserve"> </w:t>
      </w:r>
      <w:r>
        <w:t xml:space="preserve">cuaderno que las produjo: se cargan en el almacén como una tabla de hechos más,</w:t>
      </w:r>
      <w:r>
        <w:t xml:space="preserve"> </w:t>
      </w:r>
      <w:r>
        <w:rPr>
          <w:rStyle w:val="VerbatimChar"/>
        </w:rPr>
        <w:t xml:space="preserve">fact_predicciones</w:t>
      </w:r>
      <w:r>
        <w:t xml:space="preserve">, con la misma dimensionalidad que las ventas. Lo mismo ocurre con las</w:t>
      </w:r>
      <w:r>
        <w:t xml:space="preserve"> </w:t>
      </w:r>
      <w:r>
        <w:t xml:space="preserve">sugerencias de reposición. Esto es lo que convierte el almacén en un sistema y no en un</w:t>
      </w:r>
      <w:r>
        <w:t xml:space="preserve"> </w:t>
      </w:r>
      <w:r>
        <w:t xml:space="preserve">repositorio: la salida de los modelos vuelve a la misma estructura de la que salieron sus</w:t>
      </w:r>
      <w:r>
        <w:t xml:space="preserve"> </w:t>
      </w:r>
      <w:r>
        <w:t xml:space="preserve">entradas, y cualquier consumidor puede cruzar previsión y realidad con una unión trivial.</w:t>
      </w:r>
    </w:p>
    <w:p>
      <w:pPr>
        <w:pStyle w:val="BodyText"/>
      </w:pPr>
      <w:r>
        <w:rPr>
          <w:bCs/>
          <w:b/>
        </w:rPr>
        <w:t xml:space="preserve">El servicio de reposición.</w:t>
      </w:r>
      <w:r>
        <w:t xml:space="preserve"> </w:t>
      </w:r>
      <w:r>
        <w:t xml:space="preserve">Una interfaz de programación que responde la pregunta operativa</w:t>
      </w:r>
      <w:r>
        <w:t xml:space="preserve"> </w:t>
      </w:r>
      <w:r>
        <w:t xml:space="preserve">—cuántas unidades pedir de un producto en una tienda, dado el stock actual— aplicando la misma</w:t>
      </w:r>
      <w:r>
        <w:t xml:space="preserve"> </w:t>
      </w:r>
      <w:r>
        <w:t xml:space="preserve">política del capítulo §7.4. Carga las tablas de la capa de oro en memoria al arrancar y expone</w:t>
      </w:r>
      <w:r>
        <w:t xml:space="preserve"> </w:t>
      </w:r>
      <w:r>
        <w:t xml:space="preserve">cuatro operaciones. Dispone de doce pruebas automáticas que verifican tanto los casos normales</w:t>
      </w:r>
      <w:r>
        <w:t xml:space="preserve"> </w:t>
      </w:r>
      <w:r>
        <w:t xml:space="preserve">como los límite.</w:t>
      </w:r>
    </w:p>
    <w:p>
      <w:pPr>
        <w:pStyle w:val="BodyText"/>
      </w:pPr>
      <w:r>
        <w:rPr>
          <w:bCs/>
          <w:b/>
        </w:rPr>
        <w:t xml:space="preserve">El panel interactivo.</w:t>
      </w:r>
      <w:r>
        <w:t xml:space="preserve"> </w:t>
      </w:r>
      <w:r>
        <w:t xml:space="preserve">Una aplicación que expone la misma política en una pantalla, pensada</w:t>
      </w:r>
      <w:r>
        <w:t xml:space="preserve"> </w:t>
      </w:r>
      <w:r>
        <w:t xml:space="preserve">para la demostración en vivo y para el uso por parte del equipo comercial. Contiene además una</w:t>
      </w:r>
      <w:r>
        <w:t xml:space="preserve"> </w:t>
      </w:r>
      <w:r>
        <w:t xml:space="preserve">capa de lenguaje natural que traduce preguntas de negocio a consultas SQL.</w:t>
      </w:r>
    </w:p>
    <w:p>
      <w:pPr>
        <w:pStyle w:val="BodyText"/>
      </w:pPr>
      <w:r>
        <w:rPr>
          <w:bCs/>
          <w:b/>
        </w:rPr>
        <w:t xml:space="preserve">El cuadro de mando.</w:t>
      </w:r>
      <w:r>
        <w:t xml:space="preserve"> </w:t>
      </w:r>
      <w:r>
        <w:t xml:space="preserve">La especificación completa del modelo de datos, las medidas y la</w:t>
      </w:r>
      <w:r>
        <w:t xml:space="preserve"> </w:t>
      </w:r>
      <w:r>
        <w:t xml:space="preserve">disposición de páginas para su construcción en Power BI, apoyada en las tablas agregadas de la</w:t>
      </w:r>
      <w:r>
        <w:t xml:space="preserve"> </w:t>
      </w:r>
      <w:r>
        <w:t xml:space="preserve">capa de oro.</w:t>
      </w:r>
    </w:p>
    <w:p>
      <w:pPr>
        <w:pStyle w:val="BodyText"/>
      </w:pPr>
      <w:r>
        <w:t xml:space="preserve">Los tres consumidores —servicio, panel y cuadro de mando— leen exactamente las mismas tablas.</w:t>
      </w:r>
      <w:r>
        <w:t xml:space="preserve"> </w:t>
      </w:r>
      <w:r>
        <w:t xml:space="preserve">No pueden discrepar, y esa propiedad es verificable.</w:t>
      </w:r>
    </w:p>
    <w:p>
      <w:pPr>
        <w:pStyle w:val="BlockText"/>
      </w:pPr>
      <w:r>
        <w:rPr>
          <w:bCs/>
          <w:b/>
        </w:rPr>
        <w:t xml:space="preserve">[FIGURA 7.22]</w:t>
      </w:r>
      <w:r>
        <w:t xml:space="preserve"> </w:t>
      </w:r>
      <w:r>
        <w:rPr>
          <w:iCs/>
          <w:i/>
        </w:rPr>
        <w:t xml:space="preserve">El sistema completo, de los ficheros de origen a los tres consumidores.</w:t>
      </w:r>
      <w:r>
        <w:t xml:space="preserve"> </w:t>
      </w:r>
      <w:r>
        <w:rPr>
          <w:rStyle w:val="VerbatimChar"/>
        </w:rPr>
        <w:t xml:space="preserve">Fuente: Diagrama de elaboración propia. Debe mostrar el bucle de realimentación de las predicciones.</w:t>
      </w:r>
    </w:p>
    <w:bookmarkEnd w:id="111"/>
    <w:bookmarkStart w:id="112" w:name="X681881246d7709f9cb258ce7868824ae2268875"/>
    <w:p>
      <w:pPr>
        <w:pStyle w:val="Heading3"/>
      </w:pPr>
      <w:r>
        <w:t xml:space="preserve">7.6.3. La capa de lenguaje natural y su regla de diseño</w:t>
      </w:r>
    </w:p>
    <w:p>
      <w:pPr>
        <w:pStyle w:val="FirstParagraph"/>
      </w:pPr>
      <w:r>
        <w:t xml:space="preserve">La incorporación de un modelo de lenguaje a un sistema que decide compras exige una regla</w:t>
      </w:r>
      <w:r>
        <w:t xml:space="preserve"> </w:t>
      </w:r>
      <w:r>
        <w:t xml:space="preserve">explícita, y el trabajo la formula así:</w:t>
      </w:r>
      <w:r>
        <w:t xml:space="preserve"> </w:t>
      </w:r>
      <w:r>
        <w:rPr>
          <w:bCs/>
          <w:b/>
        </w:rPr>
        <w:t xml:space="preserve">el modelo de lenguaje nunca calcula</w:t>
      </w:r>
      <w:r>
        <w:t xml:space="preserve">. Recibe cifras ya</w:t>
      </w:r>
      <w:r>
        <w:t xml:space="preserve"> </w:t>
      </w:r>
      <w:r>
        <w:t xml:space="preserve">calculadas y las redacta, o traduce una pregunta a SQL que ejecuta después el motor de la base</w:t>
      </w:r>
      <w:r>
        <w:t xml:space="preserve"> </w:t>
      </w:r>
      <w:r>
        <w:t xml:space="preserve">de datos. La aritmética no la hace nunca el modelo.</w:t>
      </w:r>
    </w:p>
    <w:p>
      <w:pPr>
        <w:pStyle w:val="BodyText"/>
      </w:pPr>
      <w:r>
        <w:t xml:space="preserve">La regla se materializa en tres barreras. La primera, el contexto que recibe el redactor lleva</w:t>
      </w:r>
      <w:r>
        <w:t xml:space="preserve"> </w:t>
      </w:r>
      <w:r>
        <w:t xml:space="preserve">los números ya resueltos y le prohíbe explícitamente operar con ellos. La segunda, el</w:t>
      </w:r>
      <w:r>
        <w:t xml:space="preserve"> </w:t>
      </w:r>
      <w:r>
        <w:t xml:space="preserve">componente de consulta genera SQL y no respuestas, de modo que toda agregación la realiza el</w:t>
      </w:r>
      <w:r>
        <w:t xml:space="preserve"> </w:t>
      </w:r>
      <w:r>
        <w:t xml:space="preserve">motor. La tercera, el SQL generado atraviesa un validador que admite únicamente sentencias de</w:t>
      </w:r>
      <w:r>
        <w:t xml:space="preserve"> </w:t>
      </w:r>
      <w:r>
        <w:t xml:space="preserve">lectura sobre las nueve vistas conocidas, rechaza sentencias múltiples y añade un límite de</w:t>
      </w:r>
      <w:r>
        <w:t xml:space="preserve"> </w:t>
      </w:r>
      <w:r>
        <w:t xml:space="preserve">filas si no lo trae; además se muestra siempre al usuario antes de ejecutarse.</w:t>
      </w:r>
    </w:p>
    <w:p>
      <w:pPr>
        <w:pStyle w:val="BodyText"/>
      </w:pPr>
      <w:r>
        <w:t xml:space="preserve">La justificación no es tecnológica sino de responsabilidad: un sistema que sugiere pedidos de</w:t>
      </w:r>
      <w:r>
        <w:t xml:space="preserve"> </w:t>
      </w:r>
      <w:r>
        <w:t xml:space="preserve">mercadería no puede permitirse una cifra inventada, y la única garantía sólida contra eso es que</w:t>
      </w:r>
      <w:r>
        <w:t xml:space="preserve"> </w:t>
      </w:r>
      <w:r>
        <w:t xml:space="preserve">el modelo no tenga la posibilidad de producirla.</w:t>
      </w:r>
    </w:p>
    <w:p>
      <w:pPr>
        <w:pStyle w:val="BlockText"/>
      </w:pPr>
      <w:r>
        <w:rPr>
          <w:bCs/>
          <w:b/>
        </w:rPr>
        <w:t xml:space="preserve">[FIGURA 7.23]</w:t>
      </w:r>
      <w:r>
        <w:t xml:space="preserve"> </w:t>
      </w:r>
      <w:r>
        <w:rPr>
          <w:iCs/>
          <w:i/>
        </w:rPr>
        <w:t xml:space="preserve">Las cinco pantallas del panel de reposición.</w:t>
      </w:r>
      <w:r>
        <w:t xml:space="preserve"> </w:t>
      </w:r>
      <w:r>
        <w:rPr>
          <w:rStyle w:val="VerbatimChar"/>
        </w:rPr>
        <w:t xml:space="preserve">Fuente: Capturas de la aplicación en ejecución sobre el almacén completo, a 200 ppp.</w:t>
      </w:r>
    </w:p>
    <w:bookmarkEnd w:id="112"/>
    <w:bookmarkStart w:id="113" w:name="las-trampas-encontradas"/>
    <w:p>
      <w:pPr>
        <w:pStyle w:val="Heading3"/>
      </w:pPr>
      <w:r>
        <w:t xml:space="preserve">7.6.4. Las trampas encontradas</w:t>
      </w:r>
    </w:p>
    <w:p>
      <w:pPr>
        <w:pStyle w:val="FirstParagraph"/>
      </w:pPr>
      <w:r>
        <w:t xml:space="preserve">Se documentan aquí tres errores de implementación que se detectaron durante el trabajo, porque</w:t>
      </w:r>
      <w:r>
        <w:t xml:space="preserve"> </w:t>
      </w:r>
      <w:r>
        <w:t xml:space="preserve">son silenciosos —no producen excepción, producen cifras equivocadas— y porque su documentación</w:t>
      </w:r>
      <w:r>
        <w:t xml:space="preserve"> </w:t>
      </w:r>
      <w:r>
        <w:t xml:space="preserve">es parte del valor de ingeniería del proyecto.</w:t>
      </w:r>
    </w:p>
    <w:p>
      <w:pPr>
        <w:pStyle w:val="BodyText"/>
      </w:pPr>
      <w:r>
        <w:rPr>
          <w:bCs/>
          <w:b/>
        </w:rPr>
        <w:t xml:space="preserve">La trampa del abanico.</w:t>
      </w:r>
      <w:r>
        <w:t xml:space="preserve"> </w:t>
      </w:r>
      <w:r>
        <w:t xml:space="preserve">Unir directamente la tabla de ventas, de grano diario, con la de</w:t>
      </w:r>
      <w:r>
        <w:t xml:space="preserve"> </w:t>
      </w:r>
      <w:r>
        <w:t xml:space="preserve">reposición, de grano semanal, multiplica por siete las métricas del lado semanal. El síntoma fue</w:t>
      </w:r>
      <w:r>
        <w:t xml:space="preserve"> </w:t>
      </w:r>
      <w:r>
        <w:t xml:space="preserve">un stock de seguridad agregado de 2,6 millones de unidades donde el valor correcto rondaba las</w:t>
      </w:r>
      <w:r>
        <w:t xml:space="preserve"> </w:t>
      </w:r>
      <w:r>
        <w:t xml:space="preserve">29.000. El patrón correcto —agregar cada tabla por separado y unir después— quedó documentado</w:t>
      </w:r>
      <w:r>
        <w:t xml:space="preserve"> </w:t>
      </w:r>
      <w:r>
        <w:t xml:space="preserve">como obligatorio en la guía del cuadro de mando.</w:t>
      </w:r>
    </w:p>
    <w:p>
      <w:pPr>
        <w:pStyle w:val="BodyText"/>
      </w:pPr>
      <w:r>
        <w:rPr>
          <w:bCs/>
          <w:b/>
        </w:rPr>
        <w:t xml:space="preserve">El cruce de cuantiles.</w:t>
      </w:r>
      <w:r>
        <w:t xml:space="preserve"> </w:t>
      </w:r>
      <w:r>
        <w:t xml:space="preserve">El contrato que exige que la predicción del percentil 90 no quede por</w:t>
      </w:r>
      <w:r>
        <w:t xml:space="preserve"> </w:t>
      </w:r>
      <w:r>
        <w:t xml:space="preserve">debajo de la predicción media detectó</w:t>
      </w:r>
      <w:r>
        <w:t xml:space="preserve"> </w:t>
      </w:r>
      <w:r>
        <w:rPr>
          <w:bCs/>
          <w:b/>
        </w:rPr>
        <w:t xml:space="preserve">25.296 filas de 853.720, un 2,96%</w:t>
      </w:r>
      <w:r>
        <w:t xml:space="preserve">, en las que sí lo</w:t>
      </w:r>
      <w:r>
        <w:t xml:space="preserve"> </w:t>
      </w:r>
      <w:r>
        <w:t xml:space="preserve">estaba. Es imposible por definición, y su causa es que los dos modelos se entrenan por separado</w:t>
      </w:r>
      <w:r>
        <w:t xml:space="preserve"> </w:t>
      </w:r>
      <w:r>
        <w:t xml:space="preserve">—uno con pérdida Tweedie y otro con pérdida pinball— sin que nada garantice la monotonía entre</w:t>
      </w:r>
      <w:r>
        <w:t xml:space="preserve"> </w:t>
      </w:r>
      <w:r>
        <w:t xml:space="preserve">ellos; en series de demanda casi nula la media de Tweedie puede superar el cuantil estimado.</w:t>
      </w:r>
    </w:p>
    <w:p>
      <w:pPr>
        <w:pStyle w:val="BodyText"/>
      </w:pPr>
      <w:r>
        <w:t xml:space="preserve">Lo relevante no es la magnitud sino dónde se concentra. La política de reposición obtiene el</w:t>
      </w:r>
      <w:r>
        <w:t xml:space="preserve"> </w:t>
      </w:r>
      <w:r>
        <w:t xml:space="preserve">stock de seguridad de la diferencia entre ambos valores, recortada a cero cuando resulta</w:t>
      </w:r>
      <w:r>
        <w:t xml:space="preserve"> </w:t>
      </w:r>
      <w:r>
        <w:t xml:space="preserve">negativa, de modo que cada fila cruzada deja a esa serie</w:t>
      </w:r>
      <w:r>
        <w:t xml:space="preserve"> </w:t>
      </w:r>
      <w:r>
        <w:rPr>
          <w:bCs/>
          <w:b/>
        </w:rPr>
        <w:t xml:space="preserve">sin stock de seguridad</w:t>
      </w:r>
      <w:r>
        <w:t xml:space="preserve">. Y la</w:t>
      </w:r>
      <w:r>
        <w:t xml:space="preserve"> </w:t>
      </w:r>
      <w:r>
        <w:t xml:space="preserve">incidencia por segmento es la siguiente: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Predicciones cruzadas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0,00%</w:t>
            </w:r>
          </w:p>
        </w:tc>
      </w:tr>
    </w:tbl>
    <w:p>
      <w:pPr>
        <w:pStyle w:val="BodyText"/>
      </w:pPr>
      <w:r>
        <w:t xml:space="preserve">El problema afecta casi en exclusiva a la clase Z, la de demanda errática: precisamente las</w:t>
      </w:r>
      <w:r>
        <w:t xml:space="preserve"> </w:t>
      </w:r>
      <w:r>
        <w:t xml:space="preserve">series que más necesitan un colchón eran las que se quedaban sin él. El hueco medio es de 0,044</w:t>
      </w:r>
      <w:r>
        <w:t xml:space="preserve"> </w:t>
      </w:r>
      <w:r>
        <w:t xml:space="preserve">unidades y el máximo de 6,77, de modo que el efecto sobre cada predicción individual es pequeño;</w:t>
      </w:r>
      <w:r>
        <w:t xml:space="preserve"> </w:t>
      </w:r>
      <w:r>
        <w:t xml:space="preserve">la magnitud relevante es otra. Contando cuántas series arrastran al menos un día cruzado dentro</w:t>
      </w:r>
      <w:r>
        <w:t xml:space="preserve"> </w:t>
      </w:r>
      <w:r>
        <w:t xml:space="preserve">del ciclo de nueve días que dimensiona el pedido, resultan</w:t>
      </w:r>
      <w:r>
        <w:t xml:space="preserve"> </w:t>
      </w:r>
      <w:r>
        <w:rPr>
          <w:bCs/>
          <w:b/>
        </w:rPr>
        <w:t xml:space="preserve">1.899 series afectadas, el 22% de la</w:t>
      </w:r>
      <w:r>
        <w:rPr>
          <w:bCs/>
          <w:b/>
        </w:rPr>
        <w:t xml:space="preserve"> </w:t>
      </w:r>
      <w:r>
        <w:rPr>
          <w:bCs/>
          <w:b/>
        </w:rPr>
        <w:t xml:space="preserve">celda CZ</w:t>
      </w:r>
      <w:r>
        <w:t xml:space="preserve">. En una de cada cinco series de demanda errática el stock de seguridad quedaba</w:t>
      </w:r>
      <w:r>
        <w:t xml:space="preserve"> </w:t>
      </w:r>
      <w:r>
        <w:t xml:space="preserve">infravalorado.</w:t>
      </w:r>
    </w:p>
    <w:p>
      <w:pPr>
        <w:pStyle w:val="BodyText"/>
      </w:pPr>
      <w:r>
        <w:t xml:space="preserve">La corrección tiene dos partes: imponer la monotonía en el momento de escribir las predicciones,</w:t>
      </w:r>
      <w:r>
        <w:t xml:space="preserve"> </w:t>
      </w:r>
      <w:r>
        <w:t xml:space="preserve">que es donde debe estar, y reparar el fichero ya generado. Merece mención aquí porque es el</w:t>
      </w:r>
      <w:r>
        <w:t xml:space="preserve"> </w:t>
      </w:r>
      <w:r>
        <w:t xml:space="preserve">ejemplo más claro de por qué los contratos de datos se ejecutan también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de generar</w:t>
      </w:r>
      <w:r>
        <w:t xml:space="preserve"> </w:t>
      </w:r>
      <w:r>
        <w:t xml:space="preserve">las predicciones y no solo sobre los datos de entrada: este defecto no está en el origen, lo</w:t>
      </w:r>
      <w:r>
        <w:t xml:space="preserve"> </w:t>
      </w:r>
      <w:r>
        <w:t xml:space="preserve">produce el propio sistema.</w:t>
      </w:r>
    </w:p>
    <w:p>
      <w:pPr>
        <w:pStyle w:val="BodyText"/>
      </w:pPr>
      <w:r>
        <w:rPr>
          <w:bCs/>
          <w:b/>
        </w:rPr>
        <w:t xml:space="preserve">La dimensión temporal incompleta.</w:t>
      </w:r>
      <w:r>
        <w:t xml:space="preserve"> </w:t>
      </w:r>
      <w:r>
        <w:t xml:space="preserve">La tabla de calendario terminaba en el último día con</w:t>
      </w:r>
      <w:r>
        <w:t xml:space="preserve"> </w:t>
      </w:r>
      <w:r>
        <w:t xml:space="preserve">venta, de modo que las predicciones a veintiocho días no tenían fila de dimensión donde</w:t>
      </w:r>
      <w:r>
        <w:t xml:space="preserve"> </w:t>
      </w:r>
      <w:r>
        <w:t xml:space="preserve">apoyarse. Se extendió con los días futuros y una bandera que los distingue.</w:t>
      </w:r>
    </w:p>
    <w:p>
      <w:pPr>
        <w:pStyle w:val="BodyText"/>
      </w:pPr>
      <w:r>
        <w:rPr>
          <w:bCs/>
          <w:b/>
        </w:rPr>
        <w:t xml:space="preserve">La conversión de tipos en el entrenamiento.</w:t>
      </w:r>
      <w:r>
        <w:t xml:space="preserve"> </w:t>
      </w:r>
      <w:r>
        <w:t xml:space="preserve">La construcción del conjunto de entrenamiento a</w:t>
      </w:r>
      <w:r>
        <w:t xml:space="preserve"> </w:t>
      </w:r>
      <w:r>
        <w:t xml:space="preserve">partir de un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 </w:t>
      </w:r>
      <w:r>
        <w:t xml:space="preserve">provoca en la biblioteca de aprendizaje una conversión interna a doble</w:t>
      </w:r>
      <w:r>
        <w:t xml:space="preserve"> </w:t>
      </w:r>
      <w:r>
        <w:t xml:space="preserve">precisión que duplica la memoria y agota la disponible. La conversión explícita previa a</w:t>
      </w:r>
      <w:r>
        <w:t xml:space="preserve"> </w:t>
      </w:r>
      <w:r>
        <w:t xml:space="preserve">precisión simple resuelve el problema.</w:t>
      </w:r>
    </w:p>
    <w:bookmarkEnd w:id="113"/>
    <w:bookmarkStart w:id="114" w:name="la-capa-de-operación"/>
    <w:p>
      <w:pPr>
        <w:pStyle w:val="Heading3"/>
      </w:pPr>
      <w:r>
        <w:t xml:space="preserve">7.6.5. La capa de operación</w:t>
      </w:r>
    </w:p>
    <w:p>
      <w:pPr>
        <w:pStyle w:val="FirstParagraph"/>
      </w:pPr>
      <w:r>
        <w:t xml:space="preserve">Un sistema no se distingue de un conjunto de cuadernos por los modelos que contiene sino por lo</w:t>
      </w:r>
      <w:r>
        <w:t xml:space="preserve"> </w:t>
      </w:r>
      <w:r>
        <w:t xml:space="preserve">que sabe de sí mismo. Se incorporaron por ello cuatro piezas que no producen ningún resultado</w:t>
      </w:r>
      <w:r>
        <w:t xml:space="preserve"> </w:t>
      </w:r>
      <w:r>
        <w:t xml:space="preserve">analítico y sin las cuales el trabajo seguiría siendo un prototipo.</w:t>
      </w:r>
    </w:p>
    <w:p>
      <w:pPr>
        <w:pStyle w:val="BodyText"/>
      </w:pPr>
      <w:r>
        <w:rPr>
          <w:bCs/>
          <w:b/>
        </w:rPr>
        <w:t xml:space="preserve">Orquestación.</w:t>
      </w:r>
      <w:r>
        <w:t xml:space="preserve"> </w:t>
      </w:r>
      <w:r>
        <w:t xml:space="preserve">Un único comando ejecuta las nueve etapas en orden —construcción de las tres</w:t>
      </w:r>
      <w:r>
        <w:t xml:space="preserve"> </w:t>
      </w:r>
      <w:r>
        <w:t xml:space="preserve">capas, contratos, entrenamiento, predicción, reposición, contratos otra vez y monitorización—,</w:t>
      </w:r>
      <w:r>
        <w:t xml:space="preserve"> </w:t>
      </w:r>
      <w:r>
        <w:t xml:space="preserve">cronometra cada una, se detiene ante el primer fallo bloqueante y registra el resultado en una</w:t>
      </w:r>
      <w:r>
        <w:t xml:space="preserve"> </w:t>
      </w:r>
      <w:r>
        <w:t xml:space="preserve">tabla de ejecuciones. Permite además reanudar desde la etapa que falló, que es lo que convierte</w:t>
      </w:r>
      <w:r>
        <w:t xml:space="preserve"> </w:t>
      </w:r>
      <w:r>
        <w:t xml:space="preserve">un fallo en una incidencia y no en una repetición completa.</w:t>
      </w:r>
    </w:p>
    <w:p>
      <w:pPr>
        <w:pStyle w:val="BodyText"/>
      </w:pPr>
      <w:r>
        <w:rPr>
          <w:bCs/>
          <w:b/>
        </w:rPr>
        <w:t xml:space="preserve">Contratos de datos.</w:t>
      </w:r>
      <w:r>
        <w:t xml:space="preserve"> </w:t>
      </w:r>
      <w:r>
        <w:t xml:space="preserve">Trece comprobaciones que</w:t>
      </w:r>
      <w:r>
        <w:t xml:space="preserve"> </w:t>
      </w:r>
      <w:r>
        <w:rPr>
          <w:bCs/>
          <w:b/>
        </w:rPr>
        <w:t xml:space="preserve">detienen</w:t>
      </w:r>
      <w:r>
        <w:t xml:space="preserve"> </w:t>
      </w:r>
      <w:r>
        <w:t xml:space="preserve">el proceso en lugar de advertir: el</w:t>
      </w:r>
      <w:r>
        <w:t xml:space="preserve"> </w:t>
      </w:r>
      <w:r>
        <w:t xml:space="preserve">panel producto-tienda completo, ausencia de ventas sin precio, coherencia entre importe y</w:t>
      </w:r>
      <w:r>
        <w:t xml:space="preserve"> </w:t>
      </w:r>
      <w:r>
        <w:t xml:space="preserve">producto de unidades por precio, integridad referencial con las dimensiones, cobertura de la</w:t>
      </w:r>
      <w:r>
        <w:t xml:space="preserve"> </w:t>
      </w:r>
      <w:r>
        <w:t xml:space="preserve">dimensión temporal sobre el horizonte, ausencia de duplicados en el grano y no negatividad y</w:t>
      </w:r>
      <w:r>
        <w:t xml:space="preserve"> </w:t>
      </w:r>
      <w:r>
        <w:t xml:space="preserve">ordenación de los cuantiles predichos. La distinción entre un contrato y una comprobación de</w:t>
      </w:r>
      <w:r>
        <w:t xml:space="preserve"> </w:t>
      </w:r>
      <w:r>
        <w:t xml:space="preserve">calidad está en qué ocurre cuando falla: un almacén que publica datos rotos porque la</w:t>
      </w:r>
      <w:r>
        <w:t xml:space="preserve"> </w:t>
      </w:r>
      <w:r>
        <w:t xml:space="preserve">comprobación escribió una advertencia en un registro que nadie lee es peor que uno que no</w:t>
      </w:r>
      <w:r>
        <w:t xml:space="preserve"> </w:t>
      </w:r>
      <w:r>
        <w:t xml:space="preserve">comprueba nada, porque produce una falsa sensación de control. Los contratos se ejecutan dos</w:t>
      </w:r>
      <w:r>
        <w:t xml:space="preserve"> </w:t>
      </w:r>
      <w:r>
        <w:t xml:space="preserve">veces, después de construir el almacén y antes de publicar las predicciones; la segunda pasada es</w:t>
      </w:r>
      <w:r>
        <w:t xml:space="preserve"> </w:t>
      </w:r>
      <w:r>
        <w:t xml:space="preserve">la que impide que un modelo defectuoso alcance el servicio de reposición.</w:t>
      </w:r>
    </w:p>
    <w:p>
      <w:pPr>
        <w:pStyle w:val="BodyText"/>
      </w:pPr>
      <w:r>
        <w:rPr>
          <w:bCs/>
          <w:b/>
        </w:rPr>
        <w:t xml:space="preserve">Registro de modelos.</w:t>
      </w:r>
      <w:r>
        <w:t xml:space="preserve"> </w:t>
      </w:r>
      <w:r>
        <w:t xml:space="preserve">Cada entrenamiento da de alta una fila en una dimensión de modelo con</w:t>
      </w:r>
      <w:r>
        <w:t xml:space="preserve"> </w:t>
      </w:r>
      <w:r>
        <w:t xml:space="preserve">sus hiperparámetros, la ventana de entrenamiento, la fecha de corte y las métricas de validación,</w:t>
      </w:r>
      <w:r>
        <w:t xml:space="preserve"> </w:t>
      </w:r>
      <w:r>
        <w:t xml:space="preserve">y su identificador acompaña a cada predicción producida. Permite responder la pregunta que</w:t>
      </w:r>
      <w:r>
        <w:t xml:space="preserve"> </w:t>
      </w:r>
      <w:r>
        <w:t xml:space="preserve">inevitablemente surge en explotación: con qué modelo, entrenado sobre qué datos y con qué error</w:t>
      </w:r>
      <w:r>
        <w:t xml:space="preserve"> </w:t>
      </w:r>
      <w:r>
        <w:t xml:space="preserve">de validación se calculó un pedido concreto de hace tres semanas.</w:t>
      </w:r>
    </w:p>
    <w:p>
      <w:pPr>
        <w:pStyle w:val="BodyText"/>
      </w:pPr>
      <w:r>
        <w:rPr>
          <w:bCs/>
          <w:b/>
        </w:rPr>
        <w:t xml:space="preserve">Monitorización.</w:t>
      </w:r>
      <w:r>
        <w:t xml:space="preserve"> </w:t>
      </w:r>
      <w:r>
        <w:t xml:space="preserve">Se vigilan tres cosas de naturaleza distinta. El</w:t>
      </w:r>
      <w:r>
        <w:t xml:space="preserve"> </w:t>
      </w:r>
      <w:r>
        <w:rPr>
          <w:bCs/>
          <w:b/>
        </w:rPr>
        <w:t xml:space="preserve">error realizado</w:t>
      </w:r>
      <w:r>
        <w:t xml:space="preserve">, que</w:t>
      </w:r>
      <w:r>
        <w:t xml:space="preserve"> </w:t>
      </w:r>
      <w:r>
        <w:t xml:space="preserve">compara las predicciones vencidas con lo ocurrido y es la medida verdadera aunque llegue con</w:t>
      </w:r>
      <w:r>
        <w:t xml:space="preserve"> </w:t>
      </w:r>
      <w:r>
        <w:t xml:space="preserve">cuatro semanas de retraso. La</w:t>
      </w:r>
      <w:r>
        <w:t xml:space="preserve"> </w:t>
      </w:r>
      <w:r>
        <w:rPr>
          <w:bCs/>
          <w:b/>
        </w:rPr>
        <w:t xml:space="preserve">deriva de las variables de entrada</w:t>
      </w:r>
      <w:r>
        <w:t xml:space="preserve">, medida con el índice de</w:t>
      </w:r>
      <w:r>
        <w:t xml:space="preserve"> </w:t>
      </w:r>
      <w:r>
        <w:t xml:space="preserve">estabilidad de población entre la ventana reciente y la de referencia, que se detecta el mismo</w:t>
      </w:r>
      <w:r>
        <w:t xml:space="preserve"> </w:t>
      </w:r>
      <w:r>
        <w:t xml:space="preserve">día sin esperar al resultado. Y la</w:t>
      </w:r>
      <w:r>
        <w:t xml:space="preserve"> </w:t>
      </w:r>
      <w:r>
        <w:rPr>
          <w:bCs/>
          <w:b/>
        </w:rPr>
        <w:t xml:space="preserve">deriva de la predicción</w:t>
      </w:r>
      <w:r>
        <w:t xml:space="preserve"> </w:t>
      </w:r>
      <w:r>
        <w:t xml:space="preserve">respecto de su propio histórico,</w:t>
      </w:r>
      <w:r>
        <w:t xml:space="preserve"> </w:t>
      </w:r>
      <w:r>
        <w:t xml:space="preserve">que detecta cambios que las entradas no revelan. Validar un modelo antes de desplegarlo no es</w:t>
      </w:r>
      <w:r>
        <w:t xml:space="preserve"> </w:t>
      </w:r>
      <w:r>
        <w:t xml:space="preserve">monitorizarlo: la validación describe el pasado, la monitorización el presente.</w:t>
      </w:r>
    </w:p>
    <w:p>
      <w:pPr>
        <w:pStyle w:val="BodyText"/>
      </w:pPr>
      <w:r>
        <w:t xml:space="preserve">Las tablas de operación viven en el mismo almacén que el resto, de modo que las métricas del</w:t>
      </w:r>
      <w:r>
        <w:t xml:space="preserve"> </w:t>
      </w:r>
      <w:r>
        <w:t xml:space="preserve">sistema se consultan con el mismo SQL que los datos de negocio y el cuadro de mando puede</w:t>
      </w:r>
      <w:r>
        <w:t xml:space="preserve"> </w:t>
      </w:r>
      <w:r>
        <w:t xml:space="preserve">mostrarlas sin ninguna integración adicional.</w:t>
      </w:r>
    </w:p>
    <w:bookmarkEnd w:id="114"/>
    <w:bookmarkStart w:id="115" w:name="cómo-se-pondría-en-marcha"/>
    <w:p>
      <w:pPr>
        <w:pStyle w:val="Heading3"/>
      </w:pPr>
      <w:r>
        <w:t xml:space="preserve">7.6.6. Cómo se pondría en marcha</w:t>
      </w:r>
    </w:p>
    <w:p>
      <w:pPr>
        <w:pStyle w:val="FirstParagraph"/>
      </w:pPr>
      <w:r>
        <w:t xml:space="preserve">Un sistema que decide compras no se despliega de una vez. La ruta propuesta tiene tres fases,</w:t>
      </w:r>
      <w:r>
        <w:t xml:space="preserve"> </w:t>
      </w:r>
      <w:r>
        <w:t xml:space="preserve">cada una con su criterio de avance y su criterio de parada, y la razón de que existan es que un</w:t>
      </w:r>
      <w:r>
        <w:t xml:space="preserve"> </w:t>
      </w:r>
      <w:r>
        <w:t xml:space="preserve">error de reposición no se corrige con un despliegue nuevo: se corrige con mercadería.</w:t>
      </w:r>
    </w:p>
    <w:p>
      <w:pPr>
        <w:pStyle w:val="BodyText"/>
      </w:pPr>
      <w:r>
        <w:rPr>
          <w:bCs/>
          <w:b/>
        </w:rPr>
        <w:t xml:space="preserve">Fase 1 — Modo sombra (4 semanas).</w:t>
      </w:r>
      <w:r>
        <w:t xml:space="preserve"> </w:t>
      </w:r>
      <w:r>
        <w:t xml:space="preserve">El sistema calcula pedidos para las diez tiendas y no los</w:t>
      </w:r>
      <w:r>
        <w:t xml:space="preserve"> </w:t>
      </w:r>
      <w:r>
        <w:t xml:space="preserve">envía a nadie. Se registra la sugerencia junto a lo que el encargado pidió realmente. No hay</w:t>
      </w:r>
      <w:r>
        <w:t xml:space="preserve"> </w:t>
      </w:r>
      <w:r>
        <w:t xml:space="preserve">riesgo operativo alguno, y al final se dispone de cuatro semanas de comparación entre las dos</w:t>
      </w:r>
      <w:r>
        <w:t xml:space="preserve"> </w:t>
      </w:r>
      <w:r>
        <w:t xml:space="preserve">decisiones sobre la demanda que realmente ocurrió.</w:t>
      </w:r>
      <w:r>
        <w:t xml:space="preserve"> </w:t>
      </w:r>
      <w:r>
        <w:rPr>
          <w:iCs/>
          <w:i/>
        </w:rPr>
        <w:t xml:space="preserve">Criterio de avance:</w:t>
      </w:r>
      <w:r>
        <w:t xml:space="preserve"> </w:t>
      </w:r>
      <w:r>
        <w:t xml:space="preserve">que el sistema no sea</w:t>
      </w:r>
      <w:r>
        <w:t xml:space="preserve"> </w:t>
      </w:r>
      <w:r>
        <w:t xml:space="preserve">peor que la práctica actual en coste simulado, y que ninguna de las alertas del monitor se haya</w:t>
      </w:r>
      <w:r>
        <w:t xml:space="preserve"> </w:t>
      </w:r>
      <w:r>
        <w:t xml:space="preserve">disparado por causas ajenas a los datos.</w:t>
      </w:r>
    </w:p>
    <w:p>
      <w:pPr>
        <w:pStyle w:val="BodyText"/>
      </w:pPr>
      <w:r>
        <w:rPr>
          <w:bCs/>
          <w:b/>
        </w:rPr>
        <w:t xml:space="preserve">Fase 2 — Piloto (8 semanas, dos tiendas).</w:t>
      </w:r>
      <w:r>
        <w:t xml:space="preserve"> </w:t>
      </w:r>
      <w:r>
        <w:t xml:space="preserve">Se eligen dos establecimientos de grupos de</w:t>
      </w:r>
      <w:r>
        <w:t xml:space="preserve"> </w:t>
      </w:r>
      <w:r>
        <w:t xml:space="preserve">comportamiento distintos y se aplican las sugerencias en el segmento AX, que concentra el 56% de</w:t>
      </w:r>
      <w:r>
        <w:t xml:space="preserve"> </w:t>
      </w:r>
      <w:r>
        <w:t xml:space="preserve">la facturación y es el de demanda más estable. El resto del catálogo sigue con el procedimiento</w:t>
      </w:r>
      <w:r>
        <w:t xml:space="preserve"> </w:t>
      </w:r>
      <w:r>
        <w:t xml:space="preserve">actual, lo que proporciona un grupo de control interno.</w:t>
      </w:r>
      <w:r>
        <w:t xml:space="preserve"> </w:t>
      </w:r>
      <w:r>
        <w:rPr>
          <w:iCs/>
          <w:i/>
        </w:rPr>
        <w:t xml:space="preserve">Criterio de avance:</w:t>
      </w:r>
      <w:r>
        <w:t xml:space="preserve"> </w:t>
      </w:r>
      <w:r>
        <w:t xml:space="preserve">mejora del nivel de</w:t>
      </w:r>
      <w:r>
        <w:t xml:space="preserve"> </w:t>
      </w:r>
      <w:r>
        <w:t xml:space="preserve">servicio sin aumento del inventario medio.</w:t>
      </w:r>
      <w:r>
        <w:t xml:space="preserve"> </w:t>
      </w:r>
      <w:r>
        <w:rPr>
          <w:iCs/>
          <w:i/>
        </w:rPr>
        <w:t xml:space="preserve">Criterio de parada:</w:t>
      </w:r>
      <w:r>
        <w:t xml:space="preserve"> </w:t>
      </w:r>
      <w:r>
        <w:t xml:space="preserve">dos semanas consecutivas con el</w:t>
      </w:r>
      <w:r>
        <w:t xml:space="preserve"> </w:t>
      </w:r>
      <w:r>
        <w:t xml:space="preserve">nivel de servicio por debajo del de las tiendas de control.</w:t>
      </w:r>
    </w:p>
    <w:p>
      <w:pPr>
        <w:pStyle w:val="BodyText"/>
      </w:pPr>
      <w:r>
        <w:rPr>
          <w:bCs/>
          <w:b/>
        </w:rPr>
        <w:t xml:space="preserve">Fase 3 — Red completa, por segmentos.</w:t>
      </w:r>
      <w:r>
        <w:t xml:space="preserve"> </w:t>
      </w:r>
      <w:r>
        <w:t xml:space="preserve">Se extiende a las diez tiendas y se amplía el alcance</w:t>
      </w:r>
      <w:r>
        <w:t xml:space="preserve"> </w:t>
      </w:r>
      <w:r>
        <w:t xml:space="preserve">por celdas de la matriz ABC/XYZ, empezando por las de demanda estable y dejando para el final las</w:t>
      </w:r>
      <w:r>
        <w:t xml:space="preserve"> </w:t>
      </w:r>
      <w:r>
        <w:t xml:space="preserve">de clase Z, donde el propio trabajo documenta que la ventaja es menor y la incertidumbre mayor.</w:t>
      </w:r>
      <w:r>
        <w:t xml:space="preserve"> </w:t>
      </w:r>
      <w:r>
        <w:t xml:space="preserve">La revisión pasa a ser por excepción: el encargado confirma la lista y solo interviene donde</w:t>
      </w:r>
      <w:r>
        <w:t xml:space="preserve"> </w:t>
      </w:r>
      <w:r>
        <w:t xml:space="preserve">discrepa.</w:t>
      </w:r>
    </w:p>
    <w:p>
      <w:pPr>
        <w:pStyle w:val="BodyText"/>
      </w:pPr>
      <w:r>
        <w:t xml:space="preserve">En las tres fases se registra la decisión final del encargado, que es el dato del que hoy carece</w:t>
      </w:r>
      <w:r>
        <w:t xml:space="preserve"> </w:t>
      </w:r>
      <w:r>
        <w:t xml:space="preserve">el proyecto y sin el cual ninguna de las tres puede evaluarse.</w:t>
      </w:r>
    </w:p>
    <w:bookmarkEnd w:id="115"/>
    <w:bookmarkStart w:id="116" w:name="sobre-la-migración-a-la-nube"/>
    <w:p>
      <w:pPr>
        <w:pStyle w:val="Heading3"/>
      </w:pPr>
      <w:r>
        <w:t xml:space="preserve">7.6.7. Sobre la migración a la nube</w:t>
      </w:r>
    </w:p>
    <w:p>
      <w:pPr>
        <w:pStyle w:val="FirstParagraph"/>
      </w:pPr>
      <w:r>
        <w:t xml:space="preserve">El plan estratégico de DSMarket contempla migrar sus fuentes y procesos a una plataforma en la</w:t>
      </w:r>
      <w:r>
        <w:t xml:space="preserve"> </w:t>
      </w:r>
      <w:r>
        <w:t xml:space="preserve">nube. El trabajo evaluó la posibilidad de construir directamente sobre una plataforma de ese</w:t>
      </w:r>
      <w:r>
        <w:t xml:space="preserve"> </w:t>
      </w:r>
      <w:r>
        <w:t xml:space="preserve">tipo y decidió no hacerlo, por tres razones que conviene explicitar porque la decisión podría</w:t>
      </w:r>
      <w:r>
        <w:t xml:space="preserve"> </w:t>
      </w:r>
      <w:r>
        <w:t xml:space="preserve">leerse como una limitación y no lo es.</w:t>
      </w:r>
    </w:p>
    <w:p>
      <w:pPr>
        <w:pStyle w:val="BodyText"/>
      </w:pPr>
      <w:r>
        <w:t xml:space="preserve">La primera es de</w:t>
      </w:r>
      <w:r>
        <w:t xml:space="preserve"> </w:t>
      </w:r>
      <w:r>
        <w:rPr>
          <w:bCs/>
          <w:b/>
        </w:rPr>
        <w:t xml:space="preserve">volumen</w:t>
      </w:r>
      <w:r>
        <w:t xml:space="preserve">: 58 millones de filas y 91 MB en la capa de consumo son un tamaño</w:t>
      </w:r>
      <w:r>
        <w:t xml:space="preserve"> </w:t>
      </w:r>
      <w:r>
        <w:t xml:space="preserve">que un motor analítico embebido procesa en segundos. La infraestructura distribuida resuelve un</w:t>
      </w:r>
      <w:r>
        <w:t xml:space="preserve"> </w:t>
      </w:r>
      <w:r>
        <w:t xml:space="preserve">problema de escala que este proyecto no tiene, y su coste de complejidad no se compensa.</w:t>
      </w:r>
    </w:p>
    <w:p>
      <w:pPr>
        <w:pStyle w:val="BodyText"/>
      </w:pPr>
      <w:r>
        <w:t xml:space="preserve">La segunda es de</w:t>
      </w:r>
      <w:r>
        <w:t xml:space="preserve"> </w:t>
      </w:r>
      <w:r>
        <w:rPr>
          <w:bCs/>
          <w:b/>
        </w:rPr>
        <w:t xml:space="preserve">reproducibilidad</w:t>
      </w:r>
      <w:r>
        <w:t xml:space="preserve">: un tribunal debe poder reconstruir el trabajo completo en</w:t>
      </w:r>
      <w:r>
        <w:t xml:space="preserve"> </w:t>
      </w:r>
      <w:r>
        <w:t xml:space="preserve">su propia máquina sin credenciales ni suscripciones. Un almacén basado en ficheros Parquet y un</w:t>
      </w:r>
      <w:r>
        <w:t xml:space="preserve"> </w:t>
      </w:r>
      <w:r>
        <w:t xml:space="preserve">motor embebido lo permiten; una plataforma gestionada, no.</w:t>
      </w:r>
    </w:p>
    <w:p>
      <w:pPr>
        <w:pStyle w:val="BodyText"/>
      </w:pPr>
      <w:r>
        <w:t xml:space="preserve">La tercera, y la más importante, es de</w:t>
      </w:r>
      <w:r>
        <w:t xml:space="preserve"> </w:t>
      </w:r>
      <w:r>
        <w:rPr>
          <w:bCs/>
          <w:b/>
        </w:rPr>
        <w:t xml:space="preserve">portabilidad</w:t>
      </w:r>
      <w:r>
        <w:t xml:space="preserve">: la arquitectura medallón, el esquema en</w:t>
      </w:r>
      <w:r>
        <w:t xml:space="preserve"> </w:t>
      </w:r>
      <w:r>
        <w:t xml:space="preserve">estrella y las transformaciones están escritas en SQL estándar sobre ficheros Parquet, que es</w:t>
      </w:r>
      <w:r>
        <w:t xml:space="preserve"> </w:t>
      </w:r>
      <w:r>
        <w:t xml:space="preserve">precisamente el formato que ingieren las plataformas de nube contemporáneas. La migración</w:t>
      </w:r>
      <w:r>
        <w:t xml:space="preserve"> </w:t>
      </w:r>
      <w:r>
        <w:t xml:space="preserve">consiste en trasladar los ficheros al almacenamiento en la nube y reapuntar el motor de</w:t>
      </w:r>
      <w:r>
        <w:t xml:space="preserve"> </w:t>
      </w:r>
      <w:r>
        <w:t xml:space="preserve">ejecución; la lógica de negocio, que es el trabajo real, no cambia.</w:t>
      </w:r>
    </w:p>
    <w:p>
      <w:pPr>
        <w:pStyle w:val="BodyText"/>
      </w:pPr>
      <w:r>
        <w:t xml:space="preserve">La ruta de migración propuesta contempla tres fases: trasladar las capas de bronce y plata al</w:t>
      </w:r>
      <w:r>
        <w:t xml:space="preserve"> </w:t>
      </w:r>
      <w:r>
        <w:t xml:space="preserve">almacenamiento de objetos manteniendo el mismo formato, sustituir el motor de ejecución</w:t>
      </w:r>
      <w:r>
        <w:t xml:space="preserve"> </w:t>
      </w:r>
      <w:r>
        <w:t xml:space="preserve">conservando las mismas sentencias, y trasladar por último la orquestación. El diseño actual está</w:t>
      </w:r>
      <w:r>
        <w:t xml:space="preserve"> </w:t>
      </w:r>
      <w:r>
        <w:t xml:space="preserve">hecho para que ese camino sea posible sin reescribir el análisis.</w:t>
      </w:r>
    </w:p>
    <w:bookmarkEnd w:id="116"/>
    <w:bookmarkStart w:id="117" w:name="qué-queda-por-hacer"/>
    <w:p>
      <w:pPr>
        <w:pStyle w:val="Heading3"/>
      </w:pPr>
      <w:r>
        <w:t xml:space="preserve">7.6.8. Qué queda por hacer</w:t>
      </w:r>
    </w:p>
    <w:p>
      <w:pPr>
        <w:pStyle w:val="FirstParagraph"/>
      </w:pPr>
      <w:r>
        <w:t xml:space="preserve">Se consignan las carencias del sistema, que son conocidas y no accidentales.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Cs/>
          <w:b/>
        </w:rPr>
        <w:t xml:space="preserve">stock actual</w:t>
      </w:r>
      <w:r>
        <w:t xml:space="preserve"> </w:t>
      </w:r>
      <w:r>
        <w:t xml:space="preserve">es el único dato que el proyecto no posee y que la decisión de reposición</w:t>
      </w:r>
      <w:r>
        <w:t xml:space="preserve"> </w:t>
      </w:r>
      <w:r>
        <w:t xml:space="preserve">necesita; hoy se introduce a mano. Su origen natural es el sistema de inventario de la compañía.</w:t>
      </w:r>
    </w:p>
    <w:p>
      <w:pPr>
        <w:pStyle w:val="BodyText"/>
      </w:pPr>
      <w:r>
        <w:rPr>
          <w:bCs/>
          <w:b/>
        </w:rPr>
        <w:t xml:space="preserve">No se registra la decisión final del encargado.</w:t>
      </w:r>
      <w:r>
        <w:t xml:space="preserve"> </w:t>
      </w:r>
      <w:r>
        <w:t xml:space="preserve">Mientras no se sepa qué se pidió realmente</w:t>
      </w:r>
      <w:r>
        <w:t xml:space="preserve"> </w:t>
      </w:r>
      <w:r>
        <w:t xml:space="preserve">frente a lo sugerido, no hay forma de medir si el sistema acierta. Es, con diferencia, la</w:t>
      </w:r>
      <w:r>
        <w:t xml:space="preserve"> </w:t>
      </w:r>
      <w:r>
        <w:t xml:space="preserve">incorporación que más valor añadiría, porque convierte el proyecto en un problema de aprendizaje</w:t>
      </w:r>
      <w:r>
        <w:t xml:space="preserve"> </w:t>
      </w:r>
      <w:r>
        <w:t xml:space="preserve">continuo en lugar de una fotografía.</w:t>
      </w:r>
    </w:p>
    <w:p>
      <w:pPr>
        <w:pStyle w:val="BodyText"/>
      </w:pPr>
      <w:r>
        <w:rPr>
          <w:bCs/>
          <w:b/>
        </w:rPr>
        <w:t xml:space="preserve">No hay autenticación ni control de acceso</w:t>
      </w:r>
      <w:r>
        <w:t xml:space="preserve">, lo que es aceptable en un prototipo y no en</w:t>
      </w:r>
      <w:r>
        <w:t xml:space="preserve"> </w:t>
      </w:r>
      <w:r>
        <w:t xml:space="preserve">explotación.</w:t>
      </w:r>
    </w:p>
    <w:p>
      <w:pPr>
        <w:pStyle w:val="BodyText"/>
      </w:pPr>
      <w:r>
        <w:rPr>
          <w:bCs/>
          <w:b/>
        </w:rPr>
        <w:t xml:space="preserve">La escala del panel</w:t>
      </w:r>
      <w:r>
        <w:t xml:space="preserve"> </w:t>
      </w:r>
      <w:r>
        <w:t xml:space="preserve">está dimensionada para diez tiendas: carga el almacén en memoria al</w:t>
      </w:r>
      <w:r>
        <w:t xml:space="preserve"> </w:t>
      </w:r>
      <w:r>
        <w:t xml:space="preserve">arrancar. Con un catálogo o una red mayores haría falta consulta bajo demanda.</w:t>
      </w:r>
      <w:r>
        <w:t xml:space="preserve"> </w:t>
      </w:r>
      <w:r>
        <w:t xml:space="preserve">## 7.7. Conclusiones</w:t>
      </w:r>
    </w:p>
    <w:bookmarkEnd w:id="117"/>
    <w:bookmarkStart w:id="118" w:name="respuesta-a-los-objetivos"/>
    <w:p>
      <w:pPr>
        <w:pStyle w:val="Heading3"/>
      </w:pPr>
      <w:r>
        <w:t xml:space="preserve">7.7.1. Respuesta a los objetivos</w:t>
      </w:r>
    </w:p>
    <w:p>
      <w:pPr>
        <w:pStyle w:val="FirstParagraph"/>
      </w:pPr>
      <w:r>
        <w:rPr>
          <w:bCs/>
          <w:b/>
        </w:rPr>
        <w:t xml:space="preserve">OE1 — Caracterizar la estructura de la demanda.</w:t>
      </w:r>
      <w:r>
        <w:t xml:space="preserve"> </w:t>
      </w:r>
      <w:r>
        <w:t xml:space="preserve">La demanda de DSMarket no es homogénea en</w:t>
      </w:r>
      <w:r>
        <w:t xml:space="preserve"> </w:t>
      </w:r>
      <w:r>
        <w:t xml:space="preserve">ninguna de las dimensiones examinadas. Solo cinco de los quince productos más vendidos son</w:t>
      </w:r>
      <w:r>
        <w:t xml:space="preserve"> </w:t>
      </w:r>
      <w:r>
        <w:t xml:space="preserve">comunes a las tres ciudades, y Filadelfia se aparta del resto con solo cuatro. Tres eventos del</w:t>
      </w:r>
      <w:r>
        <w:t xml:space="preserve"> </w:t>
      </w:r>
      <w:r>
        <w:t xml:space="preserve">calendario tienen efecto medible —Labor Day, SuperBowl y Easter, entre el 15% y el 22%— y uno</w:t>
      </w:r>
      <w:r>
        <w:t xml:space="preserve"> </w:t>
      </w:r>
      <w:r>
        <w:t xml:space="preserve">que se esperaba relevante, Black Friday, no lo tiene. La categoría con mayor dispersión de</w:t>
      </w:r>
      <w:r>
        <w:t xml:space="preserve"> </w:t>
      </w:r>
      <w:r>
        <w:t xml:space="preserve">precios entre tiendas es SUPERMARKET, con un 2,75%, en contra de la expectativa inicial.</w:t>
      </w:r>
    </w:p>
    <w:p>
      <w:pPr>
        <w:pStyle w:val="BodyText"/>
      </w:pPr>
      <w:r>
        <w:rPr>
          <w:bCs/>
          <w:b/>
        </w:rPr>
        <w:t xml:space="preserve">OE2 — Segmentar el catálogo y la red.</w:t>
      </w:r>
      <w:r>
        <w:t xml:space="preserve"> </w:t>
      </w:r>
      <w:r>
        <w:t xml:space="preserve">Cinco arquetipos de producto —Núcleo estable,</w:t>
      </w:r>
      <w:r>
        <w:t xml:space="preserve"> </w:t>
      </w:r>
      <w:r>
        <w:t xml:space="preserve">Fin de semana/hogar, Fin de año, Cola larga/eventos y Premium/accesorios— y tres grupos de</w:t>
      </w:r>
      <w:r>
        <w:t xml:space="preserve"> </w:t>
      </w:r>
      <w:r>
        <w:t xml:space="preserve">tienda, con concordancia entre</w:t>
      </w:r>
      <w:r>
        <w:t xml:space="preserve"> </w:t>
      </w:r>
      <w:r>
        <w:rPr>
          <w:iCs/>
          <w:i/>
        </w:rPr>
        <w:t xml:space="preserve">k</w:t>
      </w:r>
      <w:r>
        <w:t xml:space="preserve">-medias, agrupamiento de Ward y mezclas gaussianas. El grupo C,</w:t>
      </w:r>
      <w:r>
        <w:t xml:space="preserve"> </w:t>
      </w:r>
      <w:r>
        <w:t xml:space="preserve">que reúne los tres establecimientos de Boston con Tribeca, resistió las diez iteraciones de la</w:t>
      </w:r>
      <w:r>
        <w:t xml:space="preserve"> </w:t>
      </w:r>
      <w:r>
        <w:t xml:space="preserve">validación por exclusión con similitud de Jaccard igual a 1:</w:t>
      </w:r>
      <w:r>
        <w:t xml:space="preserve"> </w:t>
      </w:r>
      <w:r>
        <w:rPr>
          <w:bCs/>
          <w:b/>
        </w:rPr>
        <w:t xml:space="preserve">el perfil de demanda de una tienda</w:t>
      </w:r>
      <w:r>
        <w:rPr>
          <w:bCs/>
          <w:b/>
        </w:rPr>
        <w:t xml:space="preserve"> </w:t>
      </w:r>
      <w:r>
        <w:rPr>
          <w:bCs/>
          <w:b/>
        </w:rPr>
        <w:t xml:space="preserve">no respeta las fronteras de ciudad</w:t>
      </w:r>
      <w:r>
        <w:t xml:space="preserve">. Ese agrupamiento demostró después tener un uso operativo y</w:t>
      </w:r>
      <w:r>
        <w:t xml:space="preserve"> </w:t>
      </w:r>
      <w:r>
        <w:t xml:space="preserve">no solo descriptivo (§7.3.10). La partición fina revela dos micro-segmentos de campaña, navideño</w:t>
      </w:r>
      <w:r>
        <w:t xml:space="preserve"> </w:t>
      </w:r>
      <w:r>
        <w:t xml:space="preserve">(×2,29) y de eventos (×1,99), que reaparecen en todos los capítulos posteriores.</w:t>
      </w:r>
    </w:p>
    <w:p>
      <w:pPr>
        <w:pStyle w:val="BodyText"/>
      </w:pPr>
      <w:r>
        <w:t xml:space="preserve">Se evaluó además la posibilidad de derivar recomendaciones de venta cruzada y</w:t>
      </w:r>
      <w:r>
        <w:t xml:space="preserve"> </w:t>
      </w:r>
      <w:r>
        <w:rPr>
          <w:bCs/>
          <w:b/>
        </w:rPr>
        <w:t xml:space="preserve">se descartó con</w:t>
      </w:r>
      <w:r>
        <w:rPr>
          <w:bCs/>
          <w:b/>
        </w:rPr>
        <w:t xml:space="preserve"> </w:t>
      </w:r>
      <w:r>
        <w:rPr>
          <w:bCs/>
          <w:b/>
        </w:rPr>
        <w:t xml:space="preserve">evidencia</w:t>
      </w:r>
      <w:r>
        <w:t xml:space="preserve">: el co-movimiento aparente entre productos se explica por el calendario y el tráfico</w:t>
      </w:r>
      <w:r>
        <w:t xml:space="preserve"> </w:t>
      </w:r>
      <w:r>
        <w:t xml:space="preserve">de la tienda, y lo que queda no supera el nivel de ruido medido entre establecimientos distintos</w:t>
      </w:r>
      <w:r>
        <w:t xml:space="preserve"> </w:t>
      </w:r>
      <w:r>
        <w:t xml:space="preserve">(1,27% frente al 1,00% esperable por azar).</w:t>
      </w:r>
    </w:p>
    <w:p>
      <w:pPr>
        <w:pStyle w:val="BodyText"/>
      </w:pPr>
      <w:r>
        <w:rPr>
          <w:bCs/>
          <w:b/>
        </w:rPr>
        <w:t xml:space="preserve">OE3 — Predecir la demanda.</w:t>
      </w:r>
      <w:r>
        <w:t xml:space="preserve"> </w:t>
      </w:r>
      <w:r>
        <w:t xml:space="preserve">El mejor resultado corresponde a LightGBM con objetivo Tweedie y</w:t>
      </w:r>
      <w:r>
        <w:t xml:space="preserve"> </w:t>
      </w:r>
      <w:r>
        <w:t xml:space="preserve">estrategia por bloques semanales, con un WRMSSE de 1,0414. El hallazgo metodológico es que</w:t>
      </w:r>
      <w:r>
        <w:t xml:space="preserve"> </w:t>
      </w:r>
      <w:r>
        <w:rPr>
          <w:bCs/>
          <w:b/>
        </w:rPr>
        <w:t xml:space="preserve">la</w:t>
      </w:r>
      <w:r>
        <w:rPr>
          <w:bCs/>
          <w:b/>
        </w:rPr>
        <w:t xml:space="preserve"> </w:t>
      </w:r>
      <w:r>
        <w:rPr>
          <w:bCs/>
          <w:b/>
        </w:rPr>
        <w:t xml:space="preserve">estrategia de horizonte pesó unas veinte veces más que la elección de biblioteca</w:t>
      </w:r>
      <w:r>
        <w:t xml:space="preserve">: con la</w:t>
      </w:r>
      <w:r>
        <w:t xml:space="preserve"> </w:t>
      </w:r>
      <w:r>
        <w:t xml:space="preserve">formulación ingenua ningún modelo supera a una media móvil. Una búsqueda de hiperparámetros</w:t>
      </w:r>
      <w:r>
        <w:t xml:space="preserve"> </w:t>
      </w:r>
      <w:r>
        <w:t xml:space="preserve">posterior confirmó que el margen restante no estaba en la configuración del modelo —mejora</w:t>
      </w:r>
      <w:r>
        <w:t xml:space="preserve"> </w:t>
      </w:r>
      <w:r>
        <w:t xml:space="preserve">del −0,02% en WRMSSE—, mientras que</w:t>
      </w:r>
      <w:r>
        <w:t xml:space="preserve"> </w:t>
      </w:r>
      <w:r>
        <w:rPr>
          <w:bCs/>
          <w:b/>
        </w:rPr>
        <w:t xml:space="preserve">reformular el objetivo como el total del ciclo redujo el</w:t>
      </w:r>
      <w:r>
        <w:rPr>
          <w:bCs/>
          <w:b/>
        </w:rPr>
        <w:t xml:space="preserve"> </w:t>
      </w:r>
      <w:r>
        <w:rPr>
          <w:bCs/>
          <w:b/>
        </w:rPr>
        <w:t xml:space="preserve">error un 15,7% y eliminó un sesgo del −7,4%</w:t>
      </w:r>
      <w:r>
        <w:t xml:space="preserve">. Las dos comprobaciones apuntan en la misma</w:t>
      </w:r>
      <w:r>
        <w:t xml:space="preserve"> </w:t>
      </w:r>
      <w:r>
        <w:t xml:space="preserve">dirección: el rendimiento estaba en el planteamiento, no en el modelo.</w:t>
      </w:r>
    </w:p>
    <w:p>
      <w:pPr>
        <w:pStyle w:val="BodyText"/>
      </w:pPr>
      <w:r>
        <w:rPr>
          <w:bCs/>
          <w:b/>
        </w:rPr>
        <w:t xml:space="preserve">OE4 — Los agregados.</w:t>
      </w:r>
      <w:r>
        <w:t xml:space="preserve"> </w:t>
      </w:r>
      <w:r>
        <w:t xml:space="preserve">Sumar es válido y preferible a modelar cada nivel por separado, pero</w:t>
      </w:r>
      <w:r>
        <w:t xml:space="preserve"> </w:t>
      </w:r>
      <w:r>
        <w:t xml:space="preserve">reconciliar con MinT es mejor que sumar: mejora el error en los seis niveles de la jerarquía, de</w:t>
      </w:r>
      <w:r>
        <w:t xml:space="preserve"> </w:t>
      </w:r>
      <w:r>
        <w:t xml:space="preserve">un 15,12% a un 13,71% de error porcentual absoluto medio, y garantiza además la coherencia entre</w:t>
      </w:r>
      <w:r>
        <w:t xml:space="preserve"> </w:t>
      </w:r>
      <w:r>
        <w:t xml:space="preserve">informes.</w:t>
      </w:r>
    </w:p>
    <w:p>
      <w:pPr>
        <w:pStyle w:val="BodyText"/>
      </w:pPr>
      <w:r>
        <w:rPr>
          <w:bCs/>
          <w:b/>
        </w:rPr>
        <w:t xml:space="preserve">OE5 — La política de reposición.</w:t>
      </w:r>
      <w:r>
        <w:t xml:space="preserve"> </w:t>
      </w:r>
      <w:r>
        <w:t xml:space="preserve">La política de partida pierde catorce dólares de margen por</w:t>
      </w:r>
      <w:r>
        <w:t xml:space="preserve"> </w:t>
      </w:r>
      <w:r>
        <w:t xml:space="preserve">cada dólar de inventario inmovilizado. La política propuesta eleva el nivel de servicio del</w:t>
      </w:r>
      <w:r>
        <w:t xml:space="preserve"> </w:t>
      </w:r>
      <w:r>
        <w:t xml:space="preserve">86,3% al 96,0% con una reducción del coste total del 61%. El nivel de servicio óptimo lo decide</w:t>
      </w:r>
      <w:r>
        <w:t xml:space="preserve"> </w:t>
      </w:r>
      <w:r>
        <w:t xml:space="preserve">la merma y no el margen, lo que convierte la medición de la merma por categoría en la</w:t>
      </w:r>
      <w:r>
        <w:t xml:space="preserve"> </w:t>
      </w:r>
      <w:r>
        <w:t xml:space="preserve">recomendación operativa más urgente para la compañía.</w:t>
      </w:r>
    </w:p>
    <w:p>
      <w:pPr>
        <w:pStyle w:val="BodyText"/>
      </w:pPr>
      <w:r>
        <w:t xml:space="preserve">La comparación de candidatos por coste simulado añadió un resultado que no se buscaba:</w:t>
      </w:r>
      <w:r>
        <w:t xml:space="preserve"> </w:t>
      </w:r>
      <w:r>
        <w:rPr>
          <w:bCs/>
          <w:b/>
        </w:rPr>
        <w:t xml:space="preserve">el nivel</w:t>
      </w:r>
      <w:r>
        <w:rPr>
          <w:bCs/>
          <w:b/>
        </w:rPr>
        <w:t xml:space="preserve"> </w:t>
      </w:r>
      <w:r>
        <w:rPr>
          <w:bCs/>
          <w:b/>
        </w:rPr>
        <w:t xml:space="preserve">de servicio del 0,90 aplicado uniformemente resultó ser 2,45 veces más caro</w:t>
      </w:r>
      <w:r>
        <w:t xml:space="preserve"> </w:t>
      </w:r>
      <w:r>
        <w:t xml:space="preserve">que el candidato</w:t>
      </w:r>
      <w:r>
        <w:t xml:space="preserve"> </w:t>
      </w:r>
      <w:r>
        <w:t xml:space="preserve">óptimo, y el ratio crítico correcto para los supuestos centrales es 0,714. El parámetro fijado</w:t>
      </w:r>
      <w:r>
        <w:t xml:space="preserve"> </w:t>
      </w:r>
      <w:r>
        <w:t xml:space="preserve">por convención, y nunca sometido a comprobación, era la decisión más costosa del sistema.</w:t>
      </w:r>
    </w:p>
    <w:p>
      <w:pPr>
        <w:pStyle w:val="BodyText"/>
      </w:pPr>
      <w:r>
        <w:rPr>
          <w:bCs/>
          <w:b/>
        </w:rPr>
        <w:t xml:space="preserve">OE6 — La elasticidad precio.</w:t>
      </w:r>
      <w:r>
        <w:t xml:space="preserve"> </w:t>
      </w:r>
      <w:r>
        <w:t xml:space="preserve">No se puede estimar con estos datos. La especificación habitual</w:t>
      </w:r>
      <w:r>
        <w:t xml:space="preserve"> </w:t>
      </w:r>
      <w:r>
        <w:t xml:space="preserve">da una elasticidad de −0,395 con un estadístico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 −19,3, y una prueba placebo con el precio</w:t>
      </w:r>
      <w:r>
        <w:t xml:space="preserve"> </w:t>
      </w:r>
      <w:r>
        <w:t xml:space="preserve">de la semana siguiente da −0,398. Se propone el experimento aleatorizado que sí permitiría</w:t>
      </w:r>
      <w:r>
        <w:t xml:space="preserve"> </w:t>
      </w:r>
      <w:r>
        <w:t xml:space="preserve">responder, con su cálculo de potencia: 451 series por brazo durante ocho semanas.</w:t>
      </w:r>
    </w:p>
    <w:p>
      <w:pPr>
        <w:pStyle w:val="BodyText"/>
      </w:pPr>
      <w:r>
        <w:rPr>
          <w:bCs/>
          <w:b/>
        </w:rPr>
        <w:t xml:space="preserve">OE7 — La sostenibilidad del sistema.</w:t>
      </w:r>
      <w:r>
        <w:t xml:space="preserve"> </w:t>
      </w:r>
      <w:r>
        <w:t xml:space="preserve">Almacén analítico de tres capas reconstruible en veinte</w:t>
      </w:r>
      <w:r>
        <w:t xml:space="preserve"> </w:t>
      </w:r>
      <w:r>
        <w:t xml:space="preserve">segundos, con las predicciones realimentadas como tabla de hechos y tres consumidores —servicio</w:t>
      </w:r>
      <w:r>
        <w:t xml:space="preserve"> </w:t>
      </w:r>
      <w:r>
        <w:t xml:space="preserve">de reposición, panel interactivo y cuadro de mando— leyendo las mismas tablas.</w:t>
      </w:r>
    </w:p>
    <w:bookmarkEnd w:id="118"/>
    <w:bookmarkStart w:id="119" w:name="X62820460520509d8d7150f3b4a4ff7f7cfe40eb"/>
    <w:p>
      <w:pPr>
        <w:pStyle w:val="Heading3"/>
      </w:pPr>
      <w:r>
        <w:t xml:space="preserve">7.7.2. El hilo conductor: cuatro veces que la evidencia nos contradijo</w:t>
      </w:r>
    </w:p>
    <w:p>
      <w:pPr>
        <w:pStyle w:val="FirstParagraph"/>
      </w:pPr>
      <w:r>
        <w:t xml:space="preserve">Los resultados anteriores son los que el encargo pedía. El resultado del que este trabajo se</w:t>
      </w:r>
      <w:r>
        <w:t xml:space="preserve"> </w:t>
      </w:r>
      <w:r>
        <w:t xml:space="preserve">siente más responsable es otro, y recorre los seis capítulos: en cuatro ocasiones una conclusión</w:t>
      </w:r>
      <w:r>
        <w:t xml:space="preserve"> </w:t>
      </w:r>
      <w:r>
        <w:t xml:space="preserve">o una hipótesis atractiva fue sometida a una prueba que podía refutarla, y la prueba la refutó.</w:t>
      </w:r>
    </w:p>
    <w:p>
      <w:pPr>
        <w:pStyle w:val="BodyText"/>
      </w:pPr>
      <w:r>
        <w:rPr>
          <w:bCs/>
          <w:b/>
        </w:rPr>
        <w:t xml:space="preserve">Primera. Un hallazgo que hubo que aprender a no publicar.</w:t>
      </w:r>
      <w:r>
        <w:t xml:space="preserve"> </w:t>
      </w:r>
      <w:r>
        <w:t xml:space="preserve">Black Friday no mostraba el pico</w:t>
      </w:r>
      <w:r>
        <w:t xml:space="preserve"> </w:t>
      </w:r>
      <w:r>
        <w:t xml:space="preserve">esperado. Era tentador presentarlo como una oportunidad comercial desaprovechada —es un titular</w:t>
      </w:r>
      <w:r>
        <w:t xml:space="preserve"> </w:t>
      </w:r>
      <w:r>
        <w:t xml:space="preserve">atractivo y difícil de contradecir— pero el dato no lo sostenía. Se descartó como evento del</w:t>
      </w:r>
      <w:r>
        <w:t xml:space="preserve"> </w:t>
      </w:r>
      <w:r>
        <w:t xml:space="preserve">calendario. El criterio que se estableció entonces gobierna el resto del documento: un hallazgo</w:t>
      </w:r>
      <w:r>
        <w:t xml:space="preserve"> </w:t>
      </w:r>
      <w:r>
        <w:t xml:space="preserve">que resulta conveniente para la narrativa y que el dato no sostiene no entra.</w:t>
      </w:r>
    </w:p>
    <w:p>
      <w:pPr>
        <w:pStyle w:val="BodyText"/>
      </w:pPr>
      <w:r>
        <w:rPr>
          <w:bCs/>
          <w:b/>
        </w:rPr>
        <w:t xml:space="preserve">Segunda. Una métrica de error no es una métrica de negocio.</w:t>
      </w:r>
      <w:r>
        <w:t xml:space="preserve"> </w:t>
      </w:r>
      <w:r>
        <w:t xml:space="preserve">El capítulo de predicción</w:t>
      </w:r>
      <w:r>
        <w:t xml:space="preserve"> </w:t>
      </w:r>
      <w:r>
        <w:t xml:space="preserve">concluyó, a partir del error, que el modelo servía en el núcleo estable y no en la cola larga.</w:t>
      </w:r>
      <w:r>
        <w:t xml:space="preserve"> </w:t>
      </w:r>
      <w:r>
        <w:t xml:space="preserve">La simulación de la política demostró lo contrario: aporta un 19,3% en la cola larga y resta un</w:t>
      </w:r>
      <w:r>
        <w:t xml:space="preserve"> </w:t>
      </w:r>
      <w:r>
        <w:t xml:space="preserve">7,9% en el núcleo. Elegir la política por el RMSSE habría producido la decisión equivocada en</w:t>
      </w:r>
      <w:r>
        <w:t xml:space="preserve"> </w:t>
      </w:r>
      <w:r>
        <w:t xml:space="preserve">los dos segmentos. La generalización de este hallazgo —que la función de pérdida con la que se</w:t>
      </w:r>
      <w:r>
        <w:t xml:space="preserve"> </w:t>
      </w:r>
      <w:r>
        <w:t xml:space="preserve">elige el modelo debería ser la del negocio, y que esa función coincide con la pérdida pinball</w:t>
      </w:r>
      <w:r>
        <w:t xml:space="preserve"> </w:t>
      </w:r>
      <w:r>
        <w:t xml:space="preserve">evaluada en el ratio crítico— es la aportación metodológica que el trabajo considera más</w:t>
      </w:r>
      <w:r>
        <w:t xml:space="preserve"> </w:t>
      </w:r>
      <w:r>
        <w:t xml:space="preserve">transferible a otros problemas.</w:t>
      </w:r>
    </w:p>
    <w:p>
      <w:pPr>
        <w:pStyle w:val="BodyText"/>
      </w:pPr>
      <w:r>
        <w:rPr>
          <w:bCs/>
          <w:b/>
        </w:rPr>
        <w:t xml:space="preserve">Tercera. Un coeficiente significativo no es una identificación creíble.</w:t>
      </w:r>
      <w:r>
        <w:t xml:space="preserve"> </w:t>
      </w:r>
      <w:r>
        <w:t xml:space="preserve">Una elasticidad de</w:t>
      </w:r>
      <w:r>
        <w:t xml:space="preserve"> </w:t>
      </w:r>
      <w:r>
        <w:t xml:space="preserve">−0,40, con un estadístico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 −19 y una descomposición por arquetipo perfectamente razonable,</w:t>
      </w:r>
      <w:r>
        <w:t xml:space="preserve"> </w:t>
      </w:r>
      <w:r>
        <w:t xml:space="preserve">quedó desmontada por una prueba placebo que cuesta cinco líneas de código. Sin esa prueba, la</w:t>
      </w:r>
      <w:r>
        <w:t xml:space="preserve"> </w:t>
      </w:r>
      <w:r>
        <w:t xml:space="preserve">memoria habría construido una recomendación de precios sobre una correlación espuria.</w:t>
      </w:r>
    </w:p>
    <w:p>
      <w:pPr>
        <w:pStyle w:val="BodyText"/>
      </w:pPr>
      <w:r>
        <w:rPr>
          <w:bCs/>
          <w:b/>
        </w:rPr>
        <w:t xml:space="preserve">Cuarta, y la más barata de todas. Una correlación no es una cesta.</w:t>
      </w:r>
      <w:r>
        <w:t xml:space="preserve"> </w:t>
      </w:r>
      <w:r>
        <w:t xml:space="preserve">La segmentación por</w:t>
      </w:r>
      <w:r>
        <w:t xml:space="preserve"> </w:t>
      </w:r>
      <w:r>
        <w:t xml:space="preserve">comportamiento invitaba a buscar productos que se compraran juntos. Bastó comparar los pares del</w:t>
      </w:r>
      <w:r>
        <w:t xml:space="preserve"> </w:t>
      </w:r>
      <w:r>
        <w:t xml:space="preserve">mismo establecimiento con pares de establecimientos distintos —que no pueden compartir cesta por</w:t>
      </w:r>
      <w:r>
        <w:t xml:space="preserve"> </w:t>
      </w:r>
      <w:r>
        <w:t xml:space="preserve">construcción— para ver que el exceso era del 1,27% frente al 1,00% esperable por azar. La prueba</w:t>
      </w:r>
      <w:r>
        <w:t xml:space="preserve"> </w:t>
      </w:r>
      <w:r>
        <w:t xml:space="preserve">costó dos minutos; sin ella, el trabajo habría publicado como hallazgo unas parejas cuya</w:t>
      </w:r>
      <w:r>
        <w:t xml:space="preserve"> </w:t>
      </w:r>
      <w:r>
        <w:t xml:space="preserve">correlación residual alcanza 0,39 incluso entre tiendas que nunca comparten un cliente.</w:t>
      </w:r>
    </w:p>
    <w:p>
      <w:pPr>
        <w:pStyle w:val="BodyText"/>
      </w:pPr>
      <w:r>
        <w:t xml:space="preserve">Los cuatro casos comparten estructura: una conclusión atractiva, una prueba barata que podía</w:t>
      </w:r>
      <w:r>
        <w:t xml:space="preserve"> </w:t>
      </w:r>
      <w:r>
        <w:t xml:space="preserve">tumbarla, y la decisión de ejecutar la prueba antes de escribir la conclusión. Es lo que</w:t>
      </w:r>
      <w:r>
        <w:t xml:space="preserve"> </w:t>
      </w:r>
      <w:r>
        <w:t xml:space="preserve">distingue un análisis de una presentación de resultados.</w:t>
      </w:r>
    </w:p>
    <w:bookmarkEnd w:id="119"/>
    <w:bookmarkStart w:id="120" w:name="limitaciones"/>
    <w:p>
      <w:pPr>
        <w:pStyle w:val="Heading3"/>
      </w:pPr>
      <w:r>
        <w:t xml:space="preserve">7.7.3. Limitaciones</w:t>
      </w:r>
    </w:p>
    <w:p>
      <w:pPr>
        <w:pStyle w:val="FirstParagraph"/>
      </w:pPr>
      <w:r>
        <w:t xml:space="preserve">Se enumeran las que afectan a la validez de las conclusiones, ordenadas por importancia.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 demanda está censurada y no se dispone del inventario real.</w:t>
      </w:r>
      <w:r>
        <w:t xml:space="preserve"> </w:t>
      </w:r>
      <w:r>
        <w:t xml:space="preserve">Las ventas registradas no</w:t>
      </w:r>
      <w:r>
        <w:t xml:space="preserve"> </w:t>
      </w:r>
      <w:r>
        <w:t xml:space="preserve">son la demanda: un cero puede corresponder a ausencia de demanda o a ausencia de producto, y</w:t>
      </w:r>
      <w:r>
        <w:t xml:space="preserve"> </w:t>
      </w:r>
      <w:r>
        <w:t xml:space="preserve">estos datos no los distinguen. El sesgo recorre todo el trabajo —el modelo predice por debajo,</w:t>
      </w:r>
      <w:r>
        <w:t xml:space="preserve"> </w:t>
      </w:r>
      <w:r>
        <w:t xml:space="preserve">la simulación infravalora el coste de la rotura— y no es corregible sin datos de inventario,</w:t>
      </w:r>
      <w:r>
        <w:t xml:space="preserve"> </w:t>
      </w:r>
      <w:r>
        <w:t xml:space="preserve">solo acotable (§7.4.7). Su dirección es conocida y favorable: sobre el período simulado, el</w:t>
      </w:r>
      <w:r>
        <w:t xml:space="preserve"> </w:t>
      </w:r>
      <w:r>
        <w:t xml:space="preserve">coste real de la rotura se sitúa entre 183.678 y 335.377 dólares frente a los 161.353</w:t>
      </w:r>
      <w:r>
        <w:t xml:space="preserve"> </w:t>
      </w:r>
      <w:r>
        <w:t xml:space="preserve">medidos, de modo que</w:t>
      </w:r>
      <w:r>
        <w:t xml:space="preserve"> </w:t>
      </w:r>
      <w:r>
        <w:rPr>
          <w:bCs/>
          <w:b/>
        </w:rPr>
        <w:t xml:space="preserve">todas las cifras de coste de rotura presentadas son conservadoras</w:t>
      </w:r>
      <w:r>
        <w:t xml:space="preserve"> </w:t>
      </w:r>
      <w:r>
        <w:t xml:space="preserve">y</w:t>
      </w:r>
      <w:r>
        <w:t xml:space="preserve"> </w:t>
      </w:r>
      <w:r>
        <w:t xml:space="preserve">la asimetría frente al coste de mantenimiento pasa de catorce a uno a situarse entre dieciséis</w:t>
      </w:r>
      <w:r>
        <w:t xml:space="preserve"> </w:t>
      </w:r>
      <w:r>
        <w:t xml:space="preserve">y veintinueve a uno. Además, toda la evaluación de la política se apoya en una</w:t>
      </w:r>
      <w:r>
        <w:t xml:space="preserve"> </w:t>
      </w:r>
      <w:r>
        <w:t xml:space="preserve">simulación y no en su aplicación: la cifra de ahorro del 61% es el resultado de un modelo de</w:t>
      </w:r>
      <w:r>
        <w:t xml:space="preserve"> </w:t>
      </w:r>
      <w:r>
        <w:t xml:space="preserve">costes, no una medición.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Los parámetros económicos son supuestos.</w:t>
      </w:r>
      <w:r>
        <w:t xml:space="preserve"> </w:t>
      </w:r>
      <w:r>
        <w:t xml:space="preserve">Margen, coste de posesión y merma no fueron</w:t>
      </w:r>
      <w:r>
        <w:t xml:space="preserve"> </w:t>
      </w:r>
      <w:r>
        <w:t xml:space="preserve">facilitados por la compañía. Las conclusiones sobre el nivel de servicio óptimo son</w:t>
      </w:r>
      <w:r>
        <w:t xml:space="preserve"> </w:t>
      </w:r>
      <w:r>
        <w:t xml:space="preserve">condicionales a esos supuestos, y por eso se presentan como una curva y no como un número.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hay efecto de sustitución.</w:t>
      </w:r>
      <w:r>
        <w:t xml:space="preserve"> </w:t>
      </w:r>
      <w:r>
        <w:t xml:space="preserve">Cada serie se trata de forma independiente. La rotura de un</w:t>
      </w:r>
      <w:r>
        <w:t xml:space="preserve"> </w:t>
      </w:r>
      <w:r>
        <w:t xml:space="preserve">producto probablemente desplaza demanda hacia otro, y ese efecto no está modelado.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Los datos composicionales se trataron con distancia euclídea.</w:t>
      </w:r>
      <w:r>
        <w:t xml:space="preserve"> </w:t>
      </w:r>
      <w:r>
        <w:t xml:space="preserve">Los perfiles semanales y</w:t>
      </w:r>
      <w:r>
        <w:t xml:space="preserve"> </w:t>
      </w:r>
      <w:r>
        <w:t xml:space="preserve">mensuales de la segmentación suman uno por construcción y su tratamiento riguroso exigiría una</w:t>
      </w:r>
      <w:r>
        <w:t xml:space="preserve"> </w:t>
      </w:r>
      <w:r>
        <w:t xml:space="preserve">transformación previa de razones logarítmicas.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 ventana de entrenamiento no cubre un ciclo anual completo.</w:t>
      </w:r>
      <w:r>
        <w:t xml:space="preserve"> </w:t>
      </w:r>
      <w:r>
        <w:t xml:space="preserve">Es la causa directa del peor</w:t>
      </w:r>
      <w:r>
        <w:t xml:space="preserve"> </w:t>
      </w:r>
      <w:r>
        <w:t xml:space="preserve">fallo del modelo, la temporada alta de diciembre.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El calendario de eventos es el proporcionado.</w:t>
      </w:r>
      <w:r>
        <w:t xml:space="preserve"> </w:t>
      </w:r>
      <w:r>
        <w:t xml:space="preserve">No se dispone de promociones planificadas ni</w:t>
      </w:r>
      <w:r>
        <w:t xml:space="preserve"> </w:t>
      </w:r>
      <w:r>
        <w:t xml:space="preserve">de acciones de la competencia, que son determinantes conocidos de la demanda minorista.</w:t>
      </w:r>
    </w:p>
    <w:bookmarkEnd w:id="120"/>
    <w:bookmarkStart w:id="121" w:name="trabajo-futuro"/>
    <w:p>
      <w:pPr>
        <w:pStyle w:val="Heading3"/>
      </w:pPr>
      <w:r>
        <w:t xml:space="preserve">7.7.4. Trabajo futuro</w:t>
      </w:r>
    </w:p>
    <w:p>
      <w:pPr>
        <w:pStyle w:val="FirstParagraph"/>
      </w:pPr>
      <w:r>
        <w:t xml:space="preserve">Ordenado por retorno esperado y no por sofisticación técnica, que es la conclusión práctica más</w:t>
      </w:r>
      <w:r>
        <w:t xml:space="preserve"> </w:t>
      </w:r>
      <w:r>
        <w:t xml:space="preserve">útil que deja el trabajo.</w:t>
      </w:r>
    </w:p>
    <w:p>
      <w:pPr>
        <w:pStyle w:val="BodyText"/>
      </w:pPr>
      <w:r>
        <w:rPr>
          <w:bCs/>
          <w:b/>
        </w:rPr>
        <w:t xml:space="preserve">Recalibrar el nivel de servicio por segmento con el ratio crítico.</w:t>
      </w:r>
      <w:r>
        <w:t xml:space="preserve"> </w:t>
      </w:r>
      <w:r>
        <w:t xml:space="preserve">Es la consecuencia</w:t>
      </w:r>
      <w:r>
        <w:t xml:space="preserve"> </w:t>
      </w:r>
      <w:r>
        <w:t xml:space="preserve">inmediata de §7.4.5 y la de mayor efecto económico medido: sustituir el 0,90 uniforme por el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que corresponde a la economía de cada producto. Requiere el dato de merma por</w:t>
      </w:r>
      <w:r>
        <w:t xml:space="preserve"> </w:t>
      </w:r>
      <w:r>
        <w:t xml:space="preserve">categoría, que es también la primera recomendación de este trabajo.</w:t>
      </w:r>
    </w:p>
    <w:p>
      <w:pPr>
        <w:pStyle w:val="BodyText"/>
      </w:pPr>
      <w:r>
        <w:rPr>
          <w:bCs/>
          <w:b/>
        </w:rPr>
        <w:t xml:space="preserve">Adoptar el modelo del total del ciclo.</w:t>
      </w:r>
      <w:r>
        <w:t xml:space="preserve"> </w:t>
      </w:r>
      <w:r>
        <w:t xml:space="preserve">La reformulación de §7.3.9 está validada y no se ha</w:t>
      </w:r>
      <w:r>
        <w:t xml:space="preserve"> </w:t>
      </w:r>
      <w:r>
        <w:t xml:space="preserve">incorporado a la política, que sigue sumando predicciones diarias. Integrarla es trabajo de</w:t>
      </w:r>
      <w:r>
        <w:t xml:space="preserve"> </w:t>
      </w:r>
      <w:r>
        <w:t xml:space="preserve">ingeniería, no de investigación.</w:t>
      </w:r>
    </w:p>
    <w:p>
      <w:pPr>
        <w:pStyle w:val="BodyText"/>
      </w:pPr>
      <w:r>
        <w:rPr>
          <w:bCs/>
          <w:b/>
        </w:rPr>
        <w:t xml:space="preserve">Métodos específicos para demanda intermitente.</w:t>
      </w:r>
      <w:r>
        <w:t xml:space="preserve"> </w:t>
      </w:r>
      <w:r>
        <w:t xml:space="preserve">La cola larga sigue siendo el segmento donde</w:t>
      </w:r>
      <w:r>
        <w:t xml:space="preserve"> </w:t>
      </w:r>
      <w:r>
        <w:t xml:space="preserve">el enfoque general aporta menos, y la comparación de §7.4.5 lo confirma por otra vía: en el</w:t>
      </w:r>
      <w:r>
        <w:t xml:space="preserve"> </w:t>
      </w:r>
      <w:r>
        <w:t xml:space="preserve">segmento CZ la media móvil simple supera al modelo.</w:t>
      </w:r>
    </w:p>
    <w:p>
      <w:pPr>
        <w:pStyle w:val="BodyText"/>
      </w:pPr>
      <w:r>
        <w:rPr>
          <w:bCs/>
          <w:b/>
        </w:rPr>
        <w:t xml:space="preserve">Predicción de productos sin histórico.</w:t>
      </w:r>
      <w:r>
        <w:t xml:space="preserve"> </w:t>
      </w:r>
      <w:r>
        <w:t xml:space="preserve">Una referencia nueva llega al lineal sin retardos ni</w:t>
      </w:r>
      <w:r>
        <w:t xml:space="preserve"> </w:t>
      </w:r>
      <w:r>
        <w:t xml:space="preserve">medias móviles, es decir sin el 88% de la información que usa el modelo, y es justo el momento en</w:t>
      </w:r>
      <w:r>
        <w:t xml:space="preserve"> </w:t>
      </w:r>
      <w:r>
        <w:t xml:space="preserve">que un error de dimensionamiento resulta más caro. La vía natural es predecir su nivel de demanda</w:t>
      </w:r>
      <w:r>
        <w:t xml:space="preserve"> </w:t>
      </w:r>
      <w:r>
        <w:t xml:space="preserve">a partir de sus atributos y del comportamiento de la misma referencia en la tienda más parecida,</w:t>
      </w:r>
      <w:r>
        <w:t xml:space="preserve"> </w:t>
      </w:r>
      <w:r>
        <w:t xml:space="preserve">lo que da un uso operativo a los grupos de tienda de §7.2.</w:t>
      </w:r>
    </w:p>
    <w:p>
      <w:pPr>
        <w:pStyle w:val="BodyText"/>
      </w:pPr>
      <w:r>
        <w:rPr>
          <w:bCs/>
          <w:b/>
        </w:rPr>
        <w:t xml:space="preserve">Revisión del surtido.</w:t>
      </w:r>
      <w:r>
        <w:t xml:space="preserve"> </w:t>
      </w:r>
      <w:r>
        <w:t xml:space="preserve">La celda CZ de la matriz ABC/XYZ concentra cerca del 28% del catálogo</w:t>
      </w:r>
      <w:r>
        <w:t xml:space="preserve"> </w:t>
      </w:r>
      <w:r>
        <w:t xml:space="preserve">por el 3,5% de la facturación. La política de reposición da el surtido por dado; la pregunta de</w:t>
      </w:r>
      <w:r>
        <w:t xml:space="preserve"> </w:t>
      </w:r>
      <w:r>
        <w:t xml:space="preserve">qué referencias conviene mantener queda abierta y es respondible con los datos disponibles,</w:t>
      </w:r>
      <w:r>
        <w:t xml:space="preserve"> </w:t>
      </w:r>
      <w:r>
        <w:t xml:space="preserve">siempre que el criterio incorpore los frenos adecuados —no retirar la última referencia de un</w:t>
      </w:r>
      <w:r>
        <w:t xml:space="preserve"> </w:t>
      </w:r>
      <w:r>
        <w:t xml:space="preserve">departamento en una tienda, ni la que en esa tienda concreta rota mejor que en el resto de la</w:t>
      </w:r>
      <w:r>
        <w:t xml:space="preserve"> </w:t>
      </w:r>
      <w:r>
        <w:t xml:space="preserve">red.</w:t>
      </w:r>
    </w:p>
    <w:p>
      <w:pPr>
        <w:pStyle w:val="BodyText"/>
      </w:pPr>
      <w:r>
        <w:rPr>
          <w:bCs/>
          <w:b/>
        </w:rPr>
        <w:t xml:space="preserve">El experimento de precios.</w:t>
      </w:r>
      <w:r>
        <w:t xml:space="preserve"> </w:t>
      </w:r>
      <w:r>
        <w:t xml:space="preserve">Es la única vía para responder la pregunta del capítulo §7.5, y</w:t>
      </w:r>
      <w:r>
        <w:t xml:space="preserve"> </w:t>
      </w:r>
      <w:r>
        <w:t xml:space="preserve">su diseño y dimensionamiento ya están calculados.</w:t>
      </w:r>
    </w:p>
    <w:p>
      <w:pPr>
        <w:pStyle w:val="BodyText"/>
      </w:pPr>
      <w:r>
        <w:rPr>
          <w:bCs/>
          <w:b/>
        </w:rPr>
        <w:t xml:space="preserve">Registrar la decisión final del encargado.</w:t>
      </w:r>
      <w:r>
        <w:t xml:space="preserve"> </w:t>
      </w:r>
      <w:r>
        <w:t xml:space="preserve">Es el dato que falta para medir si el sistema</w:t>
      </w:r>
      <w:r>
        <w:t xml:space="preserve"> </w:t>
      </w:r>
      <w:r>
        <w:t xml:space="preserve">sirve, y el que convertiría el proyecto en un sistema que aprende.</w:t>
      </w:r>
    </w:p>
    <w:p>
      <w:pPr>
        <w:pStyle w:val="BodyText"/>
      </w:pPr>
      <w:r>
        <w:rPr>
          <w:bCs/>
          <w:b/>
        </w:rPr>
        <w:t xml:space="preserve">Incorporar el inventario diario al registro.</w:t>
      </w:r>
      <w:r>
        <w:t xml:space="preserve"> </w:t>
      </w:r>
      <w:r>
        <w:t xml:space="preserve">Es el dato que convertiría las cotas de §7.4.7 en</w:t>
      </w:r>
      <w:r>
        <w:t xml:space="preserve"> </w:t>
      </w:r>
      <w:r>
        <w:t xml:space="preserve">una medición, permitiría entrenar los modelos sobre demanda no censurada y cerraría la limitación</w:t>
      </w:r>
      <w:r>
        <w:t xml:space="preserve"> </w:t>
      </w:r>
      <w:r>
        <w:t xml:space="preserve">principal del trabajo. Después de medir la merma, es la recomendación de mayor valor para la</w:t>
      </w:r>
      <w:r>
        <w:t xml:space="preserve"> </w:t>
      </w:r>
      <w:r>
        <w:t xml:space="preserve">compañía.</w:t>
      </w:r>
    </w:p>
    <w:p>
      <w:pPr>
        <w:pStyle w:val="BodyText"/>
      </w:pPr>
      <w:r>
        <w:rPr>
          <w:bCs/>
          <w:b/>
        </w:rPr>
        <w:t xml:space="preserve">Alternativas evaluadas y descartadas.</w:t>
      </w:r>
      <w:r>
        <w:t xml:space="preserve"> </w:t>
      </w:r>
      <w:r>
        <w:t xml:space="preserve">Se documentan aquí porque distinguen un trabajo que</w:t>
      </w:r>
      <w:r>
        <w:t xml:space="preserve"> </w:t>
      </w:r>
      <w:r>
        <w:t xml:space="preserve">exploró el espacio de soluciones de uno que se detuvo en la primera opción que funcionó. La</w:t>
      </w:r>
      <w:r>
        <w:t xml:space="preserve"> </w:t>
      </w:r>
      <w:r>
        <w:rPr>
          <w:bCs/>
          <w:b/>
        </w:rPr>
        <w:t xml:space="preserve">búsqueda de hiperparámetros</w:t>
      </w:r>
      <w:r>
        <w:t xml:space="preserve"> </w:t>
      </w:r>
      <w:r>
        <w:t xml:space="preserve">se ejecutó y no mejoró el modelo (−0,02% en WRMSSE): la</w:t>
      </w:r>
      <w:r>
        <w:t xml:space="preserve"> </w:t>
      </w:r>
      <w:r>
        <w:t xml:space="preserve">configuración estaba en una zona plana. La</w:t>
      </w:r>
      <w:r>
        <w:t xml:space="preserve"> </w:t>
      </w:r>
      <w:r>
        <w:rPr>
          <w:bCs/>
          <w:b/>
        </w:rPr>
        <w:t xml:space="preserve">predicción conforme</w:t>
      </w:r>
      <w:r>
        <w:t xml:space="preserve"> </w:t>
      </w:r>
      <w:r>
        <w:t xml:space="preserve">se ejecutó y confirmó que el</w:t>
      </w:r>
      <w:r>
        <w:t xml:space="preserve"> </w:t>
      </w:r>
      <w:r>
        <w:t xml:space="preserve">intervalo ya estaba bien calibrado, aportando garantía formal pero no rendimiento. El</w:t>
      </w:r>
      <w:r>
        <w:t xml:space="preserve"> </w:t>
      </w:r>
      <w:r>
        <w:rPr>
          <w:bCs/>
          <w:b/>
        </w:rPr>
        <w:t xml:space="preserve">análisis</w:t>
      </w:r>
      <w:r>
        <w:rPr>
          <w:bCs/>
          <w:b/>
        </w:rPr>
        <w:t xml:space="preserve"> </w:t>
      </w:r>
      <w:r>
        <w:rPr>
          <w:bCs/>
          <w:b/>
        </w:rPr>
        <w:t xml:space="preserve">de afinidad entre productos</w:t>
      </w:r>
      <w:r>
        <w:t xml:space="preserve"> </w:t>
      </w:r>
      <w:r>
        <w:t xml:space="preserve">se ejecutó y no encontró señal por encima del ruido. Y quedan</w:t>
      </w:r>
      <w:r>
        <w:t xml:space="preserve"> </w:t>
      </w:r>
      <w:r>
        <w:t xml:space="preserve">descartadas sin ejecutar, por diagnóstico previo, las</w:t>
      </w:r>
      <w:r>
        <w:t xml:space="preserve"> </w:t>
      </w:r>
      <w:r>
        <w:rPr>
          <w:bCs/>
          <w:b/>
        </w:rPr>
        <w:t xml:space="preserve">arquitecturas neuronales genéricas</w:t>
      </w:r>
      <w:r>
        <w:t xml:space="preserve">,</w:t>
      </w:r>
      <w:r>
        <w:t xml:space="preserve"> </w:t>
      </w:r>
      <w:r>
        <w:t xml:space="preserve">superadas por los ensambles de árboles en problemas de esta estructura, y un</w:t>
      </w:r>
      <w:r>
        <w:t xml:space="preserve"> </w:t>
      </w:r>
      <w:r>
        <w:rPr>
          <w:bCs/>
          <w:b/>
        </w:rPr>
        <w:t xml:space="preserve">modelo de mayor</w:t>
      </w:r>
      <w:r>
        <w:rPr>
          <w:bCs/>
          <w:b/>
        </w:rPr>
        <w:t xml:space="preserve"> </w:t>
      </w:r>
      <w:r>
        <w:rPr>
          <w:bCs/>
          <w:b/>
        </w:rPr>
        <w:t xml:space="preserve">capacidad</w:t>
      </w:r>
      <w:r>
        <w:t xml:space="preserve">, dado que la media móvil de 28 días concentra el 71,7% de la importancia y el techo</w:t>
      </w:r>
      <w:r>
        <w:t xml:space="preserve"> </w:t>
      </w:r>
      <w:r>
        <w:t xml:space="preserve">lo pone el ruido de la serie.</w:t>
      </w:r>
      <w:r>
        <w:t xml:space="preserve"> </w:t>
      </w:r>
      <w:r>
        <w:t xml:space="preserve"># 8. Referencias</w:t>
      </w:r>
    </w:p>
    <w:p>
      <w:pPr>
        <w:pStyle w:val="BlockText"/>
      </w:pPr>
      <w:r>
        <w:rPr>
          <w:bCs/>
          <w:b/>
        </w:rPr>
        <w:t xml:space="preserve">Nota para el equipo.</w:t>
      </w:r>
      <w:r>
        <w:t xml:space="preserve"> </w:t>
      </w:r>
      <w:r>
        <w:t xml:space="preserve">Las referencias siguen formato APA 7.ª edición. Antes de la entrega</w:t>
      </w:r>
      <w:r>
        <w:t xml:space="preserve"> </w:t>
      </w:r>
      <w:r>
        <w:t xml:space="preserve">conviene verificar volumen, número y páginas de las cuatro marcadas con [v] contra la fuente</w:t>
      </w:r>
      <w:r>
        <w:t xml:space="preserve"> </w:t>
      </w:r>
      <w:r>
        <w:t xml:space="preserve">original, y añadir el DOI a todas las que lo tengan.</w:t>
      </w:r>
    </w:p>
    <w:p>
      <w:pPr>
        <w:pStyle w:val="FirstParagraph"/>
      </w:pPr>
      <w:r>
        <w:t xml:space="preserve">Aitchison, J. (1982). The statistical analysis of compositional data.</w:t>
      </w:r>
      <w:r>
        <w:t xml:space="preserve"> </w:t>
      </w:r>
      <w:r>
        <w:rPr>
          <w:iCs/>
          <w:i/>
        </w:rPr>
        <w:t xml:space="preserve">Journal of the Royal</w:t>
      </w:r>
      <w:r>
        <w:rPr>
          <w:iCs/>
          <w:i/>
        </w:rPr>
        <w:t xml:space="preserve"> </w:t>
      </w:r>
      <w:r>
        <w:rPr>
          <w:iCs/>
          <w:i/>
        </w:rPr>
        <w:t xml:space="preserve">Statistical Society: Series B (Methodological), 44</w:t>
      </w:r>
      <w:r>
        <w:t xml:space="preserve">(2), 139–177.</w:t>
      </w:r>
    </w:p>
    <w:p>
      <w:pPr>
        <w:pStyle w:val="BodyText"/>
      </w:pPr>
      <w:r>
        <w:t xml:space="preserve">Angrist, J. D., &amp; Pischke, J.-S. (2009).</w:t>
      </w:r>
      <w:r>
        <w:t xml:space="preserve"> </w:t>
      </w:r>
      <w:r>
        <w:rPr>
          <w:iCs/>
          <w:i/>
        </w:rPr>
        <w:t xml:space="preserve">Mostly harmless econometrics: An empiricist’s</w:t>
      </w:r>
      <w:r>
        <w:rPr>
          <w:iCs/>
          <w:i/>
        </w:rPr>
        <w:t xml:space="preserve"> </w:t>
      </w:r>
      <w:r>
        <w:rPr>
          <w:iCs/>
          <w:i/>
        </w:rPr>
        <w:t xml:space="preserve">companion</w:t>
      </w:r>
      <w:r>
        <w:t xml:space="preserve">. Princeton University Press.</w:t>
      </w:r>
    </w:p>
    <w:p>
      <w:pPr>
        <w:pStyle w:val="BodyText"/>
      </w:pPr>
      <w:r>
        <w:t xml:space="preserve">Armbrust, M., Ghodsi, A., Xin, R., &amp; Zaharia, M. (2021). Lakehouse: A new generation of open</w:t>
      </w:r>
      <w:r>
        <w:t xml:space="preserve"> </w:t>
      </w:r>
      <w:r>
        <w:t xml:space="preserve">platforms that unify data warehousing and advanced analytics.</w:t>
      </w:r>
      <w:r>
        <w:t xml:space="preserve"> </w:t>
      </w:r>
      <w:r>
        <w:rPr>
          <w:iCs/>
          <w:i/>
        </w:rPr>
        <w:t xml:space="preserve">Proceedings of the 11th Conference</w:t>
      </w:r>
      <w:r>
        <w:rPr>
          <w:iCs/>
          <w:i/>
        </w:rPr>
        <w:t xml:space="preserve"> </w:t>
      </w:r>
      <w:r>
        <w:rPr>
          <w:iCs/>
          <w:i/>
        </w:rPr>
        <w:t xml:space="preserve">on Innovative Data Systems Research (CIDR)</w:t>
      </w:r>
      <w:r>
        <w:t xml:space="preserve">.</w:t>
      </w:r>
    </w:p>
    <w:p>
      <w:pPr>
        <w:pStyle w:val="BodyText"/>
      </w:pPr>
      <w:r>
        <w:t xml:space="preserve">Arrow, K. J., Harris, T., &amp; Marschak, J. (1951). Optimal inventory policy.</w:t>
      </w:r>
      <w:r>
        <w:t xml:space="preserve"> </w:t>
      </w:r>
      <w:r>
        <w:rPr>
          <w:iCs/>
          <w:i/>
        </w:rPr>
        <w:t xml:space="preserve">Econometrica, 19</w:t>
      </w:r>
      <w:r>
        <w:t xml:space="preserve">(3),</w:t>
      </w:r>
      <w:r>
        <w:t xml:space="preserve"> </w:t>
      </w:r>
      <w:r>
        <w:t xml:space="preserve">250–272.</w:t>
      </w:r>
    </w:p>
    <w:p>
      <w:pPr>
        <w:pStyle w:val="BodyText"/>
      </w:pPr>
      <w:r>
        <w:t xml:space="preserve">Berry, S., Levinsohn, J., &amp; Pakes, A. (1995). Automobile prices in market equilibrium.</w:t>
      </w:r>
      <w:r>
        <w:t xml:space="preserve"> </w:t>
      </w:r>
      <w:r>
        <w:rPr>
          <w:iCs/>
          <w:i/>
        </w:rPr>
        <w:t xml:space="preserve">Econometrica, 63</w:t>
      </w:r>
      <w:r>
        <w:t xml:space="preserve">(4), 841–890.</w:t>
      </w:r>
    </w:p>
    <w:p>
      <w:pPr>
        <w:pStyle w:val="BodyText"/>
      </w:pPr>
      <w:r>
        <w:t xml:space="preserve">Bijmolt, T. H. A., van Heerde, H. J., &amp; Pieters, R. G. M. (2005). New empirical generalizations</w:t>
      </w:r>
      <w:r>
        <w:t xml:space="preserve"> </w:t>
      </w:r>
      <w:r>
        <w:t xml:space="preserve">on the determinants of price elasticity.</w:t>
      </w:r>
      <w:r>
        <w:t xml:space="preserve"> </w:t>
      </w:r>
      <w:r>
        <w:rPr>
          <w:iCs/>
          <w:i/>
        </w:rPr>
        <w:t xml:space="preserve">Journal of Marketing Research, 42</w:t>
      </w:r>
      <w:r>
        <w:t xml:space="preserve">(2), 141–156. [v]</w:t>
      </w:r>
    </w:p>
    <w:p>
      <w:pPr>
        <w:pStyle w:val="BodyText"/>
      </w:pPr>
      <w:r>
        <w:t xml:space="preserve">Caliński, T., &amp; Harabasz, J. (1974). A dendrite method for cluster analysis.</w:t>
      </w:r>
      <w:r>
        <w:t xml:space="preserve"> </w:t>
      </w:r>
      <w:r>
        <w:rPr>
          <w:iCs/>
          <w:i/>
        </w:rPr>
        <w:t xml:space="preserve">Communications in</w:t>
      </w:r>
      <w:r>
        <w:rPr>
          <w:iCs/>
          <w:i/>
        </w:rPr>
        <w:t xml:space="preserve"> </w:t>
      </w:r>
      <w:r>
        <w:rPr>
          <w:iCs/>
          <w:i/>
        </w:rPr>
        <w:t xml:space="preserve">Statistics, 3</w:t>
      </w:r>
      <w:r>
        <w:t xml:space="preserve">(1), 1–27.</w:t>
      </w:r>
    </w:p>
    <w:p>
      <w:pPr>
        <w:pStyle w:val="BodyText"/>
      </w:pPr>
      <w:r>
        <w:t xml:space="preserve">Chen, T., &amp; Guestrin, C. (2016). XGBoost: A scalable tree boosting system.</w:t>
      </w:r>
      <w:r>
        <w:t xml:space="preserve"> </w:t>
      </w:r>
      <w:r>
        <w:rPr>
          <w:iCs/>
          <w:i/>
        </w:rPr>
        <w:t xml:space="preserve">Proceedings of the</w:t>
      </w:r>
      <w:r>
        <w:rPr>
          <w:iCs/>
          <w:i/>
        </w:rPr>
        <w:t xml:space="preserve"> </w:t>
      </w:r>
      <w:r>
        <w:rPr>
          <w:iCs/>
          <w:i/>
        </w:rPr>
        <w:t xml:space="preserve">22nd ACM SIGKDD International Conference on Knowledge Discovery and Data Mining</w:t>
      </w:r>
      <w:r>
        <w:t xml:space="preserve">, 785–794.</w:t>
      </w:r>
    </w:p>
    <w:p>
      <w:pPr>
        <w:pStyle w:val="BodyText"/>
      </w:pPr>
      <w:r>
        <w:t xml:space="preserve">Correia, S. (2017).</w:t>
      </w:r>
      <w:r>
        <w:t xml:space="preserve"> </w:t>
      </w:r>
      <w:r>
        <w:rPr>
          <w:iCs/>
          <w:i/>
        </w:rPr>
        <w:t xml:space="preserve">A feasible estimator for linear models with multi-way fixed effects</w:t>
      </w:r>
      <w:r>
        <w:t xml:space="preserve"> </w:t>
      </w:r>
      <w:r>
        <w:t xml:space="preserve">[Working paper].</w:t>
      </w:r>
    </w:p>
    <w:p>
      <w:pPr>
        <w:pStyle w:val="BodyText"/>
      </w:pPr>
      <w:r>
        <w:t xml:space="preserve">Croston, J. D. (1972). Forecasting and stock control for intermittent demands.</w:t>
      </w:r>
      <w:r>
        <w:t xml:space="preserve"> </w:t>
      </w:r>
      <w:r>
        <w:rPr>
          <w:iCs/>
          <w:i/>
        </w:rPr>
        <w:t xml:space="preserve">Operational</w:t>
      </w:r>
      <w:r>
        <w:rPr>
          <w:iCs/>
          <w:i/>
        </w:rPr>
        <w:t xml:space="preserve"> </w:t>
      </w:r>
      <w:r>
        <w:rPr>
          <w:iCs/>
          <w:i/>
        </w:rPr>
        <w:t xml:space="preserve">Research Quarterly, 23</w:t>
      </w:r>
      <w:r>
        <w:t xml:space="preserve">(3), 289–303.</w:t>
      </w:r>
    </w:p>
    <w:p>
      <w:pPr>
        <w:pStyle w:val="BodyText"/>
      </w:pPr>
      <w:r>
        <w:t xml:space="preserve">Davies, D. L., &amp; Bouldin, D. W. (1979). A cluster separation measure.</w:t>
      </w:r>
      <w:r>
        <w:t xml:space="preserve"> </w:t>
      </w:r>
      <w:r>
        <w:rPr>
          <w:iCs/>
          <w:i/>
        </w:rPr>
        <w:t xml:space="preserve">IEEE Transactions on</w:t>
      </w:r>
      <w:r>
        <w:rPr>
          <w:iCs/>
          <w:i/>
        </w:rPr>
        <w:t xml:space="preserve"> </w:t>
      </w:r>
      <w:r>
        <w:rPr>
          <w:iCs/>
          <w:i/>
        </w:rPr>
        <w:t xml:space="preserve">Pattern Analysis and Machine Intelligence, PAMI-1</w:t>
      </w:r>
      <w:r>
        <w:t xml:space="preserve">(2), 224–227.</w:t>
      </w:r>
    </w:p>
    <w:p>
      <w:pPr>
        <w:pStyle w:val="BodyText"/>
      </w:pPr>
      <w:r>
        <w:t xml:space="preserve">Frisch, R., &amp; Waugh, F. V. (1933). Partial time regressions as compared with individual trends.</w:t>
      </w:r>
      <w:r>
        <w:t xml:space="preserve"> </w:t>
      </w:r>
      <w:r>
        <w:rPr>
          <w:iCs/>
          <w:i/>
        </w:rPr>
        <w:t xml:space="preserve">Econometrica, 1</w:t>
      </w:r>
      <w:r>
        <w:t xml:space="preserve">(4), 387–401.</w:t>
      </w:r>
    </w:p>
    <w:p>
      <w:pPr>
        <w:pStyle w:val="BodyText"/>
      </w:pPr>
      <w:r>
        <w:t xml:space="preserve">Gneiting, T., &amp; Raftery, A. E. (2007). Strictly proper scoring rules, prediction, and estimation.</w:t>
      </w:r>
      <w:r>
        <w:t xml:space="preserve"> </w:t>
      </w:r>
      <w:r>
        <w:rPr>
          <w:iCs/>
          <w:i/>
        </w:rPr>
        <w:t xml:space="preserve">Journal of the American Statistical Association, 102</w:t>
      </w:r>
      <w:r>
        <w:t xml:space="preserve">(477), 359–378.</w:t>
      </w:r>
    </w:p>
    <w:p>
      <w:pPr>
        <w:pStyle w:val="BodyText"/>
      </w:pPr>
      <w:r>
        <w:t xml:space="preserve">Guimarães, P., &amp; Portugal, P. (2010). A simple feasible procedure to fit models with</w:t>
      </w:r>
      <w:r>
        <w:t xml:space="preserve"> </w:t>
      </w:r>
      <w:r>
        <w:t xml:space="preserve">high-dimensional fixed effects.</w:t>
      </w:r>
      <w:r>
        <w:t xml:space="preserve"> </w:t>
      </w:r>
      <w:r>
        <w:rPr>
          <w:iCs/>
          <w:i/>
        </w:rPr>
        <w:t xml:space="preserve">The Stata Journal, 10</w:t>
      </w:r>
      <w:r>
        <w:t xml:space="preserve">(4), 628–649.</w:t>
      </w:r>
    </w:p>
    <w:p>
      <w:pPr>
        <w:pStyle w:val="BodyText"/>
      </w:pPr>
      <w:r>
        <w:t xml:space="preserve">Gruen, T. W., Corsten, D. S., &amp; Bharadwaj, S. (2002).</w:t>
      </w:r>
      <w:r>
        <w:t xml:space="preserve"> </w:t>
      </w:r>
      <w:r>
        <w:rPr>
          <w:iCs/>
          <w:i/>
        </w:rPr>
        <w:t xml:space="preserve">Retail out-of-stocks: A worldwide</w:t>
      </w:r>
      <w:r>
        <w:rPr>
          <w:iCs/>
          <w:i/>
        </w:rPr>
        <w:t xml:space="preserve"> </w:t>
      </w:r>
      <w:r>
        <w:rPr>
          <w:iCs/>
          <w:i/>
        </w:rPr>
        <w:t xml:space="preserve">examination of extent, causes and consumer responses</w:t>
      </w:r>
      <w:r>
        <w:t xml:space="preserve">. Grocery Manufacturers of America, Food</w:t>
      </w:r>
      <w:r>
        <w:t xml:space="preserve"> </w:t>
      </w:r>
      <w:r>
        <w:t xml:space="preserve">Marketing Institute &amp; CIES – The Food Business Forum.</w:t>
      </w:r>
    </w:p>
    <w:p>
      <w:pPr>
        <w:pStyle w:val="BodyText"/>
      </w:pPr>
      <w:r>
        <w:t xml:space="preserve">Hubert, L., &amp; Arabie, P. (1985). Comparing partitions.</w:t>
      </w:r>
      <w:r>
        <w:t xml:space="preserve"> </w:t>
      </w:r>
      <w:r>
        <w:rPr>
          <w:iCs/>
          <w:i/>
        </w:rPr>
        <w:t xml:space="preserve">Journal of Classification, 2</w:t>
      </w:r>
      <w:r>
        <w:t xml:space="preserve">(1),</w:t>
      </w:r>
      <w:r>
        <w:t xml:space="preserve"> </w:t>
      </w:r>
      <w:r>
        <w:t xml:space="preserve">193–218.</w:t>
      </w:r>
    </w:p>
    <w:p>
      <w:pPr>
        <w:pStyle w:val="BodyText"/>
      </w:pPr>
      <w:r>
        <w:t xml:space="preserve">Hyndman, R. J., Ahmed, R. A., Athanasopoulos, G., &amp; Shang, H. L. (2011). Optimal combination</w:t>
      </w:r>
      <w:r>
        <w:t xml:space="preserve"> </w:t>
      </w:r>
      <w:r>
        <w:t xml:space="preserve">forecasts for hierarchical time series.</w:t>
      </w:r>
      <w:r>
        <w:t xml:space="preserve"> </w:t>
      </w:r>
      <w:r>
        <w:rPr>
          <w:iCs/>
          <w:i/>
        </w:rPr>
        <w:t xml:space="preserve">Computational Statistics &amp; Data Analysis, 55</w:t>
      </w:r>
      <w:r>
        <w:t xml:space="preserve">(9),</w:t>
      </w:r>
      <w:r>
        <w:t xml:space="preserve"> </w:t>
      </w:r>
      <w:r>
        <w:t xml:space="preserve">2579–2589.</w:t>
      </w:r>
    </w:p>
    <w:p>
      <w:pPr>
        <w:pStyle w:val="BodyText"/>
      </w:pPr>
      <w:r>
        <w:t xml:space="preserve">Hyndman, R. J., &amp; Athanasopoulos, G. (2021).</w:t>
      </w:r>
      <w:r>
        <w:t xml:space="preserve"> </w:t>
      </w:r>
      <w:r>
        <w:rPr>
          <w:iCs/>
          <w:i/>
        </w:rPr>
        <w:t xml:space="preserve">Forecasting: Principles and practice</w:t>
      </w:r>
      <w:r>
        <w:t xml:space="preserve"> </w:t>
      </w:r>
      <w:r>
        <w:t xml:space="preserve">(3rd ed.).</w:t>
      </w:r>
      <w:r>
        <w:t xml:space="preserve"> </w:t>
      </w:r>
      <w:r>
        <w:t xml:space="preserve">OTexts. https://otexts.com/fpp3/</w:t>
      </w:r>
    </w:p>
    <w:p>
      <w:pPr>
        <w:pStyle w:val="BodyText"/>
      </w:pPr>
      <w:r>
        <w:t xml:space="preserve">Januschowski, T., Gasthaus, J., Wang, Y., Salinas, D., Flunkert, V., Bohlke-Schneider, M., &amp;</w:t>
      </w:r>
      <w:r>
        <w:t xml:space="preserve"> </w:t>
      </w:r>
      <w:r>
        <w:t xml:space="preserve">Callot, L. (2020). Criteria for classifying forecasting methods.</w:t>
      </w:r>
      <w:r>
        <w:t xml:space="preserve"> </w:t>
      </w:r>
      <w:r>
        <w:rPr>
          <w:iCs/>
          <w:i/>
        </w:rPr>
        <w:t xml:space="preserve">International 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Forecasting, 36</w:t>
      </w:r>
      <w:r>
        <w:t xml:space="preserve">(1), 167–177.</w:t>
      </w:r>
    </w:p>
    <w:p>
      <w:pPr>
        <w:pStyle w:val="BodyText"/>
      </w:pPr>
      <w:r>
        <w:t xml:space="preserve">Ke, G., Meng, Q., Finley, T., Wang, T., Chen, W., Ma, W., Ye, Q., &amp; Liu, T.-Y. (2017). LightGBM:</w:t>
      </w:r>
      <w:r>
        <w:t xml:space="preserve"> </w:t>
      </w:r>
      <w:r>
        <w:t xml:space="preserve">A highly efficient gradient boosting decision tree.</w:t>
      </w:r>
      <w:r>
        <w:t xml:space="preserve"> </w:t>
      </w:r>
      <w:r>
        <w:rPr>
          <w:iCs/>
          <w:i/>
        </w:rPr>
        <w:t xml:space="preserve">Advances in Neural Information Processing</w:t>
      </w:r>
      <w:r>
        <w:rPr>
          <w:iCs/>
          <w:i/>
        </w:rPr>
        <w:t xml:space="preserve"> </w:t>
      </w:r>
      <w:r>
        <w:rPr>
          <w:iCs/>
          <w:i/>
        </w:rPr>
        <w:t xml:space="preserve">Systems, 30</w:t>
      </w:r>
      <w:r>
        <w:t xml:space="preserve">, 3146–3154.</w:t>
      </w:r>
    </w:p>
    <w:p>
      <w:pPr>
        <w:pStyle w:val="BodyText"/>
      </w:pPr>
      <w:r>
        <w:t xml:space="preserve">Kimball, R., &amp; Ross, M. (2013).</w:t>
      </w:r>
      <w:r>
        <w:t xml:space="preserve"> </w:t>
      </w:r>
      <w:r>
        <w:rPr>
          <w:iCs/>
          <w:i/>
        </w:rPr>
        <w:t xml:space="preserve">The data warehouse toolkit: The definitive guide to dimensional</w:t>
      </w:r>
      <w:r>
        <w:rPr>
          <w:iCs/>
          <w:i/>
        </w:rPr>
        <w:t xml:space="preserve"> </w:t>
      </w:r>
      <w:r>
        <w:rPr>
          <w:iCs/>
          <w:i/>
        </w:rPr>
        <w:t xml:space="preserve">modeling</w:t>
      </w:r>
      <w:r>
        <w:t xml:space="preserve"> </w:t>
      </w:r>
      <w:r>
        <w:t xml:space="preserve">(3rd ed.). Wiley.</w:t>
      </w:r>
    </w:p>
    <w:p>
      <w:pPr>
        <w:pStyle w:val="BodyText"/>
      </w:pPr>
      <w:r>
        <w:t xml:space="preserve">Koenker, R., &amp; Bassett, G. (1978). Regression quantiles.</w:t>
      </w:r>
      <w:r>
        <w:t xml:space="preserve"> </w:t>
      </w:r>
      <w:r>
        <w:rPr>
          <w:iCs/>
          <w:i/>
        </w:rPr>
        <w:t xml:space="preserve">Econometrica, 46</w:t>
      </w:r>
      <w:r>
        <w:t xml:space="preserve">(1), 33–50.</w:t>
      </w:r>
    </w:p>
    <w:p>
      <w:pPr>
        <w:pStyle w:val="BodyText"/>
      </w:pPr>
      <w:r>
        <w:t xml:space="preserve">Lovell, M. C. (1963). Seasonal adjustment of economic time series and multiple regression</w:t>
      </w:r>
      <w:r>
        <w:t xml:space="preserve"> </w:t>
      </w:r>
      <w:r>
        <w:t xml:space="preserve">analysis.</w:t>
      </w:r>
      <w:r>
        <w:t xml:space="preserve"> </w:t>
      </w:r>
      <w:r>
        <w:rPr>
          <w:iCs/>
          <w:i/>
        </w:rPr>
        <w:t xml:space="preserve">Journal of the American Statistical Association, 58</w:t>
      </w:r>
      <w:r>
        <w:t xml:space="preserve">(304), 993–1010.</w:t>
      </w:r>
    </w:p>
    <w:p>
      <w:pPr>
        <w:pStyle w:val="BodyText"/>
      </w:pPr>
      <w:r>
        <w:t xml:space="preserve">Makridakis, S., Spiliotis, E., &amp; Assimakopoulos, V. (2022). M5 accuracy competition: Results,</w:t>
      </w:r>
      <w:r>
        <w:t xml:space="preserve"> </w:t>
      </w:r>
      <w:r>
        <w:t xml:space="preserve">findings, and conclusions.</w:t>
      </w:r>
      <w:r>
        <w:t xml:space="preserve"> </w:t>
      </w:r>
      <w:r>
        <w:rPr>
          <w:iCs/>
          <w:i/>
        </w:rPr>
        <w:t xml:space="preserve">International Journal of Forecasting, 38</w:t>
      </w:r>
      <w:r>
        <w:t xml:space="preserve">(4), 1346–1364. [v]</w:t>
      </w:r>
    </w:p>
    <w:p>
      <w:pPr>
        <w:pStyle w:val="BodyText"/>
      </w:pPr>
      <w:r>
        <w:t xml:space="preserve">Makridakis, S., Spiliotis, E., Assimakopoulos, V., Chen, Z., Gaba, A., Tsetlin, I., &amp; Winkler,</w:t>
      </w:r>
      <w:r>
        <w:t xml:space="preserve"> </w:t>
      </w:r>
      <w:r>
        <w:t xml:space="preserve">R. L. (2022). The M5 uncertainty competition: Results, findings and conclusions.</w:t>
      </w:r>
      <w:r>
        <w:t xml:space="preserve"> </w:t>
      </w:r>
      <w:r>
        <w:rPr>
          <w:iCs/>
          <w:i/>
        </w:rPr>
        <w:t xml:space="preserve">International</w:t>
      </w:r>
      <w:r>
        <w:rPr>
          <w:iCs/>
          <w:i/>
        </w:rPr>
        <w:t xml:space="preserve"> </w:t>
      </w:r>
      <w:r>
        <w:rPr>
          <w:iCs/>
          <w:i/>
        </w:rPr>
        <w:t xml:space="preserve">Journal of Forecasting, 38</w:t>
      </w:r>
      <w:r>
        <w:t xml:space="preserve">(4), 1365–1385. [v]</w:t>
      </w:r>
    </w:p>
    <w:p>
      <w:pPr>
        <w:pStyle w:val="BodyText"/>
      </w:pPr>
      <w:r>
        <w:t xml:space="preserve">Petropoulos, F., Apiletti, D., Assimakopoulos, V., Babai, M. Z., Barrow, D. K., Ben Taieb, S.,</w:t>
      </w:r>
      <w:r>
        <w:t xml:space="preserve"> </w:t>
      </w:r>
      <w:r>
        <w:t xml:space="preserve">… Ziel, F. (2022). Forecasting: Theory and practice.</w:t>
      </w:r>
      <w:r>
        <w:t xml:space="preserve"> </w:t>
      </w:r>
      <w:r>
        <w:rPr>
          <w:iCs/>
          <w:i/>
        </w:rPr>
        <w:t xml:space="preserve">International Journal of Forecasting,</w:t>
      </w:r>
      <w:r>
        <w:rPr>
          <w:iCs/>
          <w:i/>
        </w:rPr>
        <w:t xml:space="preserve"> </w:t>
      </w:r>
      <w:r>
        <w:rPr>
          <w:iCs/>
          <w:i/>
        </w:rPr>
        <w:t xml:space="preserve">38</w:t>
      </w:r>
      <w:r>
        <w:t xml:space="preserve">(3), 705–871.</w:t>
      </w:r>
    </w:p>
    <w:p>
      <w:pPr>
        <w:pStyle w:val="BodyText"/>
      </w:pPr>
      <w:r>
        <w:t xml:space="preserve">Raasveldt, M., &amp; Mühleisen, H. (2019). DuckDB: An embeddable analytical database.</w:t>
      </w:r>
      <w:r>
        <w:t xml:space="preserve"> </w:t>
      </w:r>
      <w:r>
        <w:rPr>
          <w:iCs/>
          <w:i/>
        </w:rPr>
        <w:t xml:space="preserve">Proceedings</w:t>
      </w:r>
      <w:r>
        <w:rPr>
          <w:iCs/>
          <w:i/>
        </w:rPr>
        <w:t xml:space="preserve"> </w:t>
      </w:r>
      <w:r>
        <w:rPr>
          <w:iCs/>
          <w:i/>
        </w:rPr>
        <w:t xml:space="preserve">of the 2019 International Conference on Management of Data (SIGMOD)</w:t>
      </w:r>
      <w:r>
        <w:t xml:space="preserve">, 1981–1984.</w:t>
      </w:r>
    </w:p>
    <w:p>
      <w:pPr>
        <w:pStyle w:val="BodyText"/>
      </w:pPr>
      <w:r>
        <w:t xml:space="preserve">Romano, Y., Patterson, E., &amp; Candès, E. J. (2019). Conformalized quantile regression.</w:t>
      </w:r>
      <w:r>
        <w:t xml:space="preserve"> </w:t>
      </w:r>
      <w:r>
        <w:rPr>
          <w:iCs/>
          <w:i/>
        </w:rPr>
        <w:t xml:space="preserve">Advances</w:t>
      </w:r>
      <w:r>
        <w:rPr>
          <w:iCs/>
          <w:i/>
        </w:rPr>
        <w:t xml:space="preserve"> </w:t>
      </w:r>
      <w:r>
        <w:rPr>
          <w:iCs/>
          <w:i/>
        </w:rPr>
        <w:t xml:space="preserve">in Neural Information Processing Systems, 32</w:t>
      </w:r>
      <w:r>
        <w:t xml:space="preserve">, 3543–3553.</w:t>
      </w:r>
    </w:p>
    <w:p>
      <w:pPr>
        <w:pStyle w:val="BodyText"/>
      </w:pPr>
      <w:r>
        <w:t xml:space="preserve">Rousseeuw, P. J. (1987). Silhouettes: A graphical aid to the interpretation and validation of</w:t>
      </w:r>
      <w:r>
        <w:t xml:space="preserve"> </w:t>
      </w:r>
      <w:r>
        <w:t xml:space="preserve">cluster analysis.</w:t>
      </w:r>
      <w:r>
        <w:t xml:space="preserve"> </w:t>
      </w:r>
      <w:r>
        <w:rPr>
          <w:iCs/>
          <w:i/>
        </w:rPr>
        <w:t xml:space="preserve">Journal of Computational and Applied Mathematics, 20</w:t>
      </w:r>
      <w:r>
        <w:t xml:space="preserve">, 53–65.</w:t>
      </w:r>
    </w:p>
    <w:p>
      <w:pPr>
        <w:pStyle w:val="BodyText"/>
      </w:pPr>
      <w:r>
        <w:t xml:space="preserve">Silver, E. A., Pyke, D. F., &amp; Thomas, D. J. (2016).</w:t>
      </w:r>
      <w:r>
        <w:t xml:space="preserve"> </w:t>
      </w:r>
      <w:r>
        <w:rPr>
          <w:iCs/>
          <w:i/>
        </w:rPr>
        <w:t xml:space="preserve">Inventory and production management in</w:t>
      </w:r>
      <w:r>
        <w:rPr>
          <w:iCs/>
          <w:i/>
        </w:rPr>
        <w:t xml:space="preserve"> </w:t>
      </w:r>
      <w:r>
        <w:rPr>
          <w:iCs/>
          <w:i/>
        </w:rPr>
        <w:t xml:space="preserve">supply chains</w:t>
      </w:r>
      <w:r>
        <w:t xml:space="preserve"> </w:t>
      </w:r>
      <w:r>
        <w:t xml:space="preserve">(4th ed.). CRC Press.</w:t>
      </w:r>
    </w:p>
    <w:p>
      <w:pPr>
        <w:pStyle w:val="BodyText"/>
      </w:pPr>
      <w:r>
        <w:t xml:space="preserve">Syntetos, A. A., &amp; Boylan, J. E. (2001). On the bias of intermittent demand estimates.</w:t>
      </w:r>
      <w:r>
        <w:t xml:space="preserve"> </w:t>
      </w:r>
      <w:r>
        <w:rPr>
          <w:iCs/>
          <w:i/>
        </w:rPr>
        <w:t xml:space="preserve">International Journal of Production Economics, 71</w:t>
      </w:r>
      <w:r>
        <w:t xml:space="preserve">(1–3), 457–466.</w:t>
      </w:r>
    </w:p>
    <w:p>
      <w:pPr>
        <w:pStyle w:val="BodyText"/>
      </w:pPr>
      <w:r>
        <w:t xml:space="preserve">Taylor, S. J., &amp; Letham, B. (2018). Forecasting at scale.</w:t>
      </w:r>
      <w:r>
        <w:t xml:space="preserve"> </w:t>
      </w:r>
      <w:r>
        <w:rPr>
          <w:iCs/>
          <w:i/>
        </w:rPr>
        <w:t xml:space="preserve">The American Statistician, 72</w:t>
      </w:r>
      <w:r>
        <w:t xml:space="preserve">(1),</w:t>
      </w:r>
      <w:r>
        <w:t xml:space="preserve"> </w:t>
      </w:r>
      <w:r>
        <w:t xml:space="preserve">37–45.</w:t>
      </w:r>
    </w:p>
    <w:p>
      <w:pPr>
        <w:pStyle w:val="BodyText"/>
      </w:pPr>
      <w:r>
        <w:t xml:space="preserve">Villas-Boas, J. M., &amp; Winer, R. S. (1999). Endogeneity in brand choice models.</w:t>
      </w:r>
      <w:r>
        <w:t xml:space="preserve"> </w:t>
      </w:r>
      <w:r>
        <w:rPr>
          <w:iCs/>
          <w:i/>
        </w:rPr>
        <w:t xml:space="preserve">Management</w:t>
      </w:r>
      <w:r>
        <w:rPr>
          <w:iCs/>
          <w:i/>
        </w:rPr>
        <w:t xml:space="preserve"> </w:t>
      </w:r>
      <w:r>
        <w:rPr>
          <w:iCs/>
          <w:i/>
        </w:rPr>
        <w:t xml:space="preserve">Science, 45</w:t>
      </w:r>
      <w:r>
        <w:t xml:space="preserve">(10), 1324–1338. [v]</w:t>
      </w:r>
    </w:p>
    <w:p>
      <w:pPr>
        <w:pStyle w:val="BodyText"/>
      </w:pPr>
      <w:r>
        <w:t xml:space="preserve">Wickramasuriya, S. L., Athanasopoulos, G., &amp; Hyndman, R. J. (2019). Optimal forecast</w:t>
      </w:r>
      <w:r>
        <w:t xml:space="preserve"> </w:t>
      </w:r>
      <w:r>
        <w:t xml:space="preserve">reconciliation for hierarchical and grouped time series through trace minimization.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the American Statistical Association, 114</w:t>
      </w:r>
      <w:r>
        <w:t xml:space="preserve">(526), 804–819.</w:t>
      </w:r>
    </w:p>
    <w:p>
      <w:pPr>
        <w:pStyle w:val="BodyText"/>
      </w:pPr>
      <w:r>
        <w:t xml:space="preserve">Zipkin, P. H. (2000).</w:t>
      </w:r>
      <w:r>
        <w:t xml:space="preserve"> </w:t>
      </w:r>
      <w:r>
        <w:rPr>
          <w:iCs/>
          <w:i/>
        </w:rPr>
        <w:t xml:space="preserve">Foundations of inventory management</w:t>
      </w:r>
      <w:r>
        <w:t xml:space="preserve">. McGraw-Hill.</w:t>
      </w:r>
      <w:r>
        <w:t xml:space="preserve"> </w:t>
      </w:r>
      <w:r>
        <w:t xml:space="preserve"># 9. Anexos</w:t>
      </w:r>
    </w:p>
    <w:p>
      <w:pPr>
        <w:pStyle w:val="BodyText"/>
      </w:pPr>
      <w:r>
        <w:t xml:space="preserve">Los anexos recogen el material que sostiene el cuerpo de la memoria y al que este remite. Ninguno</w:t>
      </w:r>
      <w:r>
        <w:t xml:space="preserve"> </w:t>
      </w:r>
      <w:r>
        <w:t xml:space="preserve">es material de relleno: todos están referenciados desde el texto, y el que no lo esté no debe</w:t>
      </w:r>
      <w:r>
        <w:t xml:space="preserve"> </w:t>
      </w:r>
      <w:r>
        <w:t xml:space="preserve">incluirse.</w:t>
      </w:r>
    </w:p>
    <w:bookmarkEnd w:id="121"/>
    <w:bookmarkEnd w:id="122"/>
    <w:bookmarkStart w:id="123" w:name="anexo-a.-cuadernos-de-análisis"/>
    <w:p>
      <w:pPr>
        <w:pStyle w:val="Heading2"/>
      </w:pPr>
      <w:r>
        <w:t xml:space="preserve">Anexo A. Cuadernos de análisis</w:t>
      </w:r>
    </w:p>
    <w:p>
      <w:pPr>
        <w:pStyle w:val="FirstParagraph"/>
      </w:pPr>
      <w:r>
        <w:t xml:space="preserve">Cinco cuadernos Jupyter, uno por etapa, ejecutables de principio a fin. Cada uno se genera a</w:t>
      </w:r>
      <w:r>
        <w:t xml:space="preserve"> </w:t>
      </w:r>
      <w:r>
        <w:t xml:space="preserve">partir de un guion de construcción versionado, de modo que el cuaderno entregado y el código que</w:t>
      </w:r>
      <w:r>
        <w:t xml:space="preserve"> </w:t>
      </w:r>
      <w:r>
        <w:t xml:space="preserve">lo produce no pueden divergir.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Cuaderno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01_EDA_DSMarket.ipynb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exploratorio y diagnóstico de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02_Clustering_DSMarket.ipynb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Segmentación de productos y tiendas, clasificación ABC/XYZ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03_Forecasting_DSMarket.ipynb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Comparación de modelos, validación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04_Abastecimiento_DSMarket.ipynb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de reposición y simulación de costes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05_Elasticidad_DSMarket.ipynb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Estimación de elasticidad y prueba de falsación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§7.5</w:t>
            </w:r>
          </w:p>
        </w:tc>
      </w:tr>
    </w:tbl>
    <w:bookmarkEnd w:id="123"/>
    <w:bookmarkStart w:id="124" w:name="anexo-b.-el-almacén-analítico"/>
    <w:p>
      <w:pPr>
        <w:pStyle w:val="Heading2"/>
      </w:pPr>
      <w:r>
        <w:t xml:space="preserve">Anexo B. El almacén analítico</w:t>
      </w:r>
    </w:p>
    <w:p>
      <w:pPr>
        <w:pStyle w:val="FirstParagraph"/>
      </w:pPr>
      <w:r>
        <w:t xml:space="preserve">Documentación de la arquitectura descrita en §6.3 y §7.6: las tres capas, el modelo dimensional,</w:t>
      </w:r>
      <w:r>
        <w:t xml:space="preserve"> </w:t>
      </w:r>
      <w:r>
        <w:t xml:space="preserve">el proceso de construcción y el bucle de realimentación de las predicciones. Incluye el diccionario</w:t>
      </w:r>
      <w:r>
        <w:t xml:space="preserve"> </w:t>
      </w:r>
      <w:r>
        <w:t xml:space="preserve">de las nueve tablas de la capa de consumo y el procedimiento de reconstrucción íntegra desde los</w:t>
      </w:r>
      <w:r>
        <w:t xml:space="preserve"> </w:t>
      </w:r>
      <w:r>
        <w:t xml:space="preserve">ficheros de origen.</w:t>
      </w:r>
    </w:p>
    <w:bookmarkEnd w:id="124"/>
    <w:bookmarkStart w:id="125" w:name="anexo-c.-el-servicio-de-reposición"/>
    <w:p>
      <w:pPr>
        <w:pStyle w:val="Heading2"/>
      </w:pPr>
      <w:r>
        <w:t xml:space="preserve">Anexo C. El servicio de reposición</w:t>
      </w:r>
    </w:p>
    <w:p>
      <w:pPr>
        <w:pStyle w:val="FirstParagraph"/>
      </w:pPr>
      <w:r>
        <w:t xml:space="preserve">Especificación de la interfaz de programación descrita en §7.6.2: operaciones disponibles,</w:t>
      </w:r>
      <w:r>
        <w:t xml:space="preserve"> </w:t>
      </w:r>
      <w:r>
        <w:t xml:space="preserve">esquema de petición y respuesta, y el conjunto de doce pruebas automáticas con su resultado.</w:t>
      </w:r>
    </w:p>
    <w:bookmarkEnd w:id="125"/>
    <w:bookmarkStart w:id="126" w:name="anexo-d.-el-panel-interactivo"/>
    <w:p>
      <w:pPr>
        <w:pStyle w:val="Heading2"/>
      </w:pPr>
      <w:r>
        <w:t xml:space="preserve">Anexo D. El panel interactivo</w:t>
      </w:r>
    </w:p>
    <w:p>
      <w:pPr>
        <w:pStyle w:val="FirstParagraph"/>
      </w:pPr>
      <w:r>
        <w:t xml:space="preserve">Descripción de la aplicación y de sus cinco pantallas, con capturas. Documenta también la capa de</w:t>
      </w:r>
      <w:r>
        <w:t xml:space="preserve"> </w:t>
      </w:r>
      <w:r>
        <w:t xml:space="preserve">lenguaje natural y las tres barreras de seguridad descritas en §7.6.3.</w:t>
      </w:r>
    </w:p>
    <w:bookmarkEnd w:id="126"/>
    <w:bookmarkStart w:id="127" w:name="anexo-e.-el-cuadro-de-mando"/>
    <w:p>
      <w:pPr>
        <w:pStyle w:val="Heading2"/>
      </w:pPr>
      <w:r>
        <w:t xml:space="preserve">Anexo E. El cuadro de mando</w:t>
      </w:r>
    </w:p>
    <w:p>
      <w:pPr>
        <w:pStyle w:val="FirstParagraph"/>
      </w:pPr>
      <w:r>
        <w:t xml:space="preserve">Especificación para su construcción en Power BI: modelo de datos, relaciones, medidas y</w:t>
      </w:r>
      <w:r>
        <w:t xml:space="preserve"> </w:t>
      </w:r>
      <w:r>
        <w:t xml:space="preserve">disposición de páginas. Incluye el patrón de agregación obligatorio para evitar la multiplicación</w:t>
      </w:r>
      <w:r>
        <w:t xml:space="preserve"> </w:t>
      </w:r>
      <w:r>
        <w:t xml:space="preserve">de métricas descrita en §7.6.4.</w:t>
      </w:r>
    </w:p>
    <w:bookmarkEnd w:id="127"/>
    <w:bookmarkStart w:id="128" w:name="anexo-f.-manual-de-ejecución"/>
    <w:p>
      <w:pPr>
        <w:pStyle w:val="Heading2"/>
      </w:pPr>
      <w:r>
        <w:t xml:space="preserve">Anexo F. Manual de ejecución</w:t>
      </w:r>
    </w:p>
    <w:p>
      <w:pPr>
        <w:pStyle w:val="FirstParagraph"/>
      </w:pPr>
      <w:r>
        <w:t xml:space="preserve">Procedimiento completo para reproducir el trabajo desde cero: dependencias, orden de ejecución,</w:t>
      </w:r>
      <w:r>
        <w:t xml:space="preserve"> </w:t>
      </w:r>
      <w:r>
        <w:t xml:space="preserve">tiempos de referencia de cada etapa y resolución de las incidencias conocidas.</w:t>
      </w:r>
    </w:p>
    <w:bookmarkEnd w:id="128"/>
    <w:bookmarkStart w:id="129" w:name="X4b1a222c1a47853c33be7695272db975156fd01"/>
    <w:p>
      <w:pPr>
        <w:pStyle w:val="Heading2"/>
      </w:pPr>
      <w:r>
        <w:t xml:space="preserve">Anexo G. Alternativas evaluadas y descartadas</w:t>
      </w:r>
    </w:p>
    <w:p>
      <w:pPr>
        <w:pStyle w:val="FirstParagraph"/>
      </w:pPr>
      <w:r>
        <w:t xml:space="preserve">Los experimentos que se plantearon, se dimensionaron y no se incorporaron al trabajo principal,</w:t>
      </w:r>
      <w:r>
        <w:t xml:space="preserve"> </w:t>
      </w:r>
      <w:r>
        <w:t xml:space="preserve">con la razón de su descarte. Se incluye porque distingue un trabajo que exploró el espacio de</w:t>
      </w:r>
      <w:r>
        <w:t xml:space="preserve"> </w:t>
      </w:r>
      <w:r>
        <w:t xml:space="preserve">soluciones de uno que se detuvo en la primera opción que funcionó.</w:t>
      </w:r>
    </w:p>
    <w:bookmarkEnd w:id="129"/>
    <w:bookmarkEnd w:id="1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DSMarket: de la venta diaria a la decisión de reposición</dc:title>
  <dc:creator>Nuclio Digital School · Barcelona</dc:creator>
  <dc:language>es</dc:language>
  <cp:keywords/>
  <dcterms:created xsi:type="dcterms:W3CDTF">2026-09-04T17:32:39Z</dcterms:created>
  <dcterms:modified xsi:type="dcterms:W3CDTF">2026-09-04T17:32:39Z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Borrador de trabajo — septiembre de 2026</vt:lpwstr>
  </property>
  <property fmtid="{D5CDD505-2E9C-101B-9397-08002B2CF9AE}" pid="3" name="subtitle">
    <vt:lpwstr>Trabajo de Fin de Máster — Máster en Data Science &amp; Inteligencia Artificial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</Properties>
</file>