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52" w:rsidRPr="00451B38" w:rsidRDefault="00416952" w:rsidP="00416952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5779D9">
        <w:rPr>
          <w:rFonts w:ascii="Century Gothic" w:hAnsi="Century Gothic"/>
          <w:sz w:val="96"/>
          <w:szCs w:val="96"/>
        </w:rPr>
        <w:t xml:space="preserve"> las</w:t>
      </w:r>
      <w:r>
        <w:rPr>
          <w:rFonts w:ascii="Century Gothic" w:hAnsi="Century Gothic"/>
          <w:sz w:val="96"/>
          <w:szCs w:val="96"/>
        </w:rPr>
        <w:t xml:space="preserve"> </w:t>
      </w:r>
      <w:r w:rsidR="00F164F4">
        <w:rPr>
          <w:rFonts w:ascii="Century Gothic" w:hAnsi="Century Gothic"/>
          <w:sz w:val="96"/>
          <w:szCs w:val="96"/>
        </w:rPr>
        <w:t>Adquisiciones</w:t>
      </w:r>
      <w:r w:rsidR="005779D9">
        <w:rPr>
          <w:rFonts w:ascii="Century Gothic" w:hAnsi="Century Gothic"/>
          <w:sz w:val="96"/>
          <w:szCs w:val="96"/>
        </w:rPr>
        <w:t xml:space="preserve"> del Proyecto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contiene el análisis realizado con el fin de identificar cuales </w:t>
      </w:r>
      <w:r>
        <w:rPr>
          <w:rFonts w:ascii="Century Gothic" w:hAnsi="Century Gothic"/>
          <w:sz w:val="20"/>
          <w:szCs w:val="20"/>
        </w:rPr>
        <w:t xml:space="preserve">adquisiciones pueden ser realizadas para </w:t>
      </w:r>
      <w:r>
        <w:rPr>
          <w:rFonts w:ascii="Century Gothic" w:hAnsi="Century Gothic"/>
          <w:sz w:val="20"/>
          <w:szCs w:val="20"/>
        </w:rPr>
        <w:t xml:space="preserve"> por cada propuesta de valor realizada</w:t>
      </w:r>
      <w:r>
        <w:rPr>
          <w:rFonts w:ascii="Century Gothic" w:hAnsi="Century Gothic"/>
          <w:sz w:val="20"/>
          <w:szCs w:val="20"/>
        </w:rPr>
        <w:t xml:space="preserve"> con el fin de obtener mejores resultados sin costos elevados</w:t>
      </w:r>
      <w:r>
        <w:rPr>
          <w:rFonts w:ascii="Century Gothic" w:hAnsi="Century Gothic"/>
          <w:sz w:val="20"/>
          <w:szCs w:val="20"/>
        </w:rPr>
        <w:t>.</w:t>
      </w:r>
    </w:p>
    <w:p w:rsidR="00EE2AD4" w:rsidRDefault="00EE2AD4" w:rsidP="00416952">
      <w:pPr>
        <w:rPr>
          <w:rFonts w:ascii="Century Gothic" w:hAnsi="Century Gothic"/>
          <w:sz w:val="20"/>
          <w:szCs w:val="20"/>
        </w:rPr>
      </w:pPr>
    </w:p>
    <w:p w:rsidR="00EE2AD4" w:rsidRPr="00EE2AD4" w:rsidRDefault="00EE2AD4" w:rsidP="00416952">
      <w:pPr>
        <w:rPr>
          <w:rFonts w:ascii="Century Gothic" w:hAnsi="Century Gothic"/>
          <w:b/>
          <w:sz w:val="20"/>
          <w:szCs w:val="20"/>
        </w:rPr>
      </w:pPr>
      <w:r w:rsidRPr="00EE2AD4">
        <w:rPr>
          <w:rFonts w:ascii="Century Gothic" w:hAnsi="Century Gothic"/>
          <w:b/>
          <w:sz w:val="20"/>
          <w:szCs w:val="20"/>
        </w:rPr>
        <w:t>Documento de Recomendaciones</w:t>
      </w:r>
    </w:p>
    <w:p w:rsidR="00416952" w:rsidRDefault="005779D9" w:rsidP="00416952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Planificar la gestión de Adquisiciones del proyecto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EE2AD4" w:rsidRPr="00EE2AD4" w:rsidRDefault="00EE2AD4" w:rsidP="00EE2AD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F5530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3F5530" w:rsidRPr="00EE2AD4" w:rsidRDefault="003F5530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proveedores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y aprobación de solicitudes</w:t>
            </w:r>
          </w:p>
          <w:p w:rsidR="003F5530" w:rsidRPr="00BF4D5A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  <w:r w:rsidRPr="00BF4D5A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3F5530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3F5530" w:rsidRPr="00EE2AD4" w:rsidRDefault="003F5530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Contacto con diferentes proveedores del servicio para divulgar la solicitud</w:t>
            </w:r>
          </w:p>
          <w:p w:rsidR="003F5530" w:rsidRPr="00417277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</w:tc>
      </w:tr>
    </w:tbl>
    <w:p w:rsidR="00F10F82" w:rsidRPr="00EE2AD4" w:rsidRDefault="00F10F82" w:rsidP="00F10F82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Efectuar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  <w:p w:rsidR="00A862EC" w:rsidRPr="005B4DC9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Propuestas de los proveedores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Técnicas de análisis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adquisiciones</w:t>
            </w:r>
          </w:p>
          <w:p w:rsidR="00A862EC" w:rsidRPr="005B4DC9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Técnicas de evaluación de propuestas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Publicación de los resultados y divulgación del proveedor seleccionado para llevar a cabo la actividad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 del proyecto y controles de cambio de ser necesario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A862EC" w:rsidRPr="00BD440F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</w:tc>
      </w:tr>
    </w:tbl>
    <w:p w:rsidR="00F10F82" w:rsidRPr="00EE2AD4" w:rsidRDefault="00F10F82" w:rsidP="00F10F82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lastRenderedPageBreak/>
        <w:t>Controlar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Controles de cambios</w:t>
            </w:r>
          </w:p>
          <w:p w:rsidR="00A862EC" w:rsidRPr="00880999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desempeño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Sistema de control de cambios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de los informes de desempeño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 de pago y facturación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seguimiento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desempeño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</w:t>
            </w:r>
          </w:p>
        </w:tc>
      </w:tr>
    </w:tbl>
    <w:p w:rsidR="00A862EC" w:rsidRPr="00EE2AD4" w:rsidRDefault="00A862EC" w:rsidP="00A862EC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Cerrar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Auditoria de los acuerdos y contratos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acuerdos  y contratos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Adquisiciones cerradas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Actualizaciones a los procesos</w:t>
            </w:r>
          </w:p>
        </w:tc>
      </w:tr>
    </w:tbl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EE2AD4" w:rsidRDefault="00EE2AD4" w:rsidP="00EE2AD4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Sistema de Información</w:t>
      </w:r>
    </w:p>
    <w:p w:rsid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Planificar la gestión de Adquisiciones del proyecto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EE2AD4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EE2AD4" w:rsidRPr="00417277" w:rsidRDefault="00EE2AD4" w:rsidP="0041727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F5530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3F5530" w:rsidRPr="00EE2AD4" w:rsidRDefault="003F5530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proveedores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y aprobación de solicitudes</w:t>
            </w:r>
          </w:p>
          <w:p w:rsidR="003F5530" w:rsidRPr="00BF4D5A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  <w:r w:rsidRPr="00BF4D5A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3F5530" w:rsidTr="003F5530">
        <w:tc>
          <w:tcPr>
            <w:tcW w:w="1838" w:type="dxa"/>
            <w:shd w:val="clear" w:color="auto" w:fill="DEEAF6" w:themeFill="accent5" w:themeFillTint="33"/>
            <w:vAlign w:val="center"/>
          </w:tcPr>
          <w:p w:rsidR="003F5530" w:rsidRPr="00EE2AD4" w:rsidRDefault="003F5530" w:rsidP="003F5530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3F5530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Contacto con diferentes proveedores del servicio para divulgar la solicitud</w:t>
            </w:r>
          </w:p>
          <w:p w:rsidR="003F5530" w:rsidRPr="00417277" w:rsidRDefault="003F5530" w:rsidP="003F5530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Efectuar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  <w:p w:rsidR="00A862EC" w:rsidRPr="005B4DC9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Propuestas de los proveedores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Técnicas de análisis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adquisiciones</w:t>
            </w:r>
          </w:p>
          <w:p w:rsidR="00A862EC" w:rsidRPr="005B4DC9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Técnicas de evaluación de propuestas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Publicación de los resultados y divulgación del proveedor seleccionado para llevar a cabo la actividad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 del proyecto y controles de cambio de ser necesario</w:t>
            </w:r>
          </w:p>
          <w:p w:rsidR="00A862EC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A862EC" w:rsidRPr="00BD440F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Controlar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Controles de cambios</w:t>
            </w:r>
          </w:p>
          <w:p w:rsidR="00A862EC" w:rsidRPr="00880999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Informes de desempeño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lastRenderedPageBreak/>
              <w:t>Herramientas y técnicas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Sistema de control de cambios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de los informes de desempeño</w:t>
            </w:r>
          </w:p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 de pago y facturación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seguimiento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  <w:vAlign w:val="center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desempeño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Cerrar las adquisiciones</w:t>
      </w:r>
    </w:p>
    <w:tbl>
      <w:tblPr>
        <w:tblStyle w:val="Tablaconcuadrcula"/>
        <w:tblW w:w="8828" w:type="dxa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Auditoria de los acuerdos y contratos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acuerdos  y contratos</w:t>
            </w:r>
          </w:p>
        </w:tc>
      </w:tr>
      <w:tr w:rsidR="00A862EC" w:rsidTr="00A862EC">
        <w:tc>
          <w:tcPr>
            <w:tcW w:w="1838" w:type="dxa"/>
            <w:shd w:val="clear" w:color="auto" w:fill="DEEAF6" w:themeFill="accent5" w:themeFillTint="33"/>
          </w:tcPr>
          <w:p w:rsidR="00A862EC" w:rsidRPr="00EE2AD4" w:rsidRDefault="00A862EC" w:rsidP="00A862EC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Adquisiciones cerradas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Actualizaciones a los procesos</w:t>
            </w:r>
          </w:p>
        </w:tc>
      </w:tr>
    </w:tbl>
    <w:p w:rsidR="00EE2AD4" w:rsidRDefault="00EE2AD4" w:rsidP="00EE2AD4">
      <w:pPr>
        <w:rPr>
          <w:rFonts w:ascii="Century Gothic" w:hAnsi="Century Gothic"/>
          <w:sz w:val="20"/>
          <w:szCs w:val="20"/>
        </w:rPr>
      </w:pPr>
    </w:p>
    <w:p w:rsidR="00EE2AD4" w:rsidRDefault="00EE2AD4" w:rsidP="00EE2AD4">
      <w:pPr>
        <w:rPr>
          <w:rFonts w:ascii="Century Gothic" w:hAnsi="Century Gothic"/>
          <w:sz w:val="20"/>
          <w:szCs w:val="20"/>
        </w:rPr>
      </w:pPr>
    </w:p>
    <w:p w:rsidR="00EE2AD4" w:rsidRPr="00EE2AD4" w:rsidRDefault="00EE2AD4" w:rsidP="00EE2AD4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Cambio de Imagen</w:t>
      </w:r>
    </w:p>
    <w:p w:rsid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Planificar la gestión de Adquisiciones del proyecto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BF4D5A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BF4D5A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637D99" w:rsidRDefault="00637D99" w:rsidP="00417277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Solicitud: </w:t>
            </w:r>
            <w:r w:rsidR="00417277">
              <w:rPr>
                <w:rFonts w:ascii="Century Gothic" w:hAnsi="Century Gothic"/>
                <w:sz w:val="20"/>
                <w:szCs w:val="20"/>
              </w:rPr>
              <w:t xml:space="preserve">Se requiere una consultoría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 expertos en el área </w:t>
            </w:r>
            <w:r w:rsidR="00417277">
              <w:rPr>
                <w:rFonts w:ascii="Century Gothic" w:hAnsi="Century Gothic"/>
                <w:sz w:val="20"/>
                <w:szCs w:val="20"/>
              </w:rPr>
              <w:t>para evaluar y presentar una propuesta de mejora del diseño del sitio web del NIH</w:t>
            </w:r>
            <w:r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:rsidR="00EE2AD4" w:rsidRDefault="00637D99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Entregables solicitados: Resultados de los problemas que tiene la página actual en cuanto a su navegabilidad y la propuesta de mejora con respecto a la falla, también se requiere un esquema de colores  y fuentes recomendados para el cambio, así mismo como la propuesta de iconos e imágenes a utilizar. </w:t>
            </w:r>
          </w:p>
          <w:p w:rsidR="00637D99" w:rsidRDefault="00637D99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grupo de especialistas debe realizar el trabajo en el tiempo descrito en el EDT del proyecto</w:t>
            </w:r>
          </w:p>
          <w:p w:rsidR="00637D99" w:rsidRDefault="00637D99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Requisitos: Se solicita conservar la identidad de imagen del NIH y solo hacer cambios en cuanto a navegabilidad con interfaces más accesibles para todo tipo de profesionales que busquen información a través del portal</w:t>
            </w:r>
          </w:p>
          <w:p w:rsidR="00637D99" w:rsidRDefault="00637D99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requiere que se cuente con el apoyo de expertos en el área del diseño y con experiencia en </w:t>
            </w:r>
            <w:r w:rsidR="00BF4D5A">
              <w:rPr>
                <w:rFonts w:ascii="Century Gothic" w:hAnsi="Century Gothic"/>
                <w:sz w:val="20"/>
                <w:szCs w:val="20"/>
              </w:rPr>
              <w:t>páginas web empresariales</w:t>
            </w:r>
          </w:p>
          <w:p w:rsidR="00BF4D5A" w:rsidRPr="00417277" w:rsidRDefault="00BF4D5A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ofrece un contrato de precio fijo cerrado por los entregables mencionados anteriormente</w:t>
            </w:r>
          </w:p>
        </w:tc>
      </w:tr>
      <w:tr w:rsidR="00EE2AD4" w:rsidTr="00BF4D5A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BF4D5A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BF4D5A" w:rsidRDefault="00BF4D5A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proveedores</w:t>
            </w:r>
          </w:p>
          <w:p w:rsidR="00BF4D5A" w:rsidRDefault="00BF4D5A" w:rsidP="00637D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</w:t>
            </w:r>
          </w:p>
          <w:p w:rsidR="00BF4D5A" w:rsidRDefault="00BF4D5A" w:rsidP="00BF4D5A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y aprobación de solicitudes</w:t>
            </w:r>
          </w:p>
          <w:p w:rsidR="00EE2AD4" w:rsidRPr="00BF4D5A" w:rsidRDefault="00BF4D5A" w:rsidP="00BF4D5A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  <w:r w:rsidRPr="00BF4D5A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EE2AD4" w:rsidTr="00BF4D5A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BF4D5A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EE2AD4" w:rsidRDefault="00417277" w:rsidP="00417277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417277" w:rsidRDefault="00417277" w:rsidP="00417277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Contacto con diferentes proveedores del servicio para divulgar la solicitud</w:t>
            </w:r>
          </w:p>
          <w:p w:rsidR="005B4DC9" w:rsidRPr="00417277" w:rsidRDefault="005B4DC9" w:rsidP="00417277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Efectuar las adquisiciones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5B4DC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5B4DC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EE2AD4" w:rsidRDefault="005B4DC9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Documento RFP</w:t>
            </w:r>
          </w:p>
          <w:p w:rsidR="005B4DC9" w:rsidRDefault="005B4DC9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Criterios de selección</w:t>
            </w:r>
          </w:p>
          <w:p w:rsidR="005B4DC9" w:rsidRPr="005B4DC9" w:rsidRDefault="005B4DC9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Propuestas de los proveedores</w:t>
            </w:r>
          </w:p>
        </w:tc>
      </w:tr>
      <w:tr w:rsidR="00EE2AD4" w:rsidTr="005B4DC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5B4DC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lastRenderedPageBreak/>
              <w:t>Herramientas y técnicas</w:t>
            </w:r>
          </w:p>
        </w:tc>
        <w:tc>
          <w:tcPr>
            <w:tcW w:w="6990" w:type="dxa"/>
          </w:tcPr>
          <w:p w:rsidR="00EE2AD4" w:rsidRDefault="005B4DC9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Juicio de expertos</w:t>
            </w:r>
          </w:p>
          <w:p w:rsidR="005B4DC9" w:rsidRDefault="00F05343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</w:t>
            </w:r>
            <w:r w:rsidR="005B4DC9">
              <w:rPr>
                <w:rFonts w:ascii="Century Gothic" w:hAnsi="Century Gothic"/>
                <w:sz w:val="20"/>
                <w:szCs w:val="20"/>
              </w:rPr>
              <w:t xml:space="preserve">cnicas de </w:t>
            </w:r>
            <w:r>
              <w:rPr>
                <w:rFonts w:ascii="Century Gothic" w:hAnsi="Century Gothic"/>
                <w:sz w:val="20"/>
                <w:szCs w:val="20"/>
              </w:rPr>
              <w:t>análisis</w:t>
            </w:r>
          </w:p>
          <w:p w:rsidR="00F05343" w:rsidRDefault="00F05343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adquisiciones</w:t>
            </w:r>
          </w:p>
          <w:p w:rsidR="00F05343" w:rsidRPr="005B4DC9" w:rsidRDefault="00F05343" w:rsidP="005B4DC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Técnicas de evaluación de propuestas</w:t>
            </w:r>
          </w:p>
        </w:tc>
      </w:tr>
      <w:tr w:rsidR="00EE2AD4" w:rsidTr="005B4DC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5B4DC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F05343" w:rsidRDefault="00880999" w:rsidP="00BD440F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Publicación de los resultados y divulgación del proveedor seleccionado para llevar a cabo la actividad</w:t>
            </w:r>
          </w:p>
          <w:p w:rsidR="00880999" w:rsidRDefault="00880999" w:rsidP="00BD440F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 del proyecto y controles de cambio de ser necesario</w:t>
            </w:r>
          </w:p>
          <w:p w:rsidR="00880999" w:rsidRDefault="00880999" w:rsidP="00BD440F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880999" w:rsidRPr="00BD440F" w:rsidRDefault="00880999" w:rsidP="00BD440F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Controlar las adquisiciones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88099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EE2AD4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  <w:p w:rsidR="00880999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Cláusulas de cancelación</w:t>
            </w:r>
          </w:p>
          <w:p w:rsidR="00880999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Controles de cambios</w:t>
            </w:r>
          </w:p>
          <w:p w:rsidR="00880999" w:rsidRPr="00880999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desempeño</w:t>
            </w:r>
          </w:p>
        </w:tc>
      </w:tr>
      <w:tr w:rsidR="00EE2AD4" w:rsidTr="0088099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EE2AD4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Sistema de control de cambios</w:t>
            </w:r>
          </w:p>
          <w:p w:rsidR="00880999" w:rsidRDefault="00880999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de los informes de desempeño</w:t>
            </w:r>
          </w:p>
          <w:p w:rsidR="00880999" w:rsidRDefault="00A862EC" w:rsidP="00880999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 de pago y facturación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seguimiento</w:t>
            </w:r>
          </w:p>
        </w:tc>
      </w:tr>
      <w:tr w:rsidR="00EE2AD4" w:rsidTr="00880999">
        <w:tc>
          <w:tcPr>
            <w:tcW w:w="1838" w:type="dxa"/>
            <w:shd w:val="clear" w:color="auto" w:fill="DEEAF6" w:themeFill="accent5" w:themeFillTint="33"/>
            <w:vAlign w:val="center"/>
          </w:tcPr>
          <w:p w:rsidR="00EE2AD4" w:rsidRPr="00EE2AD4" w:rsidRDefault="00EE2AD4" w:rsidP="0088099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EE2AD4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desempeño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Actualización de los documentos</w:t>
            </w:r>
          </w:p>
        </w:tc>
      </w:tr>
    </w:tbl>
    <w:p w:rsidR="00EE2AD4" w:rsidRPr="00EE2AD4" w:rsidRDefault="00EE2AD4" w:rsidP="00EE2AD4">
      <w:pPr>
        <w:pStyle w:val="Ttulo1"/>
        <w:rPr>
          <w:rFonts w:ascii="Century Gothic" w:hAnsi="Century Gothic"/>
          <w:color w:val="auto"/>
          <w:sz w:val="20"/>
          <w:szCs w:val="20"/>
        </w:rPr>
      </w:pPr>
      <w:r w:rsidRPr="00EE2AD4">
        <w:rPr>
          <w:rFonts w:ascii="Century Gothic" w:hAnsi="Century Gothic"/>
          <w:color w:val="auto"/>
          <w:sz w:val="20"/>
          <w:szCs w:val="20"/>
        </w:rPr>
        <w:t>Cerrar las adquisiciones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EE2AD4" w:rsidTr="00F72039">
        <w:tc>
          <w:tcPr>
            <w:tcW w:w="1838" w:type="dxa"/>
            <w:shd w:val="clear" w:color="auto" w:fill="DEEAF6" w:themeFill="accent5" w:themeFillTint="33"/>
          </w:tcPr>
          <w:p w:rsidR="00EE2AD4" w:rsidRPr="00EE2AD4" w:rsidRDefault="00EE2AD4" w:rsidP="00F7203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Entradas</w:t>
            </w:r>
          </w:p>
        </w:tc>
        <w:tc>
          <w:tcPr>
            <w:tcW w:w="6990" w:type="dxa"/>
          </w:tcPr>
          <w:p w:rsidR="00EE2AD4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Acuerdos y contratos</w:t>
            </w:r>
          </w:p>
        </w:tc>
      </w:tr>
      <w:tr w:rsidR="00EE2AD4" w:rsidTr="00F72039">
        <w:tc>
          <w:tcPr>
            <w:tcW w:w="1838" w:type="dxa"/>
            <w:shd w:val="clear" w:color="auto" w:fill="DEEAF6" w:themeFill="accent5" w:themeFillTint="33"/>
          </w:tcPr>
          <w:p w:rsidR="00EE2AD4" w:rsidRPr="00EE2AD4" w:rsidRDefault="00EE2AD4" w:rsidP="00F7203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Herramientas y técnicas</w:t>
            </w:r>
          </w:p>
        </w:tc>
        <w:tc>
          <w:tcPr>
            <w:tcW w:w="6990" w:type="dxa"/>
          </w:tcPr>
          <w:p w:rsidR="00EE2AD4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Auditoria de los acuerdos y contratos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Negociación de las acuerdos  y contratos</w:t>
            </w:r>
          </w:p>
        </w:tc>
      </w:tr>
      <w:tr w:rsidR="00EE2AD4" w:rsidTr="00F72039">
        <w:tc>
          <w:tcPr>
            <w:tcW w:w="1838" w:type="dxa"/>
            <w:shd w:val="clear" w:color="auto" w:fill="DEEAF6" w:themeFill="accent5" w:themeFillTint="33"/>
          </w:tcPr>
          <w:p w:rsidR="00EE2AD4" w:rsidRPr="00EE2AD4" w:rsidRDefault="00EE2AD4" w:rsidP="00F72039">
            <w:pPr>
              <w:rPr>
                <w:rFonts w:ascii="Century Gothic" w:hAnsi="Century Gothic"/>
                <w:sz w:val="20"/>
                <w:szCs w:val="20"/>
              </w:rPr>
            </w:pPr>
            <w:r w:rsidRPr="00EE2AD4">
              <w:rPr>
                <w:rFonts w:ascii="Century Gothic" w:hAnsi="Century Gothic"/>
                <w:sz w:val="20"/>
                <w:szCs w:val="20"/>
              </w:rPr>
              <w:t>Salidas</w:t>
            </w:r>
          </w:p>
        </w:tc>
        <w:tc>
          <w:tcPr>
            <w:tcW w:w="6990" w:type="dxa"/>
          </w:tcPr>
          <w:p w:rsidR="00EE2AD4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Adquisiciones cerradas</w:t>
            </w:r>
          </w:p>
          <w:p w:rsidR="00A862EC" w:rsidRPr="00A862EC" w:rsidRDefault="00A862EC" w:rsidP="00A862E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Actualizaciones a los procesos</w:t>
            </w:r>
          </w:p>
        </w:tc>
      </w:tr>
    </w:tbl>
    <w:p w:rsidR="00EE2AD4" w:rsidRDefault="00EE2AD4" w:rsidP="00EE2AD4">
      <w:pPr>
        <w:rPr>
          <w:rFonts w:ascii="Century Gothic" w:hAnsi="Century Gothic"/>
          <w:sz w:val="20"/>
          <w:szCs w:val="20"/>
        </w:rPr>
      </w:pPr>
    </w:p>
    <w:p w:rsidR="00EE2AD4" w:rsidRPr="00EE2AD4" w:rsidRDefault="00EE2AD4" w:rsidP="00416952">
      <w:pPr>
        <w:rPr>
          <w:rFonts w:ascii="Century Gothic" w:hAnsi="Century Gothic"/>
          <w:sz w:val="20"/>
          <w:szCs w:val="20"/>
        </w:rPr>
      </w:pP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416952" w:rsidRPr="00451B38" w:rsidTr="004D1051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4D1051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5344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:rsidR="00416952" w:rsidRDefault="001E5FA6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Jesús Ríos</w:t>
            </w:r>
          </w:p>
          <w:p w:rsidR="005779D9" w:rsidRPr="00C94428" w:rsidRDefault="005779D9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>
      <w:bookmarkStart w:id="0" w:name="_GoBack"/>
      <w:bookmarkEnd w:id="0"/>
    </w:p>
    <w:sectPr w:rsidR="004169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29" w:rsidRDefault="005A1929">
      <w:pPr>
        <w:spacing w:after="0" w:line="240" w:lineRule="auto"/>
      </w:pPr>
      <w:r>
        <w:separator/>
      </w:r>
    </w:p>
  </w:endnote>
  <w:endnote w:type="continuationSeparator" w:id="0">
    <w:p w:rsidR="005A1929" w:rsidRDefault="005A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29" w:rsidRDefault="005A1929">
      <w:pPr>
        <w:spacing w:after="0" w:line="240" w:lineRule="auto"/>
      </w:pPr>
      <w:r>
        <w:separator/>
      </w:r>
    </w:p>
  </w:footnote>
  <w:footnote w:type="continuationSeparator" w:id="0">
    <w:p w:rsidR="005A1929" w:rsidRDefault="005A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5A1929" w:rsidP="004C2151">
    <w:pPr>
      <w:pStyle w:val="Encabezado"/>
    </w:pPr>
  </w:p>
  <w:p w:rsidR="004C2151" w:rsidRDefault="005A1929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D020C"/>
    <w:multiLevelType w:val="hybridMultilevel"/>
    <w:tmpl w:val="6C8C9672"/>
    <w:lvl w:ilvl="0" w:tplc="9BF477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75D87"/>
    <w:multiLevelType w:val="hybridMultilevel"/>
    <w:tmpl w:val="308CCF1E"/>
    <w:lvl w:ilvl="0" w:tplc="05D622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B69C2"/>
    <w:rsid w:val="001E5FA6"/>
    <w:rsid w:val="003E2A7B"/>
    <w:rsid w:val="003F5530"/>
    <w:rsid w:val="00416952"/>
    <w:rsid w:val="00417277"/>
    <w:rsid w:val="005779D9"/>
    <w:rsid w:val="005A1929"/>
    <w:rsid w:val="005B4DC9"/>
    <w:rsid w:val="00637D99"/>
    <w:rsid w:val="006E60A8"/>
    <w:rsid w:val="00880999"/>
    <w:rsid w:val="00A54C3A"/>
    <w:rsid w:val="00A55621"/>
    <w:rsid w:val="00A862EC"/>
    <w:rsid w:val="00AC3F2B"/>
    <w:rsid w:val="00BD440F"/>
    <w:rsid w:val="00BF4D5A"/>
    <w:rsid w:val="00CC3D5C"/>
    <w:rsid w:val="00D17997"/>
    <w:rsid w:val="00D87267"/>
    <w:rsid w:val="00EE2AD4"/>
    <w:rsid w:val="00F05343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D8555E11-C97F-4345-9D30-FA6C92AB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Edna Espejo</cp:lastModifiedBy>
  <cp:revision>12</cp:revision>
  <dcterms:created xsi:type="dcterms:W3CDTF">2018-04-07T00:22:00Z</dcterms:created>
  <dcterms:modified xsi:type="dcterms:W3CDTF">2018-04-24T17:24:00Z</dcterms:modified>
</cp:coreProperties>
</file>