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52" w:rsidRPr="00451B38" w:rsidRDefault="00416952" w:rsidP="00416952">
      <w:pPr>
        <w:pStyle w:val="Ttulo"/>
        <w:rPr>
          <w:rFonts w:ascii="Century Gothic" w:hAnsi="Century Gothic"/>
          <w:sz w:val="96"/>
          <w:szCs w:val="96"/>
        </w:rPr>
      </w:pPr>
      <w:r>
        <w:rPr>
          <w:rFonts w:ascii="Century Gothic" w:hAnsi="Century Gothic"/>
          <w:sz w:val="96"/>
          <w:szCs w:val="96"/>
        </w:rPr>
        <w:t>Gestión de costos en la Industria</w:t>
      </w:r>
    </w:p>
    <w:p w:rsidR="00416952" w:rsidRPr="004C2151" w:rsidRDefault="00416952" w:rsidP="00416952">
      <w:pPr>
        <w:rPr>
          <w:rFonts w:ascii="Century Gothic" w:hAnsi="Century Gothic"/>
          <w:b/>
          <w:sz w:val="20"/>
          <w:szCs w:val="20"/>
        </w:rPr>
      </w:pPr>
      <w:r w:rsidRPr="004C2151">
        <w:rPr>
          <w:rFonts w:ascii="Century Gothic" w:hAnsi="Century Gothic"/>
          <w:b/>
          <w:sz w:val="20"/>
          <w:szCs w:val="20"/>
        </w:rPr>
        <w:t>Proyecto: Transformación Empresarial NIH</w:t>
      </w:r>
    </w:p>
    <w:p w:rsidR="00416952" w:rsidRDefault="00416952" w:rsidP="00416952">
      <w:pPr>
        <w:rPr>
          <w:rFonts w:ascii="Century Gothic" w:hAnsi="Century Gothic"/>
          <w:sz w:val="20"/>
          <w:szCs w:val="20"/>
        </w:rPr>
      </w:pPr>
    </w:p>
    <w:p w:rsidR="00416952" w:rsidRDefault="00416952" w:rsidP="00416952">
      <w:r>
        <w:rPr>
          <w:rFonts w:ascii="Century Gothic" w:hAnsi="Century Gothic"/>
          <w:sz w:val="20"/>
          <w:szCs w:val="20"/>
        </w:rPr>
        <w:t>La información contenida en el siguiente documento consta de lo que establece el gobierno de Colombia mediante las convocatorias públicas por medio del ministerio de las TICS (Fondo de tecnologías de la Información y las comunicaciones), este modelo de solicitudes corresponde a los parámetros establecidos para el año 2017.</w:t>
      </w:r>
      <w:r w:rsidRPr="0085122C">
        <w:t>Capacidad Jurídica</w:t>
      </w:r>
    </w:p>
    <w:p w:rsidR="00416952" w:rsidRPr="00CC3D5C" w:rsidRDefault="00416952" w:rsidP="00416952">
      <w:pPr>
        <w:pStyle w:val="Ttulo1"/>
        <w:rPr>
          <w:color w:val="auto"/>
        </w:rPr>
      </w:pPr>
      <w:r w:rsidRPr="00CC3D5C">
        <w:rPr>
          <w:color w:val="auto"/>
        </w:rPr>
        <w:t>Capacidad Jurídica</w:t>
      </w:r>
    </w:p>
    <w:p w:rsidR="00416952" w:rsidRDefault="00416952" w:rsidP="00416952">
      <w:pPr>
        <w:rPr>
          <w:rFonts w:ascii="Century Gothic" w:hAnsi="Century Gothic"/>
          <w:sz w:val="20"/>
          <w:szCs w:val="20"/>
        </w:rPr>
      </w:pPr>
      <w:r>
        <w:rPr>
          <w:rFonts w:ascii="Century Gothic" w:hAnsi="Century Gothic"/>
          <w:sz w:val="20"/>
          <w:szCs w:val="20"/>
        </w:rPr>
        <w:t>Se deberá entregar documentos relacionados con la capacidad jurídica, los cuales son:</w:t>
      </w:r>
    </w:p>
    <w:p w:rsidR="00416952" w:rsidRPr="0085122C" w:rsidRDefault="00416952" w:rsidP="00416952">
      <w:pPr>
        <w:pStyle w:val="Prrafodelista"/>
        <w:numPr>
          <w:ilvl w:val="0"/>
          <w:numId w:val="1"/>
        </w:numPr>
        <w:rPr>
          <w:rFonts w:ascii="Century Gothic" w:hAnsi="Century Gothic"/>
          <w:sz w:val="20"/>
          <w:szCs w:val="20"/>
        </w:rPr>
      </w:pPr>
      <w:r w:rsidRPr="0085122C">
        <w:rPr>
          <w:rFonts w:ascii="Century Gothic" w:hAnsi="Century Gothic"/>
          <w:sz w:val="20"/>
          <w:szCs w:val="20"/>
        </w:rPr>
        <w:t>Carta de presentación de la oferta</w:t>
      </w:r>
      <w:r>
        <w:rPr>
          <w:rFonts w:ascii="Century Gothic" w:hAnsi="Century Gothic"/>
          <w:sz w:val="20"/>
          <w:szCs w:val="20"/>
        </w:rPr>
        <w:t>:</w:t>
      </w:r>
      <w:r w:rsidRPr="0085122C">
        <w:rPr>
          <w:rFonts w:ascii="Century Gothic" w:hAnsi="Century Gothic"/>
          <w:sz w:val="20"/>
          <w:szCs w:val="20"/>
        </w:rPr>
        <w:t xml:space="preserve"> </w:t>
      </w:r>
      <w:r>
        <w:rPr>
          <w:rFonts w:ascii="Century Gothic" w:hAnsi="Century Gothic"/>
          <w:sz w:val="20"/>
          <w:szCs w:val="20"/>
        </w:rPr>
        <w:t xml:space="preserve">Debe ser </w:t>
      </w:r>
      <w:r w:rsidRPr="0085122C">
        <w:rPr>
          <w:rFonts w:ascii="Century Gothic" w:hAnsi="Century Gothic"/>
          <w:sz w:val="20"/>
          <w:szCs w:val="20"/>
        </w:rPr>
        <w:t>firmada por el proponente o el representante legal</w:t>
      </w:r>
      <w:r>
        <w:rPr>
          <w:rFonts w:ascii="Century Gothic" w:hAnsi="Century Gothic"/>
          <w:sz w:val="20"/>
          <w:szCs w:val="20"/>
        </w:rPr>
        <w:t xml:space="preserve">, </w:t>
      </w:r>
      <w:r w:rsidRPr="0085122C">
        <w:rPr>
          <w:rFonts w:ascii="Century Gothic" w:hAnsi="Century Gothic"/>
          <w:sz w:val="20"/>
          <w:szCs w:val="20"/>
        </w:rPr>
        <w:t>para el caso de personas jurídicas o proponentes asociativos, Dicho documento debe contener como mínimo, la identificación del proponente, número de teléfono, número de fax, dirección, correo electrónico y la manifestación sobre el conocimiento de las condiciones técnicas establecidas, así como, la manifestación de no encontrarse incurso en alguna inhabilidad o incompatibilidad establecida por la ley.</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Certificado de existencia y representación legal.</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Carta de conformación de consorcio o unión temporal.</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RUT actualizado.</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 xml:space="preserve">Certificado de pago de aportes a la seguridad social </w:t>
      </w:r>
      <w:r w:rsidRPr="0085122C">
        <w:rPr>
          <w:rFonts w:ascii="Century Gothic" w:hAnsi="Century Gothic"/>
          <w:sz w:val="20"/>
          <w:szCs w:val="20"/>
        </w:rPr>
        <w:t>y parafiscales.</w:t>
      </w:r>
    </w:p>
    <w:p w:rsidR="00416952" w:rsidRDefault="00416952" w:rsidP="00416952">
      <w:pPr>
        <w:pStyle w:val="Prrafodelista"/>
        <w:numPr>
          <w:ilvl w:val="0"/>
          <w:numId w:val="1"/>
        </w:numPr>
        <w:rPr>
          <w:rFonts w:ascii="Century Gothic" w:hAnsi="Century Gothic"/>
          <w:sz w:val="20"/>
          <w:szCs w:val="20"/>
        </w:rPr>
      </w:pPr>
      <w:r w:rsidRPr="0085122C">
        <w:rPr>
          <w:rFonts w:ascii="Century Gothic" w:hAnsi="Century Gothic"/>
          <w:sz w:val="20"/>
          <w:szCs w:val="20"/>
        </w:rPr>
        <w:t>Antecedentes disciplinarios de la Procuraduría General de la Nación y Boletín Responsables Fiscales</w:t>
      </w:r>
      <w:r>
        <w:rPr>
          <w:rFonts w:ascii="Century Gothic" w:hAnsi="Century Gothic"/>
          <w:sz w:val="20"/>
          <w:szCs w:val="20"/>
        </w:rPr>
        <w:t xml:space="preserve"> </w:t>
      </w:r>
      <w:r w:rsidRPr="0085122C">
        <w:rPr>
          <w:rFonts w:ascii="Century Gothic" w:hAnsi="Century Gothic"/>
          <w:sz w:val="20"/>
          <w:szCs w:val="20"/>
        </w:rPr>
        <w:t>de la Contraloría General de la República</w:t>
      </w:r>
      <w:r>
        <w:rPr>
          <w:rFonts w:ascii="Century Gothic" w:hAnsi="Century Gothic"/>
          <w:sz w:val="20"/>
          <w:szCs w:val="20"/>
        </w:rPr>
        <w:t>.</w:t>
      </w:r>
    </w:p>
    <w:p w:rsidR="00416952" w:rsidRDefault="00416952" w:rsidP="00416952">
      <w:pPr>
        <w:pStyle w:val="Prrafodelista"/>
        <w:numPr>
          <w:ilvl w:val="0"/>
          <w:numId w:val="1"/>
        </w:numPr>
        <w:rPr>
          <w:rFonts w:ascii="Century Gothic" w:hAnsi="Century Gothic"/>
          <w:sz w:val="20"/>
          <w:szCs w:val="20"/>
        </w:rPr>
      </w:pPr>
      <w:r w:rsidRPr="0085122C">
        <w:rPr>
          <w:rFonts w:ascii="Century Gothic" w:hAnsi="Century Gothic"/>
          <w:sz w:val="20"/>
          <w:szCs w:val="20"/>
        </w:rPr>
        <w:t>Garantía de Seriedad de la Oferta</w:t>
      </w:r>
      <w:r>
        <w:rPr>
          <w:rFonts w:ascii="Century Gothic" w:hAnsi="Century Gothic"/>
          <w:sz w:val="20"/>
          <w:szCs w:val="20"/>
        </w:rPr>
        <w:t>.</w:t>
      </w:r>
    </w:p>
    <w:p w:rsidR="00416952" w:rsidRDefault="00416952" w:rsidP="00416952">
      <w:pPr>
        <w:pStyle w:val="Prrafodelista"/>
        <w:numPr>
          <w:ilvl w:val="0"/>
          <w:numId w:val="1"/>
        </w:numPr>
        <w:rPr>
          <w:rFonts w:ascii="Century Gothic" w:hAnsi="Century Gothic"/>
          <w:sz w:val="20"/>
          <w:szCs w:val="20"/>
        </w:rPr>
      </w:pPr>
      <w:r w:rsidRPr="0085122C">
        <w:rPr>
          <w:rFonts w:ascii="Century Gothic" w:hAnsi="Century Gothic"/>
          <w:sz w:val="20"/>
          <w:szCs w:val="20"/>
        </w:rPr>
        <w:t>Antecedentes disciplinarios de la Procuraduría General de la Nación y Boletín Responsables Fiscales</w:t>
      </w:r>
      <w:r>
        <w:rPr>
          <w:rFonts w:ascii="Century Gothic" w:hAnsi="Century Gothic"/>
          <w:sz w:val="20"/>
          <w:szCs w:val="20"/>
        </w:rPr>
        <w:t xml:space="preserve"> </w:t>
      </w:r>
      <w:r w:rsidRPr="0085122C">
        <w:rPr>
          <w:rFonts w:ascii="Century Gothic" w:hAnsi="Century Gothic"/>
          <w:sz w:val="20"/>
          <w:szCs w:val="20"/>
        </w:rPr>
        <w:t>de la Contraloría General de la República</w:t>
      </w:r>
      <w:r>
        <w:rPr>
          <w:rFonts w:ascii="Century Gothic" w:hAnsi="Century Gothic"/>
          <w:sz w:val="20"/>
          <w:szCs w:val="20"/>
        </w:rPr>
        <w:t>.</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RUT.</w:t>
      </w:r>
    </w:p>
    <w:p w:rsidR="00416952" w:rsidRDefault="00416952" w:rsidP="00416952">
      <w:pPr>
        <w:pStyle w:val="Prrafodelista"/>
        <w:numPr>
          <w:ilvl w:val="0"/>
          <w:numId w:val="1"/>
        </w:numPr>
        <w:rPr>
          <w:rFonts w:ascii="Century Gothic" w:hAnsi="Century Gothic"/>
          <w:sz w:val="20"/>
          <w:szCs w:val="20"/>
        </w:rPr>
      </w:pPr>
      <w:r>
        <w:rPr>
          <w:rFonts w:ascii="Century Gothic" w:hAnsi="Century Gothic"/>
          <w:sz w:val="20"/>
          <w:szCs w:val="20"/>
        </w:rPr>
        <w:t>RUP.</w:t>
      </w:r>
    </w:p>
    <w:p w:rsidR="00416952" w:rsidRDefault="00416952" w:rsidP="00CC3D5C">
      <w:pPr>
        <w:pStyle w:val="Ttulo1"/>
        <w:rPr>
          <w:color w:val="auto"/>
        </w:rPr>
      </w:pPr>
      <w:r w:rsidRPr="00CC3D5C">
        <w:rPr>
          <w:color w:val="auto"/>
        </w:rPr>
        <w:t>Indicadores financieros:</w:t>
      </w:r>
    </w:p>
    <w:p w:rsidR="00CC3D5C" w:rsidRPr="00CC3D5C" w:rsidRDefault="00CC3D5C" w:rsidP="00CC3D5C">
      <w:r>
        <w:t>Se evalúa CUMPLE o NO CUMPLE cada uno de ellos.</w:t>
      </w:r>
    </w:p>
    <w:tbl>
      <w:tblPr>
        <w:tblStyle w:val="Tablaconcuadrcula"/>
        <w:tblW w:w="0" w:type="auto"/>
        <w:tblLook w:val="04A0" w:firstRow="1" w:lastRow="0" w:firstColumn="1" w:lastColumn="0" w:noHBand="0" w:noVBand="1"/>
      </w:tblPr>
      <w:tblGrid>
        <w:gridCol w:w="2942"/>
        <w:gridCol w:w="3290"/>
        <w:gridCol w:w="2596"/>
      </w:tblGrid>
      <w:tr w:rsidR="00CC3D5C" w:rsidTr="00CC3D5C">
        <w:tc>
          <w:tcPr>
            <w:tcW w:w="2942" w:type="dxa"/>
          </w:tcPr>
          <w:p w:rsidR="00CC3D5C" w:rsidRPr="00CC3D5C" w:rsidRDefault="00CC3D5C" w:rsidP="00CC3D5C">
            <w:pPr>
              <w:rPr>
                <w:b/>
              </w:rPr>
            </w:pPr>
            <w:r w:rsidRPr="00CC3D5C">
              <w:rPr>
                <w:b/>
              </w:rPr>
              <w:t>Indicador</w:t>
            </w:r>
          </w:p>
        </w:tc>
        <w:tc>
          <w:tcPr>
            <w:tcW w:w="3290" w:type="dxa"/>
          </w:tcPr>
          <w:p w:rsidR="00CC3D5C" w:rsidRPr="00CC3D5C" w:rsidRDefault="00CC3D5C" w:rsidP="00CC3D5C">
            <w:pPr>
              <w:rPr>
                <w:b/>
              </w:rPr>
            </w:pPr>
            <w:r w:rsidRPr="00CC3D5C">
              <w:rPr>
                <w:b/>
              </w:rPr>
              <w:t>Formula</w:t>
            </w:r>
          </w:p>
        </w:tc>
        <w:tc>
          <w:tcPr>
            <w:tcW w:w="2596" w:type="dxa"/>
          </w:tcPr>
          <w:p w:rsidR="00CC3D5C" w:rsidRPr="00CC3D5C" w:rsidRDefault="00CC3D5C" w:rsidP="00CC3D5C">
            <w:pPr>
              <w:rPr>
                <w:b/>
              </w:rPr>
            </w:pPr>
            <w:r w:rsidRPr="00CC3D5C">
              <w:rPr>
                <w:b/>
              </w:rPr>
              <w:t>Margen Solicitado</w:t>
            </w:r>
          </w:p>
        </w:tc>
      </w:tr>
      <w:tr w:rsidR="00CC3D5C" w:rsidTr="00CC3D5C">
        <w:tc>
          <w:tcPr>
            <w:tcW w:w="2942" w:type="dxa"/>
          </w:tcPr>
          <w:p w:rsidR="00CC3D5C" w:rsidRDefault="00CC3D5C" w:rsidP="00CC3D5C">
            <w:r w:rsidRPr="00CC3D5C">
              <w:t>Liquidez</w:t>
            </w:r>
          </w:p>
        </w:tc>
        <w:tc>
          <w:tcPr>
            <w:tcW w:w="3290" w:type="dxa"/>
          </w:tcPr>
          <w:p w:rsidR="00CC3D5C" w:rsidRDefault="00CC3D5C" w:rsidP="00CC3D5C">
            <w:r>
              <w:t>Activo corriente sobre pasivo</w:t>
            </w:r>
          </w:p>
          <w:p w:rsidR="00CC3D5C" w:rsidRDefault="00CC3D5C" w:rsidP="00CC3D5C">
            <w:r>
              <w:t>corriente</w:t>
            </w:r>
          </w:p>
        </w:tc>
        <w:tc>
          <w:tcPr>
            <w:tcW w:w="2596" w:type="dxa"/>
          </w:tcPr>
          <w:p w:rsidR="00CC3D5C" w:rsidRDefault="00CC3D5C" w:rsidP="00CC3D5C">
            <w:r>
              <w:t>Varía según lo estipulado por el proyecto</w:t>
            </w:r>
          </w:p>
        </w:tc>
      </w:tr>
      <w:tr w:rsidR="00CC3D5C" w:rsidTr="00CC3D5C">
        <w:tc>
          <w:tcPr>
            <w:tcW w:w="2942" w:type="dxa"/>
          </w:tcPr>
          <w:p w:rsidR="00CC3D5C" w:rsidRDefault="00CC3D5C" w:rsidP="00CC3D5C">
            <w:r w:rsidRPr="00CC3D5C">
              <w:t>Nivel de endeudamiento</w:t>
            </w:r>
          </w:p>
        </w:tc>
        <w:tc>
          <w:tcPr>
            <w:tcW w:w="3290" w:type="dxa"/>
          </w:tcPr>
          <w:p w:rsidR="00CC3D5C" w:rsidRDefault="00CC3D5C" w:rsidP="00CC3D5C">
            <w:r w:rsidRPr="00CC3D5C">
              <w:t>Pasivo total sobre activo total</w:t>
            </w:r>
          </w:p>
        </w:tc>
        <w:tc>
          <w:tcPr>
            <w:tcW w:w="2596" w:type="dxa"/>
          </w:tcPr>
          <w:p w:rsidR="00CC3D5C" w:rsidRDefault="00CC3D5C" w:rsidP="00CC3D5C">
            <w:r>
              <w:t>Varía según lo estipulado por el proyecto</w:t>
            </w:r>
          </w:p>
        </w:tc>
      </w:tr>
      <w:tr w:rsidR="00CC3D5C" w:rsidTr="00CC3D5C">
        <w:tc>
          <w:tcPr>
            <w:tcW w:w="2942" w:type="dxa"/>
          </w:tcPr>
          <w:p w:rsidR="00CC3D5C" w:rsidRDefault="00CC3D5C" w:rsidP="00CC3D5C">
            <w:r>
              <w:lastRenderedPageBreak/>
              <w:t>Razón de Cobertura de</w:t>
            </w:r>
          </w:p>
          <w:p w:rsidR="00CC3D5C" w:rsidRDefault="00CC3D5C" w:rsidP="00CC3D5C">
            <w:r>
              <w:t>Intereses</w:t>
            </w:r>
          </w:p>
        </w:tc>
        <w:tc>
          <w:tcPr>
            <w:tcW w:w="3290" w:type="dxa"/>
          </w:tcPr>
          <w:p w:rsidR="00CC3D5C" w:rsidRDefault="00CC3D5C" w:rsidP="00CC3D5C">
            <w:r>
              <w:t>Utilidad operacional sobre gastos de</w:t>
            </w:r>
            <w:r>
              <w:t xml:space="preserve"> </w:t>
            </w:r>
            <w:r>
              <w:t>intereses</w:t>
            </w:r>
          </w:p>
        </w:tc>
        <w:tc>
          <w:tcPr>
            <w:tcW w:w="2596" w:type="dxa"/>
          </w:tcPr>
          <w:p w:rsidR="00CC3D5C" w:rsidRDefault="00CC3D5C" w:rsidP="00CC3D5C">
            <w:r>
              <w:t>Varía según lo estipulado por el proyecto</w:t>
            </w:r>
          </w:p>
        </w:tc>
      </w:tr>
      <w:tr w:rsidR="00CC3D5C" w:rsidTr="00CC3D5C">
        <w:tc>
          <w:tcPr>
            <w:tcW w:w="2942" w:type="dxa"/>
          </w:tcPr>
          <w:p w:rsidR="00CC3D5C" w:rsidRDefault="00CC3D5C" w:rsidP="00CC3D5C">
            <w:r w:rsidRPr="00CC3D5C">
              <w:t>Capital de Trabajo</w:t>
            </w:r>
          </w:p>
        </w:tc>
        <w:tc>
          <w:tcPr>
            <w:tcW w:w="3290" w:type="dxa"/>
          </w:tcPr>
          <w:p w:rsidR="00CC3D5C" w:rsidRDefault="00CC3D5C" w:rsidP="00CC3D5C">
            <w:r>
              <w:t>Activo Corriente menos Pasivo</w:t>
            </w:r>
          </w:p>
          <w:p w:rsidR="00CC3D5C" w:rsidRDefault="00CC3D5C" w:rsidP="00CC3D5C">
            <w:r>
              <w:t>Corriente</w:t>
            </w:r>
          </w:p>
        </w:tc>
        <w:tc>
          <w:tcPr>
            <w:tcW w:w="2596" w:type="dxa"/>
          </w:tcPr>
          <w:p w:rsidR="00CC3D5C" w:rsidRDefault="00CC3D5C" w:rsidP="00CC3D5C">
            <w:r>
              <w:t>Varía según lo estipulado por el proyecto</w:t>
            </w:r>
          </w:p>
        </w:tc>
      </w:tr>
      <w:tr w:rsidR="00CC3D5C" w:rsidTr="00CC3D5C">
        <w:tc>
          <w:tcPr>
            <w:tcW w:w="2942" w:type="dxa"/>
          </w:tcPr>
          <w:p w:rsidR="00CC3D5C" w:rsidRDefault="00CC3D5C" w:rsidP="00CC3D5C">
            <w:r w:rsidRPr="00CC3D5C">
              <w:t>Patrimonio</w:t>
            </w:r>
          </w:p>
        </w:tc>
        <w:tc>
          <w:tcPr>
            <w:tcW w:w="3290" w:type="dxa"/>
          </w:tcPr>
          <w:p w:rsidR="00CC3D5C" w:rsidRDefault="00CC3D5C" w:rsidP="00CC3D5C">
            <w:r w:rsidRPr="00CC3D5C">
              <w:t>Activo Total menos Pasivo Total</w:t>
            </w:r>
          </w:p>
        </w:tc>
        <w:tc>
          <w:tcPr>
            <w:tcW w:w="2596" w:type="dxa"/>
          </w:tcPr>
          <w:p w:rsidR="00CC3D5C" w:rsidRDefault="00CC3D5C" w:rsidP="00CC3D5C">
            <w:r>
              <w:t>Varía según lo estipulado por el proyecto</w:t>
            </w:r>
          </w:p>
        </w:tc>
      </w:tr>
      <w:tr w:rsidR="00CC3D5C" w:rsidTr="00CC3D5C">
        <w:tc>
          <w:tcPr>
            <w:tcW w:w="2942" w:type="dxa"/>
          </w:tcPr>
          <w:p w:rsidR="00CC3D5C" w:rsidRDefault="00CC3D5C" w:rsidP="00CC3D5C">
            <w:r>
              <w:t>Apalancamiento a Corto Plazo</w:t>
            </w:r>
          </w:p>
          <w:p w:rsidR="00CC3D5C" w:rsidRDefault="00CC3D5C" w:rsidP="00CC3D5C">
            <w:r>
              <w:t>(Solo para ESAL con Utilidad</w:t>
            </w:r>
          </w:p>
          <w:p w:rsidR="00CC3D5C" w:rsidRDefault="00CC3D5C" w:rsidP="00CC3D5C">
            <w:r>
              <w:t>Operacional Negativa).</w:t>
            </w:r>
          </w:p>
        </w:tc>
        <w:tc>
          <w:tcPr>
            <w:tcW w:w="3290" w:type="dxa"/>
          </w:tcPr>
          <w:p w:rsidR="00CC3D5C" w:rsidRDefault="00CC3D5C" w:rsidP="00CC3D5C">
            <w:r>
              <w:t>Pasivo Corriente sobre Total</w:t>
            </w:r>
          </w:p>
          <w:p w:rsidR="00CC3D5C" w:rsidRDefault="00CC3D5C" w:rsidP="00CC3D5C">
            <w:r>
              <w:t>Patrimonio</w:t>
            </w:r>
          </w:p>
        </w:tc>
        <w:tc>
          <w:tcPr>
            <w:tcW w:w="2596" w:type="dxa"/>
          </w:tcPr>
          <w:p w:rsidR="00CC3D5C" w:rsidRDefault="00CC3D5C" w:rsidP="00CC3D5C">
            <w:r>
              <w:t>Varía según lo estipulado por el proyecto</w:t>
            </w:r>
          </w:p>
        </w:tc>
      </w:tr>
    </w:tbl>
    <w:p w:rsidR="00A54C3A" w:rsidRDefault="00A54C3A" w:rsidP="00A54C3A"/>
    <w:p w:rsidR="000B69C2" w:rsidRDefault="000B69C2" w:rsidP="000B69C2">
      <w:pPr>
        <w:pStyle w:val="Ttulo1"/>
        <w:rPr>
          <w:color w:val="auto"/>
        </w:rPr>
      </w:pPr>
      <w:r w:rsidRPr="00CC3D5C">
        <w:rPr>
          <w:color w:val="auto"/>
        </w:rPr>
        <w:t xml:space="preserve">Indicadores </w:t>
      </w:r>
      <w:r>
        <w:rPr>
          <w:color w:val="auto"/>
        </w:rPr>
        <w:t>capacidad organizacional</w:t>
      </w:r>
      <w:r w:rsidRPr="00CC3D5C">
        <w:rPr>
          <w:color w:val="auto"/>
        </w:rPr>
        <w:t>:</w:t>
      </w:r>
    </w:p>
    <w:p w:rsidR="000B69C2" w:rsidRPr="00CC3D5C" w:rsidRDefault="000B69C2" w:rsidP="000B69C2">
      <w:r>
        <w:t>Se evalúa CUMPLE o NO CUMPLE cada uno de ellos.</w:t>
      </w:r>
    </w:p>
    <w:tbl>
      <w:tblPr>
        <w:tblStyle w:val="Tablaconcuadrcula"/>
        <w:tblW w:w="0" w:type="auto"/>
        <w:tblLook w:val="04A0" w:firstRow="1" w:lastRow="0" w:firstColumn="1" w:lastColumn="0" w:noHBand="0" w:noVBand="1"/>
      </w:tblPr>
      <w:tblGrid>
        <w:gridCol w:w="2942"/>
        <w:gridCol w:w="2943"/>
        <w:gridCol w:w="2943"/>
      </w:tblGrid>
      <w:tr w:rsidR="000B69C2" w:rsidTr="000B69C2">
        <w:tc>
          <w:tcPr>
            <w:tcW w:w="2942" w:type="dxa"/>
          </w:tcPr>
          <w:p w:rsidR="000B69C2" w:rsidRPr="00CC3D5C" w:rsidRDefault="000B69C2" w:rsidP="000B69C2">
            <w:pPr>
              <w:rPr>
                <w:b/>
              </w:rPr>
            </w:pPr>
            <w:r w:rsidRPr="00CC3D5C">
              <w:rPr>
                <w:b/>
              </w:rPr>
              <w:t>Indicador</w:t>
            </w:r>
          </w:p>
        </w:tc>
        <w:tc>
          <w:tcPr>
            <w:tcW w:w="2943" w:type="dxa"/>
          </w:tcPr>
          <w:p w:rsidR="000B69C2" w:rsidRPr="00CC3D5C" w:rsidRDefault="000B69C2" w:rsidP="000B69C2">
            <w:pPr>
              <w:rPr>
                <w:b/>
              </w:rPr>
            </w:pPr>
            <w:r w:rsidRPr="00CC3D5C">
              <w:rPr>
                <w:b/>
              </w:rPr>
              <w:t>Formula</w:t>
            </w:r>
          </w:p>
        </w:tc>
        <w:tc>
          <w:tcPr>
            <w:tcW w:w="2943" w:type="dxa"/>
          </w:tcPr>
          <w:p w:rsidR="000B69C2" w:rsidRPr="00CC3D5C" w:rsidRDefault="000B69C2" w:rsidP="000B69C2">
            <w:pPr>
              <w:rPr>
                <w:b/>
              </w:rPr>
            </w:pPr>
            <w:r w:rsidRPr="00CC3D5C">
              <w:rPr>
                <w:b/>
              </w:rPr>
              <w:t>Margen Solicitado</w:t>
            </w:r>
          </w:p>
        </w:tc>
      </w:tr>
      <w:tr w:rsidR="000B69C2" w:rsidTr="000B69C2">
        <w:tc>
          <w:tcPr>
            <w:tcW w:w="2942" w:type="dxa"/>
          </w:tcPr>
          <w:p w:rsidR="000B69C2" w:rsidRDefault="000B69C2" w:rsidP="000B69C2">
            <w:r w:rsidRPr="000B69C2">
              <w:t xml:space="preserve">Rentabilidad del Patrimonio </w:t>
            </w:r>
          </w:p>
        </w:tc>
        <w:tc>
          <w:tcPr>
            <w:tcW w:w="2943" w:type="dxa"/>
          </w:tcPr>
          <w:p w:rsidR="000B69C2" w:rsidRDefault="000B69C2" w:rsidP="000B69C2">
            <w:r w:rsidRPr="000B69C2">
              <w:t>Utilidad Operacional sobre</w:t>
            </w:r>
            <w:r>
              <w:t xml:space="preserve"> Patrimonio</w:t>
            </w:r>
          </w:p>
        </w:tc>
        <w:tc>
          <w:tcPr>
            <w:tcW w:w="2943" w:type="dxa"/>
          </w:tcPr>
          <w:p w:rsidR="000B69C2" w:rsidRDefault="000B69C2" w:rsidP="000B69C2"/>
        </w:tc>
      </w:tr>
      <w:tr w:rsidR="000B69C2" w:rsidTr="000B69C2">
        <w:tc>
          <w:tcPr>
            <w:tcW w:w="2942" w:type="dxa"/>
          </w:tcPr>
          <w:p w:rsidR="000B69C2" w:rsidRDefault="000B69C2" w:rsidP="000B69C2">
            <w:r>
              <w:t>Rentabilidad del Activo</w:t>
            </w:r>
          </w:p>
        </w:tc>
        <w:tc>
          <w:tcPr>
            <w:tcW w:w="2943" w:type="dxa"/>
          </w:tcPr>
          <w:p w:rsidR="000B69C2" w:rsidRDefault="000B69C2" w:rsidP="000B69C2">
            <w:r>
              <w:t>Utilidad Operacional sobre Activo Total</w:t>
            </w:r>
          </w:p>
        </w:tc>
        <w:tc>
          <w:tcPr>
            <w:tcW w:w="2943" w:type="dxa"/>
          </w:tcPr>
          <w:p w:rsidR="000B69C2" w:rsidRDefault="000B69C2" w:rsidP="000B69C2"/>
        </w:tc>
      </w:tr>
      <w:tr w:rsidR="000B69C2" w:rsidTr="000B69C2">
        <w:tc>
          <w:tcPr>
            <w:tcW w:w="2942" w:type="dxa"/>
          </w:tcPr>
          <w:p w:rsidR="000B69C2" w:rsidRDefault="000B69C2" w:rsidP="000B69C2">
            <w:r>
              <w:t>Capital de Trabajo (Solo ESAL con</w:t>
            </w:r>
            <w:r>
              <w:t xml:space="preserve"> </w:t>
            </w:r>
            <w:r>
              <w:t>Utilidad operacional negativa)</w:t>
            </w:r>
          </w:p>
        </w:tc>
        <w:tc>
          <w:tcPr>
            <w:tcW w:w="2943" w:type="dxa"/>
          </w:tcPr>
          <w:p w:rsidR="000B69C2" w:rsidRDefault="000B69C2" w:rsidP="000B69C2">
            <w:r w:rsidRPr="000B69C2">
              <w:t>Activo Corriente menos Pasivo Corriente</w:t>
            </w:r>
          </w:p>
        </w:tc>
        <w:tc>
          <w:tcPr>
            <w:tcW w:w="2943" w:type="dxa"/>
          </w:tcPr>
          <w:p w:rsidR="000B69C2" w:rsidRDefault="000B69C2" w:rsidP="000B69C2"/>
        </w:tc>
      </w:tr>
      <w:tr w:rsidR="000B69C2" w:rsidTr="000B69C2">
        <w:tc>
          <w:tcPr>
            <w:tcW w:w="2942" w:type="dxa"/>
          </w:tcPr>
          <w:p w:rsidR="000B69C2" w:rsidRDefault="006E60A8" w:rsidP="006E60A8">
            <w:r>
              <w:t>Patrimonio (Solo ESAL con Utilidad</w:t>
            </w:r>
            <w:r>
              <w:t xml:space="preserve"> </w:t>
            </w:r>
            <w:r>
              <w:t>Operacional negativa)</w:t>
            </w:r>
          </w:p>
        </w:tc>
        <w:tc>
          <w:tcPr>
            <w:tcW w:w="2943" w:type="dxa"/>
          </w:tcPr>
          <w:p w:rsidR="000B69C2" w:rsidRDefault="006E60A8" w:rsidP="000B69C2">
            <w:r w:rsidRPr="006E60A8">
              <w:t>Activo Total menos Pasivo Total</w:t>
            </w:r>
          </w:p>
        </w:tc>
        <w:tc>
          <w:tcPr>
            <w:tcW w:w="2943" w:type="dxa"/>
          </w:tcPr>
          <w:p w:rsidR="000B69C2" w:rsidRDefault="000B69C2" w:rsidP="000B69C2"/>
        </w:tc>
      </w:tr>
    </w:tbl>
    <w:p w:rsidR="00A54C3A" w:rsidRDefault="00A54C3A" w:rsidP="00A54C3A"/>
    <w:p w:rsidR="006E60A8" w:rsidRDefault="006E60A8" w:rsidP="006E60A8">
      <w:pPr>
        <w:pStyle w:val="Ttulo1"/>
        <w:rPr>
          <w:color w:val="auto"/>
        </w:rPr>
      </w:pPr>
      <w:r>
        <w:rPr>
          <w:color w:val="auto"/>
        </w:rPr>
        <w:t>Índice de liquidez</w:t>
      </w:r>
      <w:r w:rsidRPr="00CC3D5C">
        <w:rPr>
          <w:color w:val="auto"/>
        </w:rPr>
        <w:t>:</w:t>
      </w:r>
    </w:p>
    <w:p w:rsidR="006E60A8" w:rsidRDefault="006E60A8" w:rsidP="006E60A8"/>
    <w:p w:rsidR="006E60A8" w:rsidRDefault="006E60A8" w:rsidP="006E60A8">
      <w:r>
        <w:t>Se determina el indicador de Liquidez, que resulta de dividir el Activo Corriente sobre Pasivo Corriente</w:t>
      </w:r>
      <w:r>
        <w:t>. Se calcula a partir de la siguiente formula.</w:t>
      </w:r>
    </w:p>
    <w:p w:rsidR="006E60A8" w:rsidRDefault="006E60A8" w:rsidP="006E60A8">
      <w:pPr>
        <w:jc w:val="center"/>
      </w:pPr>
      <w:r>
        <w:rPr>
          <w:noProof/>
        </w:rPr>
        <w:drawing>
          <wp:inline distT="0" distB="0" distL="0" distR="0" wp14:anchorId="1E990FB7" wp14:editId="250EADA2">
            <wp:extent cx="4171950" cy="781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781050"/>
                    </a:xfrm>
                    <a:prstGeom prst="rect">
                      <a:avLst/>
                    </a:prstGeom>
                  </pic:spPr>
                </pic:pic>
              </a:graphicData>
            </a:graphic>
          </wp:inline>
        </w:drawing>
      </w:r>
    </w:p>
    <w:p w:rsidR="006E60A8" w:rsidRDefault="006E60A8" w:rsidP="006E60A8">
      <w:pPr>
        <w:pStyle w:val="Ttulo1"/>
        <w:rPr>
          <w:color w:val="auto"/>
        </w:rPr>
      </w:pPr>
      <w:r>
        <w:rPr>
          <w:color w:val="auto"/>
        </w:rPr>
        <w:t>Nivel de endeudamiento.</w:t>
      </w:r>
    </w:p>
    <w:p w:rsidR="006E60A8" w:rsidRPr="006E60A8" w:rsidRDefault="006E60A8" w:rsidP="006E60A8">
      <w:r w:rsidRPr="006E60A8">
        <w:t>Se obtiene el porcentaje de endeudamiento, del resultado de dividir el Pasivo Total sobre el Activo Total</w:t>
      </w:r>
      <w:r>
        <w:t>, así:</w:t>
      </w:r>
    </w:p>
    <w:p w:rsidR="006E60A8" w:rsidRPr="006E60A8" w:rsidRDefault="006E60A8" w:rsidP="006E60A8"/>
    <w:p w:rsidR="00CC3D5C" w:rsidRPr="00CC3D5C" w:rsidRDefault="006E60A8" w:rsidP="006E60A8">
      <w:pPr>
        <w:jc w:val="center"/>
      </w:pPr>
      <w:r>
        <w:rPr>
          <w:noProof/>
        </w:rPr>
        <w:lastRenderedPageBreak/>
        <w:drawing>
          <wp:inline distT="0" distB="0" distL="0" distR="0" wp14:anchorId="15826F74" wp14:editId="0F96FAFB">
            <wp:extent cx="4457700" cy="92503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9895" cy="944165"/>
                    </a:xfrm>
                    <a:prstGeom prst="rect">
                      <a:avLst/>
                    </a:prstGeom>
                  </pic:spPr>
                </pic:pic>
              </a:graphicData>
            </a:graphic>
          </wp:inline>
        </w:drawing>
      </w:r>
    </w:p>
    <w:p w:rsidR="00416952" w:rsidRDefault="00416952" w:rsidP="00416952">
      <w:pPr>
        <w:rPr>
          <w:rFonts w:ascii="Century Gothic" w:hAnsi="Century Gothic"/>
          <w:sz w:val="20"/>
          <w:szCs w:val="20"/>
        </w:rPr>
      </w:pPr>
      <w:r>
        <w:rPr>
          <w:rFonts w:ascii="Century Gothic" w:hAnsi="Century Gothic"/>
          <w:sz w:val="20"/>
          <w:szCs w:val="20"/>
        </w:rPr>
        <w:t xml:space="preserve">Para más información se podrá consultar el </w:t>
      </w:r>
      <w:r w:rsidRPr="009B4D8E">
        <w:rPr>
          <w:rFonts w:ascii="Century Gothic" w:hAnsi="Century Gothic"/>
          <w:sz w:val="20"/>
          <w:szCs w:val="20"/>
        </w:rPr>
        <w:t>artículo 2.2.1.1.2.1.1. del Decreto 1082 de 2015</w:t>
      </w:r>
    </w:p>
    <w:p w:rsidR="006E60A8" w:rsidRDefault="006E60A8" w:rsidP="006E60A8">
      <w:pPr>
        <w:pStyle w:val="Ttulo1"/>
        <w:rPr>
          <w:color w:val="auto"/>
        </w:rPr>
      </w:pPr>
      <w:r>
        <w:rPr>
          <w:color w:val="auto"/>
        </w:rPr>
        <w:t>Razón de cobertura de intereses.</w:t>
      </w:r>
    </w:p>
    <w:p w:rsidR="006E60A8" w:rsidRDefault="006E60A8" w:rsidP="006E60A8">
      <w:r w:rsidRPr="006E60A8">
        <w:t>Se determina dividiendo la Utilidad Operacional sobre los Gastos de Intereses,</w:t>
      </w:r>
      <w:r>
        <w:t xml:space="preserve"> así:</w:t>
      </w:r>
    </w:p>
    <w:p w:rsidR="006E60A8" w:rsidRPr="006E60A8" w:rsidRDefault="006E60A8" w:rsidP="006E60A8">
      <w:pPr>
        <w:jc w:val="center"/>
      </w:pPr>
      <w:r>
        <w:rPr>
          <w:noProof/>
        </w:rPr>
        <w:drawing>
          <wp:inline distT="0" distB="0" distL="0" distR="0" wp14:anchorId="7B5319CB" wp14:editId="6BB3A43A">
            <wp:extent cx="4286250" cy="848714"/>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8162" cy="860973"/>
                    </a:xfrm>
                    <a:prstGeom prst="rect">
                      <a:avLst/>
                    </a:prstGeom>
                  </pic:spPr>
                </pic:pic>
              </a:graphicData>
            </a:graphic>
          </wp:inline>
        </w:drawing>
      </w:r>
    </w:p>
    <w:p w:rsidR="006E60A8" w:rsidRDefault="006E60A8" w:rsidP="006E60A8">
      <w:pPr>
        <w:pStyle w:val="Ttulo1"/>
        <w:rPr>
          <w:color w:val="auto"/>
        </w:rPr>
      </w:pPr>
      <w:r>
        <w:rPr>
          <w:color w:val="auto"/>
        </w:rPr>
        <w:t>Capital de trabajo.</w:t>
      </w:r>
    </w:p>
    <w:p w:rsidR="006E60A8" w:rsidRDefault="006E60A8" w:rsidP="006E60A8">
      <w:r w:rsidRPr="006E60A8">
        <w:t>Se determina tomar el Activo Corriente menos el Pasivo Corriente,</w:t>
      </w:r>
      <w:r>
        <w:t xml:space="preserve"> así:</w:t>
      </w:r>
    </w:p>
    <w:p w:rsidR="006E60A8" w:rsidRPr="006E60A8" w:rsidRDefault="006E60A8" w:rsidP="006E60A8">
      <w:pPr>
        <w:jc w:val="center"/>
      </w:pPr>
      <w:r>
        <w:rPr>
          <w:noProof/>
        </w:rPr>
        <w:drawing>
          <wp:inline distT="0" distB="0" distL="0" distR="0" wp14:anchorId="52AF85E0" wp14:editId="1E96A586">
            <wp:extent cx="5612130" cy="5251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25145"/>
                    </a:xfrm>
                    <a:prstGeom prst="rect">
                      <a:avLst/>
                    </a:prstGeom>
                  </pic:spPr>
                </pic:pic>
              </a:graphicData>
            </a:graphic>
          </wp:inline>
        </w:drawing>
      </w:r>
    </w:p>
    <w:p w:rsidR="006E60A8" w:rsidRDefault="006E60A8" w:rsidP="006E60A8">
      <w:pPr>
        <w:pStyle w:val="Ttulo1"/>
        <w:rPr>
          <w:color w:val="auto"/>
        </w:rPr>
      </w:pPr>
      <w:r>
        <w:rPr>
          <w:color w:val="auto"/>
        </w:rPr>
        <w:t>Patrimonio.</w:t>
      </w:r>
    </w:p>
    <w:p w:rsidR="006E60A8" w:rsidRDefault="006E60A8" w:rsidP="006E60A8">
      <w:r w:rsidRPr="006E60A8">
        <w:t>Se determina restando al Activo Total el Pasivo Total,</w:t>
      </w:r>
      <w:r>
        <w:t xml:space="preserve"> así:</w:t>
      </w:r>
    </w:p>
    <w:p w:rsidR="006E60A8" w:rsidRPr="006E60A8" w:rsidRDefault="006E60A8" w:rsidP="006E60A8">
      <w:pPr>
        <w:jc w:val="center"/>
      </w:pPr>
      <w:r>
        <w:rPr>
          <w:noProof/>
        </w:rPr>
        <w:drawing>
          <wp:inline distT="0" distB="0" distL="0" distR="0" wp14:anchorId="0ABE6CD8" wp14:editId="4E38D492">
            <wp:extent cx="4304366" cy="63167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0601" cy="650202"/>
                    </a:xfrm>
                    <a:prstGeom prst="rect">
                      <a:avLst/>
                    </a:prstGeom>
                  </pic:spPr>
                </pic:pic>
              </a:graphicData>
            </a:graphic>
          </wp:inline>
        </w:drawing>
      </w:r>
    </w:p>
    <w:p w:rsidR="006E60A8" w:rsidRDefault="006E60A8" w:rsidP="006E60A8">
      <w:pPr>
        <w:pStyle w:val="Ttulo1"/>
        <w:rPr>
          <w:color w:val="auto"/>
        </w:rPr>
      </w:pPr>
      <w:r>
        <w:rPr>
          <w:color w:val="auto"/>
        </w:rPr>
        <w:t>Apalancamiento a corto plazo.</w:t>
      </w:r>
    </w:p>
    <w:p w:rsidR="006E60A8" w:rsidRPr="006E60A8" w:rsidRDefault="006E60A8" w:rsidP="006E60A8">
      <w:r w:rsidRPr="006E60A8">
        <w:t>Se determina de dividir el Pasivo Corriente sobre el Total del Patrimonio</w:t>
      </w:r>
      <w:r>
        <w:t>, así.</w:t>
      </w:r>
    </w:p>
    <w:p w:rsidR="00416952" w:rsidRDefault="006E60A8" w:rsidP="006E60A8">
      <w:pPr>
        <w:jc w:val="center"/>
        <w:rPr>
          <w:rFonts w:ascii="Century Gothic" w:hAnsi="Century Gothic"/>
          <w:sz w:val="20"/>
          <w:szCs w:val="20"/>
          <w:lang w:val="en-US"/>
        </w:rPr>
      </w:pPr>
      <w:r>
        <w:rPr>
          <w:noProof/>
        </w:rPr>
        <w:drawing>
          <wp:inline distT="0" distB="0" distL="0" distR="0" wp14:anchorId="07917027" wp14:editId="36BC53B9">
            <wp:extent cx="4371975" cy="74993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064" cy="755610"/>
                    </a:xfrm>
                    <a:prstGeom prst="rect">
                      <a:avLst/>
                    </a:prstGeom>
                  </pic:spPr>
                </pic:pic>
              </a:graphicData>
            </a:graphic>
          </wp:inline>
        </w:drawing>
      </w:r>
    </w:p>
    <w:p w:rsidR="003E2A7B" w:rsidRDefault="003E2A7B" w:rsidP="006E60A8">
      <w:pPr>
        <w:jc w:val="center"/>
        <w:rPr>
          <w:rFonts w:ascii="Century Gothic" w:hAnsi="Century Gothic"/>
          <w:sz w:val="20"/>
          <w:szCs w:val="20"/>
          <w:lang w:val="en-US"/>
        </w:rPr>
      </w:pPr>
    </w:p>
    <w:p w:rsidR="00A55621" w:rsidRDefault="00A55621">
      <w:pPr>
        <w:rPr>
          <w:rFonts w:ascii="Century Gothic" w:hAnsi="Century Gothic"/>
          <w:sz w:val="20"/>
          <w:szCs w:val="20"/>
          <w:lang w:val="en-US"/>
        </w:rPr>
      </w:pPr>
      <w:r>
        <w:rPr>
          <w:rFonts w:ascii="Century Gothic" w:hAnsi="Century Gothic"/>
          <w:sz w:val="20"/>
          <w:szCs w:val="20"/>
          <w:lang w:val="en-US"/>
        </w:rPr>
        <w:br w:type="page"/>
      </w:r>
    </w:p>
    <w:p w:rsidR="00416952" w:rsidRDefault="00416952" w:rsidP="00416952">
      <w:pPr>
        <w:rPr>
          <w:rFonts w:ascii="Century Gothic" w:hAnsi="Century Gothic"/>
          <w:sz w:val="20"/>
          <w:szCs w:val="20"/>
          <w:lang w:val="en-US"/>
        </w:rPr>
      </w:pPr>
      <w:bookmarkStart w:id="0" w:name="_GoBack"/>
      <w:bookmarkEnd w:id="0"/>
    </w:p>
    <w:sdt>
      <w:sdtPr>
        <w:rPr>
          <w:color w:val="auto"/>
          <w:lang w:val="es-ES"/>
        </w:rPr>
        <w:id w:val="-147529246"/>
        <w:docPartObj>
          <w:docPartGallery w:val="Bibliographies"/>
          <w:docPartUnique/>
        </w:docPartObj>
      </w:sdtPr>
      <w:sdtEndPr>
        <w:rPr>
          <w:rFonts w:asciiTheme="minorHAnsi" w:eastAsiaTheme="minorHAnsi" w:hAnsiTheme="minorHAnsi" w:cstheme="minorBidi"/>
          <w:sz w:val="22"/>
          <w:szCs w:val="22"/>
          <w:lang w:val="es-CO"/>
        </w:rPr>
      </w:sdtEndPr>
      <w:sdtContent>
        <w:p w:rsidR="00A55621" w:rsidRPr="00A55621" w:rsidRDefault="00A55621">
          <w:pPr>
            <w:pStyle w:val="Ttulo1"/>
            <w:rPr>
              <w:color w:val="auto"/>
            </w:rPr>
          </w:pPr>
          <w:r w:rsidRPr="00A55621">
            <w:rPr>
              <w:color w:val="auto"/>
              <w:lang w:val="es-ES"/>
            </w:rPr>
            <w:t>Bibliografía</w:t>
          </w:r>
        </w:p>
        <w:sdt>
          <w:sdtPr>
            <w:id w:val="111145805"/>
            <w:bibliography/>
          </w:sdtPr>
          <w:sdtContent>
            <w:p w:rsidR="00A55621" w:rsidRDefault="00A55621" w:rsidP="00A55621">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TICS, M. d. (10 de 06 de 2017). </w:t>
              </w:r>
              <w:r>
                <w:rPr>
                  <w:i/>
                  <w:iCs/>
                  <w:noProof/>
                  <w:lang w:val="es-ES"/>
                </w:rPr>
                <w:t>MIN TIC Gobierno de las TICS</w:t>
              </w:r>
              <w:r>
                <w:rPr>
                  <w:noProof/>
                  <w:lang w:val="es-ES"/>
                </w:rPr>
                <w:t>. Recuperado el 06 de 04 de 2018, de http://www.mintic.gov.co/portal/604/w3-propertyvalue-7419.html</w:t>
              </w:r>
            </w:p>
            <w:p w:rsidR="00A55621" w:rsidRDefault="00A55621" w:rsidP="00A55621">
              <w:r>
                <w:rPr>
                  <w:b/>
                  <w:bCs/>
                </w:rPr>
                <w:fldChar w:fldCharType="end"/>
              </w:r>
            </w:p>
          </w:sdtContent>
        </w:sdt>
      </w:sdtContent>
    </w:sdt>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p w:rsidR="00416952" w:rsidRPr="00337850" w:rsidRDefault="00416952" w:rsidP="00416952">
      <w:pPr>
        <w:rPr>
          <w:rFonts w:ascii="Century Gothic" w:hAnsi="Century Gothic"/>
          <w:sz w:val="20"/>
          <w:szCs w:val="20"/>
          <w:lang w:val="en-US"/>
        </w:rPr>
      </w:pPr>
    </w:p>
    <w:tbl>
      <w:tblPr>
        <w:tblStyle w:val="Tablaconcuadrcula"/>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2"/>
        <w:gridCol w:w="5344"/>
        <w:gridCol w:w="1559"/>
        <w:gridCol w:w="753"/>
      </w:tblGrid>
      <w:tr w:rsidR="00416952" w:rsidRPr="00451B38" w:rsidTr="004D1051">
        <w:trPr>
          <w:jc w:val="center"/>
        </w:trPr>
        <w:tc>
          <w:tcPr>
            <w:tcW w:w="1172"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Fecha</w:t>
            </w:r>
          </w:p>
        </w:tc>
        <w:tc>
          <w:tcPr>
            <w:tcW w:w="5344" w:type="dxa"/>
            <w:shd w:val="clear" w:color="auto" w:fill="F2F2F2" w:themeFill="background1" w:themeFillShade="F2"/>
          </w:tcPr>
          <w:p w:rsidR="00416952" w:rsidRPr="00C94428" w:rsidRDefault="00416952" w:rsidP="004D1051">
            <w:pPr>
              <w:rPr>
                <w:rFonts w:ascii="Century Gothic" w:hAnsi="Century Gothic"/>
                <w:b/>
                <w:sz w:val="18"/>
                <w:szCs w:val="18"/>
              </w:rPr>
            </w:pPr>
            <w:r w:rsidRPr="00C94428">
              <w:rPr>
                <w:rFonts w:ascii="Century Gothic" w:hAnsi="Century Gothic"/>
                <w:b/>
                <w:sz w:val="18"/>
                <w:szCs w:val="18"/>
              </w:rPr>
              <w:t>Descripción</w:t>
            </w:r>
          </w:p>
        </w:tc>
        <w:tc>
          <w:tcPr>
            <w:tcW w:w="1559"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sidRPr="00C94428">
              <w:rPr>
                <w:rFonts w:ascii="Century Gothic" w:hAnsi="Century Gothic"/>
                <w:b/>
                <w:sz w:val="18"/>
                <w:szCs w:val="18"/>
              </w:rPr>
              <w:t>Elaborado por</w:t>
            </w:r>
          </w:p>
        </w:tc>
        <w:tc>
          <w:tcPr>
            <w:tcW w:w="753" w:type="dxa"/>
            <w:shd w:val="clear" w:color="auto" w:fill="F2F2F2" w:themeFill="background1" w:themeFillShade="F2"/>
          </w:tcPr>
          <w:p w:rsidR="00416952" w:rsidRPr="00C94428" w:rsidRDefault="00416952" w:rsidP="004D1051">
            <w:pPr>
              <w:jc w:val="center"/>
              <w:rPr>
                <w:rFonts w:ascii="Century Gothic" w:hAnsi="Century Gothic"/>
                <w:b/>
                <w:sz w:val="18"/>
                <w:szCs w:val="18"/>
              </w:rPr>
            </w:pPr>
            <w:r>
              <w:rPr>
                <w:rFonts w:ascii="Century Gothic" w:hAnsi="Century Gothic"/>
                <w:b/>
                <w:sz w:val="18"/>
                <w:szCs w:val="18"/>
              </w:rPr>
              <w:t>V</w:t>
            </w:r>
          </w:p>
        </w:tc>
      </w:tr>
      <w:tr w:rsidR="00416952" w:rsidRPr="00451B38" w:rsidTr="004D1051">
        <w:trPr>
          <w:jc w:val="center"/>
        </w:trPr>
        <w:tc>
          <w:tcPr>
            <w:tcW w:w="1172" w:type="dxa"/>
          </w:tcPr>
          <w:p w:rsidR="00416952" w:rsidRPr="00C94428" w:rsidRDefault="00416952" w:rsidP="004D1051">
            <w:pPr>
              <w:rPr>
                <w:rFonts w:ascii="Century Gothic" w:hAnsi="Century Gothic"/>
                <w:sz w:val="18"/>
                <w:szCs w:val="18"/>
              </w:rPr>
            </w:pPr>
            <w:r>
              <w:rPr>
                <w:rFonts w:ascii="Century Gothic" w:hAnsi="Century Gothic"/>
                <w:sz w:val="18"/>
                <w:szCs w:val="18"/>
              </w:rPr>
              <w:t>0</w:t>
            </w:r>
            <w:r w:rsidR="001E5FA6">
              <w:rPr>
                <w:rFonts w:ascii="Century Gothic" w:hAnsi="Century Gothic"/>
                <w:sz w:val="18"/>
                <w:szCs w:val="18"/>
              </w:rPr>
              <w:t>6</w:t>
            </w:r>
            <w:r>
              <w:rPr>
                <w:rFonts w:ascii="Century Gothic" w:hAnsi="Century Gothic"/>
                <w:sz w:val="18"/>
                <w:szCs w:val="18"/>
              </w:rPr>
              <w:t>/04/2018</w:t>
            </w:r>
          </w:p>
        </w:tc>
        <w:tc>
          <w:tcPr>
            <w:tcW w:w="5344" w:type="dxa"/>
          </w:tcPr>
          <w:p w:rsidR="00416952" w:rsidRPr="00C94428" w:rsidRDefault="00416952" w:rsidP="004D1051">
            <w:pPr>
              <w:rPr>
                <w:rFonts w:ascii="Century Gothic" w:hAnsi="Century Gothic"/>
                <w:sz w:val="18"/>
                <w:szCs w:val="18"/>
              </w:rPr>
            </w:pPr>
            <w:r>
              <w:rPr>
                <w:rFonts w:ascii="Century Gothic" w:hAnsi="Century Gothic"/>
                <w:sz w:val="18"/>
                <w:szCs w:val="18"/>
              </w:rPr>
              <w:t>Creación del documento</w:t>
            </w:r>
          </w:p>
        </w:tc>
        <w:tc>
          <w:tcPr>
            <w:tcW w:w="1559" w:type="dxa"/>
          </w:tcPr>
          <w:p w:rsidR="00416952" w:rsidRPr="00C94428" w:rsidRDefault="001E5FA6" w:rsidP="004D1051">
            <w:pPr>
              <w:jc w:val="center"/>
              <w:rPr>
                <w:rFonts w:ascii="Century Gothic" w:hAnsi="Century Gothic"/>
                <w:sz w:val="18"/>
                <w:szCs w:val="18"/>
              </w:rPr>
            </w:pPr>
            <w:r>
              <w:rPr>
                <w:rFonts w:ascii="Century Gothic" w:hAnsi="Century Gothic"/>
                <w:sz w:val="18"/>
                <w:szCs w:val="18"/>
              </w:rPr>
              <w:t>Jesús Ríos</w:t>
            </w:r>
          </w:p>
        </w:tc>
        <w:tc>
          <w:tcPr>
            <w:tcW w:w="753" w:type="dxa"/>
          </w:tcPr>
          <w:p w:rsidR="00416952" w:rsidRPr="00C94428" w:rsidRDefault="00416952" w:rsidP="004D1051">
            <w:pPr>
              <w:jc w:val="center"/>
              <w:rPr>
                <w:rFonts w:ascii="Century Gothic" w:hAnsi="Century Gothic"/>
                <w:sz w:val="18"/>
                <w:szCs w:val="18"/>
              </w:rPr>
            </w:pPr>
            <w:r>
              <w:rPr>
                <w:rFonts w:ascii="Century Gothic" w:hAnsi="Century Gothic"/>
                <w:sz w:val="18"/>
                <w:szCs w:val="18"/>
              </w:rPr>
              <w:t>1.0</w:t>
            </w:r>
          </w:p>
        </w:tc>
      </w:tr>
    </w:tbl>
    <w:p w:rsidR="00416952" w:rsidRPr="00451B38" w:rsidRDefault="00416952" w:rsidP="00416952">
      <w:pPr>
        <w:rPr>
          <w:rFonts w:ascii="Century Gothic" w:hAnsi="Century Gothic"/>
          <w:sz w:val="20"/>
          <w:szCs w:val="20"/>
        </w:rPr>
      </w:pPr>
    </w:p>
    <w:p w:rsidR="00416952" w:rsidRDefault="00416952"/>
    <w:sectPr w:rsidR="00416952">
      <w:headerReference w:type="default" r:id="rI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151" w:rsidRDefault="00A55621" w:rsidP="004C2151">
    <w:pPr>
      <w:pStyle w:val="Encabezado"/>
    </w:pPr>
  </w:p>
  <w:p w:rsidR="004C2151" w:rsidRDefault="00A55621" w:rsidP="004C21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E0305"/>
    <w:multiLevelType w:val="hybridMultilevel"/>
    <w:tmpl w:val="075EE4A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2"/>
    <w:rsid w:val="000B69C2"/>
    <w:rsid w:val="001E5FA6"/>
    <w:rsid w:val="003E2A7B"/>
    <w:rsid w:val="00416952"/>
    <w:rsid w:val="006E60A8"/>
    <w:rsid w:val="00A54C3A"/>
    <w:rsid w:val="00A55621"/>
    <w:rsid w:val="00CC3D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2A44"/>
  <w15:chartTrackingRefBased/>
  <w15:docId w15:val="{CEA7EBC8-A43B-447A-BA89-149C7652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952"/>
  </w:style>
  <w:style w:type="paragraph" w:styleId="Ttulo1">
    <w:name w:val="heading 1"/>
    <w:basedOn w:val="Normal"/>
    <w:next w:val="Normal"/>
    <w:link w:val="Ttulo1Car"/>
    <w:uiPriority w:val="9"/>
    <w:qFormat/>
    <w:rsid w:val="00416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69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6952"/>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41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6952"/>
    <w:pPr>
      <w:ind w:left="720"/>
      <w:contextualSpacing/>
    </w:pPr>
  </w:style>
  <w:style w:type="paragraph" w:styleId="Encabezado">
    <w:name w:val="header"/>
    <w:basedOn w:val="Normal"/>
    <w:link w:val="EncabezadoCar"/>
    <w:uiPriority w:val="99"/>
    <w:unhideWhenUsed/>
    <w:rsid w:val="00416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6952"/>
  </w:style>
  <w:style w:type="character" w:customStyle="1" w:styleId="Ttulo1Car">
    <w:name w:val="Título 1 Car"/>
    <w:basedOn w:val="Fuentedeprrafopredeter"/>
    <w:link w:val="Ttulo1"/>
    <w:uiPriority w:val="9"/>
    <w:rsid w:val="00416952"/>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A55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6745">
      <w:bodyDiv w:val="1"/>
      <w:marLeft w:val="0"/>
      <w:marRight w:val="0"/>
      <w:marTop w:val="0"/>
      <w:marBottom w:val="0"/>
      <w:divBdr>
        <w:top w:val="none" w:sz="0" w:space="0" w:color="auto"/>
        <w:left w:val="none" w:sz="0" w:space="0" w:color="auto"/>
        <w:bottom w:val="none" w:sz="0" w:space="0" w:color="auto"/>
        <w:right w:val="none" w:sz="0" w:space="0" w:color="auto"/>
      </w:divBdr>
    </w:div>
    <w:div w:id="12207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TIC17</b:Tag>
    <b:SourceType>InternetSite</b:SourceType>
    <b:Guid>{1E3271F9-D5B1-46AB-B9F8-5AB05D1982D6}</b:Guid>
    <b:Title>MIN TIC Gobierno de las TICS</b:Title>
    <b:Year>2017</b:Year>
    <b:Author>
      <b:Author>
        <b:NameList>
          <b:Person>
            <b:Last>TICS</b:Last>
            <b:First>Ministerio</b:First>
            <b:Middle>de las</b:Middle>
          </b:Person>
        </b:NameList>
      </b:Author>
    </b:Author>
    <b:Month>06</b:Month>
    <b:Day>10</b:Day>
    <b:URL>http://www.mintic.gov.co/portal/604/w3-propertyvalue-7419.html</b:URL>
    <b:YearAccessed>2018</b:YearAccessed>
    <b:MonthAccessed>04</b:MonthAccessed>
    <b:DayAccessed>06</b:DayAccessed>
    <b:RefOrder>1</b:RefOrder>
  </b:Source>
</b:Sources>
</file>

<file path=customXml/itemProps1.xml><?xml version="1.0" encoding="utf-8"?>
<ds:datastoreItem xmlns:ds="http://schemas.openxmlformats.org/officeDocument/2006/customXml" ds:itemID="{B3367786-3548-467C-AA2E-738C2E8D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officeuser72</dc:creator>
  <cp:keywords/>
  <dc:description/>
  <cp:lastModifiedBy>officeuser72</cp:lastModifiedBy>
  <cp:revision>6</cp:revision>
  <dcterms:created xsi:type="dcterms:W3CDTF">2018-04-07T00:22:00Z</dcterms:created>
  <dcterms:modified xsi:type="dcterms:W3CDTF">2018-04-07T00:49:00Z</dcterms:modified>
</cp:coreProperties>
</file>