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  <w:r>
        <w:rPr>
          <w:b w:val="0"/>
          <w:i w:val="0"/>
        </w:rPr>
      </w:r>
    </w:p>
    <w:p>
      <w:pPr>
        <w:ind w:firstLine="0"/>
      </w:pPr>
      <w:r>
        <w:rPr>
          <w:b w:val="0"/>
          <w:i w:val="0"/>
        </w:rPr>
      </w:r>
    </w:p>
    <w:p>
      <w:pPr>
        <w:ind w:firstLine="0"/>
      </w:pPr>
      <w:r>
        <w:rPr>
          <w:b w:val="0"/>
          <w:i w:val="0"/>
        </w:rPr>
      </w:r>
    </w:p>
    <w:p>
      <w:pPr>
        <w:ind w:firstLine="0"/>
        <w:jc w:val="center"/>
      </w:pPr>
      <w:r>
        <w:rPr>
          <w:b/>
          <w:i w:val="0"/>
        </w:rPr>
        <w:t>Estrategia unificada de observabilidad con OpenTelemetry</w:t>
        <w:br/>
        <w:t>ADR y pipeline para un e-commerce multinube</w:t>
      </w:r>
    </w:p>
    <w:p>
      <w:r>
        <w:rPr>
          <w:b w:val="0"/>
          <w:i w:val="0"/>
        </w:rPr>
      </w:r>
    </w:p>
    <w:p>
      <w:pPr>
        <w:ind w:firstLine="0"/>
        <w:jc w:val="center"/>
      </w:pPr>
      <w:r>
        <w:rPr>
          <w:b w:val="0"/>
          <w:i w:val="0"/>
        </w:rPr>
        <w:t>[Nombres de los integrantes]</w:t>
      </w:r>
    </w:p>
    <w:p>
      <w:pPr>
        <w:ind w:firstLine="0"/>
        <w:jc w:val="center"/>
      </w:pPr>
      <w:r>
        <w:rPr>
          <w:b w:val="0"/>
          <w:i w:val="0"/>
        </w:rPr>
        <w:t>[Institución educativa]</w:t>
      </w:r>
    </w:p>
    <w:p>
      <w:pPr>
        <w:ind w:firstLine="0"/>
        <w:jc w:val="center"/>
      </w:pPr>
      <w:r>
        <w:rPr>
          <w:b w:val="0"/>
          <w:i w:val="0"/>
        </w:rPr>
        <w:t>[Asignatura]</w:t>
      </w:r>
    </w:p>
    <w:p>
      <w:pPr>
        <w:ind w:firstLine="0"/>
        <w:jc w:val="center"/>
      </w:pPr>
      <w:r>
        <w:rPr>
          <w:b w:val="0"/>
          <w:i w:val="0"/>
        </w:rPr>
        <w:t>[Nombre del docente]</w:t>
      </w:r>
    </w:p>
    <w:p>
      <w:pPr>
        <w:ind w:firstLine="0"/>
        <w:jc w:val="center"/>
      </w:pPr>
      <w:r>
        <w:rPr>
          <w:b w:val="0"/>
          <w:i w:val="0"/>
        </w:rPr>
        <w:t>22 de septiembre de 2026</w:t>
      </w:r>
    </w:p>
    <w:p>
      <w:r>
        <w:rPr>
          <w:b w:val="0"/>
          <w:i w:val="0"/>
        </w:rPr>
      </w:r>
    </w:p>
    <w:p>
      <w:pPr>
        <w:ind w:firstLine="0"/>
        <w:jc w:val="center"/>
      </w:pPr>
      <w:r>
        <w:rPr>
          <w:b w:val="0"/>
          <w:i/>
        </w:rPr>
        <w:t>Entrega parcial: puntos 1 y 2 de la actividad</w:t>
      </w:r>
    </w:p>
    <w:p>
      <w:pPr>
        <w:ind w:firstLine="0"/>
        <w:jc w:val="center"/>
      </w:pPr>
      <w:r>
        <w:rPr>
          <w:b w:val="0"/>
          <w:i w:val="0"/>
        </w:rPr>
        <w:t>Incluye archivos YAML, diagrama editable y guía de continuidad.</w:t>
      </w:r>
    </w:p>
    <w:p>
      <w:r>
        <w:br w:type="page"/>
      </w:r>
    </w:p>
    <w:p>
      <w:pPr>
        <w:pStyle w:val="Heading1"/>
      </w:pPr>
      <w:r>
        <w:t>ADR-001. Adoptar OpenTelemetry para la telemetría</w:t>
      </w:r>
    </w:p>
    <w:p>
      <w:pPr>
        <w:ind w:firstLine="0"/>
      </w:pPr>
      <w:r>
        <w:rPr>
          <w:b w:val="0"/>
          <w:i w:val="0"/>
        </w:rPr>
        <w:t>Estado: propuesto. Fecha: 22 de septiembre de 2026.</w:t>
      </w:r>
    </w:p>
    <w:p>
      <w:pPr>
        <w:pStyle w:val="Heading2"/>
      </w:pPr>
      <w:r>
        <w:t>Contexto</w:t>
      </w:r>
    </w:p>
    <w:p>
      <w:r>
        <w:rPr>
          <w:b w:val="0"/>
          <w:i w:val="0"/>
        </w:rPr>
        <w:t>La plataforma opera 12 microservicios en GKE y ECS, con 10.000 solicitudes/s. Necesita correlacionar trazas, métricas y logs sin depender de un proveedor. Lenguajes, distribución y spans por solicitud están por confirmar. Se sigue el formato de Nygard (2011).</w:t>
      </w:r>
    </w:p>
    <w:p>
      <w:pPr>
        <w:pStyle w:val="Heading2"/>
      </w:pPr>
      <w:r>
        <w:t>Opciones consideradas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2376"/>
          </w:tcPr>
          <w:p>
            <w:pPr>
              <w:spacing w:line="240" w:lineRule="auto" w:after="100" w:before="100"/>
              <w:ind w:firstLine="0"/>
            </w:pPr>
            <w:r>
              <w:rPr>
                <w:b/>
                <w:sz w:val="20"/>
              </w:rPr>
              <w:t>Opción</w:t>
            </w:r>
          </w:p>
        </w:tc>
        <w:tc>
          <w:tcPr>
            <w:tcW w:type="dxa" w:w="6984"/>
          </w:tcPr>
          <w:p>
            <w:pPr>
              <w:spacing w:line="240" w:lineRule="auto" w:after="100" w:before="100"/>
              <w:ind w:firstLine="0"/>
            </w:pPr>
            <w:r>
              <w:rPr>
                <w:b/>
                <w:sz w:val="20"/>
              </w:rPr>
              <w:t>Evaluación para este escenario</w:t>
            </w:r>
          </w:p>
        </w:tc>
      </w:tr>
      <w:tr>
        <w:tc>
          <w:tcPr>
            <w:tcW w:type="dxa" w:w="2376"/>
          </w:tcPr>
          <w:p>
            <w:pPr>
              <w:spacing w:line="240" w:lineRule="auto" w:after="100" w:before="100"/>
              <w:ind w:firstLine="0"/>
            </w:pPr>
            <w:r>
              <w:rPr>
                <w:b w:val="0"/>
                <w:sz w:val="20"/>
              </w:rPr>
              <w:t>OpenTelemetry</w:t>
            </w:r>
          </w:p>
        </w:tc>
        <w:tc>
          <w:tcPr>
            <w:tcW w:type="dxa" w:w="6984"/>
          </w:tcPr>
          <w:p>
            <w:pPr>
              <w:spacing w:line="240" w:lineRule="auto" w:after="100" w:before="100"/>
              <w:ind w:firstLine="0"/>
            </w:pPr>
            <w:r>
              <w:rPr>
                <w:b w:val="0"/>
                <w:sz w:val="20"/>
              </w:rPr>
              <w:t>API y OTLP comunes; permite sustituir destinos. Exige operar Collectors y comprobar compatibilidad.</w:t>
            </w:r>
          </w:p>
        </w:tc>
      </w:tr>
      <w:tr>
        <w:tc>
          <w:tcPr>
            <w:tcW w:type="dxa" w:w="2376"/>
          </w:tcPr>
          <w:p>
            <w:pPr>
              <w:spacing w:line="240" w:lineRule="auto" w:after="100" w:before="100"/>
              <w:ind w:firstLine="0"/>
            </w:pPr>
            <w:r>
              <w:rPr>
                <w:b w:val="0"/>
                <w:sz w:val="20"/>
              </w:rPr>
              <w:t>SDKs específicos del proveedor</w:t>
            </w:r>
          </w:p>
        </w:tc>
        <w:tc>
          <w:tcPr>
            <w:tcW w:type="dxa" w:w="6984"/>
          </w:tcPr>
          <w:p>
            <w:pPr>
              <w:spacing w:line="240" w:lineRule="auto" w:after="100" w:before="100"/>
              <w:ind w:firstLine="0"/>
            </w:pPr>
            <w:r>
              <w:rPr>
                <w:b w:val="0"/>
                <w:sz w:val="20"/>
              </w:rPr>
              <w:t>Integración directa con funciones nativas; aumenta el trabajo de migración si el código depende de APIs exclusivas.</w:t>
            </w:r>
          </w:p>
        </w:tc>
      </w:tr>
      <w:tr>
        <w:tc>
          <w:tcPr>
            <w:tcW w:type="dxa" w:w="2376"/>
          </w:tcPr>
          <w:p>
            <w:pPr>
              <w:spacing w:line="240" w:lineRule="auto" w:after="100" w:before="100"/>
              <w:ind w:firstLine="0"/>
            </w:pPr>
            <w:r>
              <w:rPr>
                <w:b w:val="0"/>
                <w:sz w:val="20"/>
              </w:rPr>
              <w:t>Agentes propietarios</w:t>
            </w:r>
          </w:p>
        </w:tc>
        <w:tc>
          <w:tcPr>
            <w:tcW w:type="dxa" w:w="6984"/>
          </w:tcPr>
          <w:p>
            <w:pPr>
              <w:spacing w:line="240" w:lineRule="auto" w:after="100" w:before="100"/>
              <w:ind w:firstLine="0"/>
            </w:pPr>
            <w:r>
              <w:rPr>
                <w:b w:val="0"/>
                <w:sz w:val="20"/>
              </w:rPr>
              <w:t>Despliegue inicial sencillo cuando existe soporte; cobertura, configuración y costes dependen del producto.</w:t>
            </w:r>
          </w:p>
        </w:tc>
      </w:tr>
    </w:tbl>
    <w:p>
      <w:pPr>
        <w:pStyle w:val="Heading2"/>
      </w:pPr>
      <w:r>
        <w:t>Decisión</w:t>
      </w:r>
    </w:p>
    <w:p>
      <w:r>
        <w:rPr>
          <w:b w:val="0"/>
          <w:i w:val="0"/>
        </w:rPr>
        <w:t>Adoptar APIs y SDKs OTel, con OTLP a gateways por nube. Instrumentar automáticamente las bibliotecas compatibles y manualmente el negocio. Enviar métricas y logs al backend local y trazas a Jaeger. Se consultó OTel 1.61.0; Collector y convenciones semánticas se versionan por separado (OpenTelemetry, s. f.-e).</w:t>
      </w:r>
    </w:p>
    <w:p>
      <w:pPr>
        <w:pStyle w:val="Heading2"/>
      </w:pPr>
      <w:r>
        <w:t>Consecuencias</w:t>
      </w:r>
    </w:p>
    <w:p>
      <w:r>
        <w:rPr>
          <w:b w:val="0"/>
          <w:i w:val="0"/>
        </w:rPr>
        <w:t>Se reduce el acoplamiento; consultas, alertas e históricos aún requieren migración. CPU, memoria, red y operación añaden costes que deben medirse. Se fija Collector Contrib 0.160.0; su exporter awscloudwatchlogs es alfa y requiere validación (OpenTelemetry, s. f.-b). Sampling y taxonomía quedan para los puntos 4 y 5.</w:t>
      </w:r>
    </w:p>
    <w:p>
      <w:r>
        <w:br w:type="page"/>
      </w:r>
    </w:p>
    <w:p>
      <w:pPr>
        <w:pStyle w:val="Heading1"/>
      </w:pPr>
      <w:r>
        <w:t>Diseño del pipeline de telemetría</w:t>
      </w:r>
    </w:p>
    <w:p>
      <w:r>
        <w:rPr>
          <w:b w:val="0"/>
          <w:i w:val="0"/>
        </w:rPr>
        <w:t>Cada aplicación envía al gateway de su nube: Deployment/Service en GKE y servicio con balanceador interno en ECS. Se parte de dos réplicas por gateway; la capacidad se validará bajo carga.</w:t>
      </w:r>
    </w:p>
    <w:p>
      <w:pPr>
        <w:ind w:firstLine="0"/>
      </w:pPr>
      <w:r>
        <w:rPr>
          <w:b/>
          <w:i w:val="0"/>
        </w:rPr>
        <w:t>Figura 1</w:t>
      </w:r>
    </w:p>
    <w:p>
      <w:pPr>
        <w:ind w:firstLine="0"/>
      </w:pPr>
      <w:r>
        <w:rPr>
          <w:b w:val="0"/>
          <w:i/>
        </w:rPr>
        <w:t>Pipeline multinube y componentes reales del Collector</w:t>
      </w:r>
    </w:p>
    <w:p>
      <w:pPr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45016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01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0"/>
      </w:pPr>
      <w:r>
        <w:rPr>
          <w:b w:val="0"/>
          <w:i w:val="0"/>
        </w:rPr>
        <w:t>Nota. Elaboración propia. Cada pipeline tiene su secuencia de processors; health_check no transporta datos. Jaeger recibe solo trazas (Jaeger, s. f.).</w:t>
      </w:r>
    </w:p>
    <w:p>
      <w:r>
        <w:rPr>
          <w:b w:val="0"/>
          <w:i w:val="0"/>
        </w:rPr>
        <w:t>La unificación reside en API, protocolo y contexto. Cloud Logging completa los logs de GCP; awsemf publica métricas vía EMF. Cada señal tiene un destino por nube (OpenTelemetry, s. f.-a, s. f.-d).</w:t>
      </w:r>
    </w:p>
    <w:p>
      <w:r>
        <w:br w:type="page"/>
      </w:r>
    </w:p>
    <w:p>
      <w:pPr>
        <w:pStyle w:val="Heading1"/>
      </w:pPr>
      <w:r>
        <w:t>Configuración común del Collector</w:t>
      </w:r>
    </w:p>
    <w:p>
      <w:pPr>
        <w:ind w:firstLine="0"/>
      </w:pPr>
      <w:r>
        <w:rPr>
          <w:b w:val="0"/>
          <w:i w:val="0"/>
        </w:rPr>
        <w:t>Archivo collector-base.yaml. Se combina con un solo perfil de nube. Los componentes se activan en service.pipelines; definirlos por sí solo no los habilita (OpenTelemetry, s. f.-c).</w:t>
      </w:r>
    </w:p>
    <w:p>
      <w:pPr>
        <w:keepLines/>
        <w:spacing w:line="240" w:lineRule="auto" w:after="0" w:before="0"/>
        <w:ind w:firstLine="0"/>
      </w:pPr>
      <w:r>
        <w:rPr>
          <w:rFonts w:ascii="Consolas" w:hAnsi="Consolas"/>
          <w:sz w:val="17"/>
        </w:rPr>
        <w:t>receivers:</w:t>
        <w:br/>
        <w:t xml:space="preserve">  otlp:</w:t>
        <w:br/>
        <w:t xml:space="preserve">    protocols:</w:t>
        <w:br/>
        <w:t xml:space="preserve">      grpc:</w:t>
        <w:br/>
        <w:t xml:space="preserve">        endpoint: 0.0.0.0:4317</w:t>
        <w:br/>
        <w:t xml:space="preserve">        tls:</w:t>
        <w:br/>
        <w:t xml:space="preserve">          cert_file: /etc/otel/tls/server.crt</w:t>
        <w:br/>
        <w:t xml:space="preserve">          key_file: /etc/otel/tls/server.key</w:t>
        <w:br/>
        <w:t xml:space="preserve">          client_ca_file: /etc/otel/tls/ca.crt</w:t>
        <w:br/>
        <w:br/>
        <w:t>processors:</w:t>
        <w:br/>
        <w:t xml:space="preserve">  memory_limiter:</w:t>
        <w:br/>
        <w:t xml:space="preserve">    check_interval: 1s</w:t>
        <w:br/>
        <w:t xml:space="preserve">    limit_mib: 768</w:t>
        <w:br/>
        <w:t xml:space="preserve">    spike_limit_mib: 192</w:t>
        <w:br/>
        <w:t xml:space="preserve">  resource/common:</w:t>
        <w:br/>
        <w:t xml:space="preserve">    attributes:</w:t>
        <w:br/>
        <w:t xml:space="preserve">      - key: service.namespace</w:t>
        <w:br/>
        <w:t xml:space="preserve">        value: ecommerce</w:t>
        <w:br/>
        <w:t xml:space="preserve">        action: insert</w:t>
        <w:br/>
        <w:t xml:space="preserve">  batch:</w:t>
        <w:br/>
        <w:t xml:space="preserve">    timeout: 1s</w:t>
        <w:br/>
        <w:t xml:space="preserve">    send_batch_size: 512</w:t>
        <w:br/>
        <w:t xml:space="preserve">    send_batch_max_size: 1024</w:t>
        <w:br/>
        <w:br/>
        <w:t>exporters:</w:t>
        <w:br/>
        <w:t xml:space="preserve">  otlp_grpc/jaeger:</w:t>
        <w:br/>
        <w:t xml:space="preserve">    endpoint: ${env:JAEGER_OTLP_ENDPOINT}</w:t>
        <w:br/>
        <w:t xml:space="preserve">    tls:</w:t>
        <w:br/>
        <w:t xml:space="preserve">      ca_file: /etc/otel/tls/jaeger-ca.crt</w:t>
        <w:br/>
        <w:t xml:space="preserve">      cert_file: /etc/otel/tls/client.crt</w:t>
        <w:br/>
        <w:t xml:space="preserve">      key_file: /etc/otel/tls/client.key</w:t>
        <w:br/>
        <w:t xml:space="preserve">    sending_queue:</w:t>
        <w:br/>
        <w:t xml:space="preserve">      enabled: true</w:t>
        <w:br/>
        <w:t xml:space="preserve">      queue_size: 1000</w:t>
        <w:br/>
        <w:t xml:space="preserve">    retry_on_failure:</w:t>
        <w:br/>
        <w:t xml:space="preserve">      enabled: true</w:t>
        <w:br/>
        <w:t xml:space="preserve">      max_elapsed_time: 300s</w:t>
        <w:br/>
        <w:br/>
        <w:t>extensions:</w:t>
        <w:br/>
        <w:t xml:space="preserve">  health_check:</w:t>
        <w:br/>
        <w:t xml:space="preserve">    endpoint: 0.0.0.0:13133</w:t>
        <w:br/>
        <w:br/>
        <w:t>service:</w:t>
        <w:br/>
        <w:t xml:space="preserve">  extensions: [health_check]</w:t>
        <w:br/>
        <w:t xml:space="preserve">  pipelines:</w:t>
        <w:br/>
        <w:t xml:space="preserve">    traces:</w:t>
        <w:br/>
        <w:t xml:space="preserve">      receivers: [otlp]</w:t>
        <w:br/>
        <w:t xml:space="preserve">      processors: [memory_limiter, resource/common, batch]</w:t>
        <w:br/>
        <w:t xml:space="preserve">      exporters: [otlp_grpc/jaeger]</w:t>
      </w:r>
    </w:p>
    <w:p>
      <w:pPr>
        <w:spacing w:line="240" w:lineRule="auto"/>
        <w:ind w:firstLine="0"/>
      </w:pPr>
      <w:r>
        <w:rPr>
          <w:b w:val="0"/>
          <w:i w:val="0"/>
        </w:rPr>
        <w:t>Valores iniciales para ensayo con límite de contenedor de 1 GiB. El límite blando es 576 MiB; batch y la cola consumen memoria adicional. No constituyen un dimensionamiento validado para 10k RPS.</w:t>
      </w:r>
    </w:p>
    <w:p>
      <w:r>
        <w:br w:type="page"/>
      </w:r>
    </w:p>
    <w:p>
      <w:pPr>
        <w:pStyle w:val="Heading1"/>
      </w:pPr>
      <w:r>
        <w:t>Perfiles de exportación por nube</w:t>
      </w:r>
    </w:p>
    <w:p>
      <w:pPr>
        <w:ind w:firstLine="0"/>
      </w:pPr>
      <w:r>
        <w:rPr>
          <w:b w:val="0"/>
          <w:i w:val="0"/>
        </w:rPr>
        <w:t>Se entregan perfiles separados y dos YAML completos ya combinados. Los destinos y las credenciales se resuelven en el despliegue; la aplicación conserva su exportador OTLP.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5832"/>
      </w:tblGrid>
      <w:tr>
        <w:tc>
          <w:tcPr>
            <w:tcW w:type="dxa" w:w="3528"/>
          </w:tcPr>
          <w:p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collector-gcp.yaml</w:t>
            </w:r>
          </w:p>
          <w:p>
            <w:pPr>
              <w:keepLines/>
              <w:spacing w:line="240" w:lineRule="auto" w:after="0" w:before="0"/>
              <w:ind w:firstLine="0"/>
            </w:pPr>
            <w:r>
              <w:rPr>
                <w:rFonts w:ascii="Consolas" w:hAnsi="Consolas"/>
                <w:sz w:val="16"/>
              </w:rPr>
              <w:t>exporters:</w:t>
              <w:br/>
              <w:t xml:space="preserve">  googlecloud:</w:t>
              <w:br/>
              <w:t xml:space="preserve">    project: ${env:GCP_PROJECT_ID}</w:t>
              <w:br/>
              <w:t xml:space="preserve">    log:</w:t>
              <w:br/>
              <w:t xml:space="preserve">      default_log_name: ecommerce</w:t>
              <w:br/>
              <w:br/>
              <w:t>service:</w:t>
              <w:br/>
              <w:t xml:space="preserve">  pipelines:</w:t>
              <w:br/>
              <w:t xml:space="preserve">    metrics:</w:t>
              <w:br/>
              <w:t xml:space="preserve">      receivers: [otlp]</w:t>
              <w:br/>
              <w:t xml:space="preserve">      processors:</w:t>
              <w:br/>
              <w:t xml:space="preserve">        - memory_limiter</w:t>
              <w:br/>
              <w:t xml:space="preserve">        - resource/common</w:t>
              <w:br/>
              <w:t xml:space="preserve">        - batch</w:t>
              <w:br/>
              <w:t xml:space="preserve">      exporters: [googlecloud]</w:t>
              <w:br/>
              <w:t xml:space="preserve">    logs:</w:t>
              <w:br/>
              <w:t xml:space="preserve">      receivers: [otlp]</w:t>
              <w:br/>
              <w:t xml:space="preserve">      processors:</w:t>
              <w:br/>
              <w:t xml:space="preserve">        - memory_limiter</w:t>
              <w:br/>
              <w:t xml:space="preserve">        - resource/common</w:t>
              <w:br/>
              <w:t xml:space="preserve">        - batch</w:t>
              <w:br/>
              <w:t xml:space="preserve">      exporters: [googlecloud]</w:t>
            </w:r>
          </w:p>
        </w:tc>
        <w:tc>
          <w:tcPr>
            <w:tcW w:type="dxa" w:w="5832"/>
          </w:tcPr>
          <w:p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collector-aws.yaml</w:t>
            </w:r>
          </w:p>
          <w:p>
            <w:pPr>
              <w:keepLines/>
              <w:spacing w:line="240" w:lineRule="auto" w:after="0" w:before="0"/>
              <w:ind w:firstLine="0"/>
            </w:pPr>
            <w:r>
              <w:rPr>
                <w:rFonts w:ascii="Consolas" w:hAnsi="Consolas"/>
                <w:sz w:val="16"/>
              </w:rPr>
              <w:t>exporters:</w:t>
              <w:br/>
              <w:t xml:space="preserve">  awsemf:</w:t>
              <w:br/>
              <w:t xml:space="preserve">    region: ${env:AWS_REGION}</w:t>
              <w:br/>
              <w:t xml:space="preserve">    namespace: Ecommerce</w:t>
              <w:br/>
              <w:t xml:space="preserve">    log_group_name: /ecommerce/metrics</w:t>
              <w:br/>
              <w:t xml:space="preserve">    log_stream_name: ${env:COLLECTOR_ID}</w:t>
              <w:br/>
              <w:t xml:space="preserve">    dimension_rollup_option: NoDimensionRollup</w:t>
              <w:br/>
              <w:t xml:space="preserve">    retain_initial_value_of_delta_metric: true</w:t>
              <w:br/>
              <w:t xml:space="preserve">    resource_to_telemetry_conversion:</w:t>
              <w:br/>
              <w:t xml:space="preserve">      included:</w:t>
              <w:br/>
              <w:t xml:space="preserve">        - service.name</w:t>
              <w:br/>
              <w:t xml:space="preserve">        - deployment.environment.name</w:t>
              <w:br/>
              <w:t xml:space="preserve">    metric_declarations:</w:t>
              <w:br/>
              <w:t xml:space="preserve">      - dimensions:</w:t>
              <w:br/>
              <w:t xml:space="preserve">          - [service.name, deployment.environment.name]</w:t>
              <w:br/>
              <w:t xml:space="preserve">        metric_name_selectors: [".*"]</w:t>
              <w:br/>
              <w:t xml:space="preserve">  awscloudwatchlogs:</w:t>
              <w:br/>
              <w:t xml:space="preserve">    region: ${env:AWS_REGION}</w:t>
              <w:br/>
              <w:t xml:space="preserve">    log_group_name: /ecommerce/application</w:t>
              <w:br/>
              <w:t xml:space="preserve">    log_stream_name: ${env:COLLECTOR_ID}</w:t>
              <w:br/>
              <w:br/>
              <w:t>service:</w:t>
              <w:br/>
              <w:t xml:space="preserve">  pipelines:</w:t>
              <w:br/>
              <w:t xml:space="preserve">    metrics:</w:t>
              <w:br/>
              <w:t xml:space="preserve">      receivers: [otlp]</w:t>
              <w:br/>
              <w:t xml:space="preserve">      processors:</w:t>
              <w:br/>
              <w:t xml:space="preserve">        - memory_limiter</w:t>
              <w:br/>
              <w:t xml:space="preserve">        - resource/common</w:t>
              <w:br/>
              <w:t xml:space="preserve">        - batch</w:t>
              <w:br/>
              <w:t xml:space="preserve">      exporters: [awsemf]</w:t>
              <w:br/>
              <w:t xml:space="preserve">    logs:</w:t>
              <w:br/>
              <w:t xml:space="preserve">      receivers: [otlp]</w:t>
              <w:br/>
              <w:t xml:space="preserve">      processors:</w:t>
              <w:br/>
              <w:t xml:space="preserve">        - memory_limiter</w:t>
              <w:br/>
              <w:t xml:space="preserve">        - resource/common</w:t>
              <w:br/>
              <w:t xml:space="preserve">        - batch</w:t>
              <w:br/>
              <w:t xml:space="preserve">      exporters: [awscloudwatchlogs]</w:t>
            </w:r>
          </w:p>
        </w:tc>
      </w:tr>
    </w:tbl>
    <w:p>
      <w:pPr>
        <w:ind w:firstLine="0"/>
      </w:pPr>
      <w:r>
        <w:rPr>
          <w:b w:val="0"/>
          <w:i w:val="0"/>
        </w:rPr>
        <w:t>El SDK debe aportar service.name y deployment.environment.name. Las dimensiones EMF iniciales se restringen a esos campos; el punto 5 ampliará las dimensiones necesarias para SLIs. Para AWS se requiere temporalidad delta en sumas e histogramas compatibles, evitando conversiones acumulativas con estado repartido entre réplicas.</w:t>
      </w:r>
    </w:p>
    <w:p>
      <w:pPr>
        <w:spacing w:line="240" w:lineRule="auto"/>
        <w:ind w:firstLine="0"/>
      </w:pPr>
      <w:r>
        <w:rPr>
          <w:b w:val="0"/>
          <w:i w:val="0"/>
        </w:rPr>
        <w:t>Documentación de los exportadores: OpenTelemetry (s. f.-a, s. f.-b, s. f.-d). La ruta de Google utiliza googlecloud por compatibilidad explícita con Cloud Monitoring y Cloud Logging; la instrumentación continúa siendo OTel (Google Cloud, s. f.).</w:t>
      </w:r>
    </w:p>
    <w:p>
      <w:r>
        <w:br w:type="page"/>
      </w:r>
    </w:p>
    <w:p>
      <w:pPr>
        <w:pStyle w:val="Heading1"/>
      </w:pPr>
      <w:r>
        <w:t>Operación y continuidad del trabajo</w:t>
      </w:r>
    </w:p>
    <w:p>
      <w:pPr>
        <w:pStyle w:val="Heading2"/>
      </w:pPr>
      <w:r>
        <w:t>Condiciones de despliegue</w:t>
      </w:r>
    </w:p>
    <w:p>
      <w:r>
        <w:rPr>
          <w:b w:val="0"/>
          <w:i w:val="0"/>
        </w:rPr>
        <w:t>Montar certificados y configurar Jaeger privado con mTLS y almacenamiento persistente. Definir las variables del perfil. Usar Workload Identity en GKE y un task role en ECS, con permisos de escritura. Restringir 4317 y 13133 a redes internas. La guía adjunta detalla prerrequisitos.</w:t>
      </w:r>
    </w:p>
    <w:p>
      <w:r>
        <w:rPr>
          <w:b w:val="0"/>
          <w:i w:val="0"/>
        </w:rPr>
        <w:t>Cada SDK identifica servicio, versión, instancia y entorno, propaga traceparent/tracestate y conecta el framework de logging. Excluir datos de pago, contraseñas y tokens; evitar duplicar logs mediante OTLP y otro agente.</w:t>
      </w:r>
    </w:p>
    <w:p>
      <w:r>
        <w:rPr>
          <w:b w:val="0"/>
          <w:i w:val="0"/>
        </w:rPr>
        <w:t>memory_limiter aplica contrapresión; batch reduce envíos. La cola volátil puede perder datos. Monitorizar memoria, colas y rechazos; probar correlación y caídas de backend. No se ha desplegado ni probado esta propuesta a 10k RPS.</w:t>
      </w:r>
    </w:p>
    <w:p>
      <w:pPr>
        <w:pStyle w:val="Heading2"/>
      </w:pPr>
      <w:r>
        <w:t>Entrega a los compañeros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056"/>
      </w:tblGrid>
      <w:tr>
        <w:tc>
          <w:tcPr>
            <w:tcW w:type="dxa" w:w="2304"/>
          </w:tcPr>
          <w:p>
            <w:pPr>
              <w:spacing w:line="240" w:lineRule="auto" w:after="100" w:before="100"/>
              <w:ind w:firstLine="0"/>
            </w:pPr>
            <w:r>
              <w:rPr>
                <w:b/>
                <w:sz w:val="20"/>
              </w:rPr>
              <w:t>Punto pendiente</w:t>
            </w:r>
          </w:p>
        </w:tc>
        <w:tc>
          <w:tcPr>
            <w:tcW w:type="dxa" w:w="7056"/>
          </w:tcPr>
          <w:p>
            <w:pPr>
              <w:spacing w:line="240" w:lineRule="auto" w:after="100" w:before="100"/>
              <w:ind w:firstLine="0"/>
            </w:pPr>
            <w:r>
              <w:rPr>
                <w:b/>
                <w:sz w:val="20"/>
              </w:rPr>
              <w:t>Trabajo y condición de integración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100" w:before="100"/>
              <w:ind w:firstLine="0"/>
            </w:pPr>
            <w:r>
              <w:rPr>
                <w:b w:val="0"/>
                <w:sz w:val="20"/>
              </w:rPr>
              <w:t>3. Auto vs. manual</w:t>
            </w:r>
          </w:p>
        </w:tc>
        <w:tc>
          <w:tcPr>
            <w:tcW w:type="dxa" w:w="7056"/>
          </w:tcPr>
          <w:p>
            <w:pPr>
              <w:spacing w:line="240" w:lineRule="auto" w:after="100" w:before="100"/>
              <w:ind w:firstLine="0"/>
            </w:pPr>
            <w:r>
              <w:rPr>
                <w:b w:val="0"/>
                <w:sz w:val="20"/>
              </w:rPr>
              <w:t>Comparar tiempo de implementación, CPU/memoria y granularidad; medir una carga idéntica con y sin instrumentación.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100" w:before="100"/>
              <w:ind w:firstLine="0"/>
            </w:pPr>
            <w:r>
              <w:rPr>
                <w:b w:val="0"/>
                <w:sz w:val="20"/>
              </w:rPr>
              <w:t>4. Sampling y SLIs</w:t>
            </w:r>
          </w:p>
        </w:tc>
        <w:tc>
          <w:tcPr>
            <w:tcW w:type="dxa" w:w="7056"/>
          </w:tcPr>
          <w:p>
            <w:pPr>
              <w:spacing w:line="240" w:lineRule="auto" w:after="100" w:before="100"/>
              <w:ind w:firstLine="0"/>
            </w:pPr>
            <w:r>
              <w:rPr>
                <w:b w:val="0"/>
                <w:sz w:val="20"/>
              </w:rPr>
              <w:t>Justificar la tasa para 10k RPS. Si se elige tail sampling, reunir todos los spans de cada trace_id en el mismo sampler, incluso entre nubes.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100" w:before="100"/>
              <w:ind w:firstLine="0"/>
            </w:pPr>
            <w:r>
              <w:rPr>
                <w:b w:val="0"/>
                <w:sz w:val="20"/>
              </w:rPr>
              <w:t>5. Semántica</w:t>
            </w:r>
          </w:p>
        </w:tc>
        <w:tc>
          <w:tcPr>
            <w:tcW w:type="dxa" w:w="7056"/>
          </w:tcPr>
          <w:p>
            <w:pPr>
              <w:spacing w:line="240" w:lineRule="auto" w:after="100" w:before="100"/>
              <w:ind w:firstLine="0"/>
            </w:pPr>
            <w:r>
              <w:rPr>
                <w:b w:val="0"/>
                <w:sz w:val="20"/>
              </w:rPr>
              <w:t>Fijar versión; definir HTTP, DB, RPC y eventos de negocio, unidades, cardinalidad y datos prohibidos.</w:t>
            </w:r>
          </w:p>
        </w:tc>
      </w:tr>
    </w:tbl>
    <w:p>
      <w:r>
        <w:rPr>
          <w:b w:val="0"/>
          <w:i w:val="0"/>
        </w:rPr>
        <w:t>El YAML reenvía las trazas recibidas; no define sampling ni aprueba retener el 100 % a 10k RPS. Los SLIs usarán métricas de todas las solicitudes elegibles. Muestrear preferentemente errores sesga las estadísticas obtenidas de trazas (OpenTelemetry, s. f.-f).</w:t>
      </w:r>
    </w:p>
    <w:p>
      <w:r>
        <w:br w:type="page"/>
      </w:r>
    </w:p>
    <w:p>
      <w:pPr>
        <w:pStyle w:val="Heading1"/>
      </w:pPr>
      <w:r>
        <w:t>Referencias</w:t>
      </w:r>
    </w:p>
    <w:p>
      <w:pPr>
        <w:ind w:left="720" w:hanging="720"/>
      </w:pPr>
      <w:r>
        <w:t xml:space="preserve">Google Cloud. (s. f.). </w:t>
      </w:r>
      <w:r>
        <w:rPr>
          <w:i/>
        </w:rPr>
        <w:t>Instrument for Cloud Trace.</w:t>
      </w:r>
      <w:r>
        <w:t xml:space="preserve"> Recuperado el 22 de septiembre de 2026, de https://docs.cloud.google.com/trace/docs/setup</w:t>
      </w:r>
    </w:p>
    <w:p>
      <w:pPr>
        <w:ind w:left="720" w:hanging="720"/>
      </w:pPr>
      <w:r>
        <w:t xml:space="preserve">Jaeger. (s. f.). </w:t>
      </w:r>
      <w:r>
        <w:rPr>
          <w:i/>
        </w:rPr>
        <w:t>APIs.</w:t>
      </w:r>
      <w:r>
        <w:t xml:space="preserve"> Recuperado el 22 de septiembre de 2026, de https://www.jaegertracing.io/docs/2.21/architecture/apis/</w:t>
      </w:r>
    </w:p>
    <w:p>
      <w:pPr>
        <w:ind w:left="720" w:hanging="720"/>
      </w:pPr>
      <w:r>
        <w:t xml:space="preserve">Nygard, M. (2011, 15 de noviembre). </w:t>
      </w:r>
      <w:r>
        <w:rPr>
          <w:i/>
        </w:rPr>
        <w:t>Documenting architecture decisions.</w:t>
      </w:r>
      <w:r>
        <w:t xml:space="preserve"> Cognitect. https://cognitect.com/blog/2011/11/15/documenting-architecture-decisions</w:t>
      </w:r>
    </w:p>
    <w:p>
      <w:pPr>
        <w:ind w:left="720" w:hanging="720"/>
      </w:pPr>
      <w:r>
        <w:t xml:space="preserve">OpenTelemetry. (s. f.-a). </w:t>
      </w:r>
      <w:r>
        <w:rPr>
          <w:i/>
        </w:rPr>
        <w:t>AWS CloudWatch EMF exporter</w:t>
      </w:r>
      <w:r>
        <w:t xml:space="preserve"> (versión 0.160.0) [Código fuente]. GitHub. https://github.com/open-telemetry/opentelemetry-collector-contrib/tree/v0.160.0/exporter/awsemfexporter</w:t>
      </w:r>
    </w:p>
    <w:p>
      <w:r>
        <w:br w:type="page"/>
      </w:r>
    </w:p>
    <w:p>
      <w:pPr>
        <w:ind w:left="720" w:hanging="720"/>
      </w:pPr>
      <w:r>
        <w:t xml:space="preserve">OpenTelemetry. (s. f.-b). </w:t>
      </w:r>
      <w:r>
        <w:rPr>
          <w:i/>
        </w:rPr>
        <w:t>AWS CloudWatch Logs exporter</w:t>
      </w:r>
      <w:r>
        <w:t xml:space="preserve"> (versión 0.160.0) [Código fuente]. GitHub. https://github.com/open-telemetry/opentelemetry-collector-contrib/tree/v0.160.0/exporter/awscloudwatchlogsexporter</w:t>
      </w:r>
    </w:p>
    <w:p>
      <w:pPr>
        <w:ind w:left="720" w:hanging="720"/>
      </w:pPr>
      <w:r>
        <w:t xml:space="preserve">OpenTelemetry. (s. f.-c). </w:t>
      </w:r>
      <w:r>
        <w:rPr>
          <w:i/>
        </w:rPr>
        <w:t>Configuration.</w:t>
      </w:r>
      <w:r>
        <w:t xml:space="preserve"> Recuperado el 22 de septiembre de 2026, de https://opentelemetry.io/docs/collector/configuration/</w:t>
      </w:r>
    </w:p>
    <w:p>
      <w:pPr>
        <w:ind w:left="720" w:hanging="720"/>
      </w:pPr>
      <w:r>
        <w:t xml:space="preserve">OpenTelemetry. (s. f.-d). </w:t>
      </w:r>
      <w:r>
        <w:rPr>
          <w:i/>
        </w:rPr>
        <w:t>Google Cloud exporter</w:t>
      </w:r>
      <w:r>
        <w:t xml:space="preserve"> (versión 0.160.0) [Código fuente]. GitHub. https://github.com/open-telemetry/opentelemetry-collector-contrib/tree/v0.160.0/exporter/googlecloudexporter</w:t>
      </w:r>
    </w:p>
    <w:p>
      <w:pPr>
        <w:ind w:left="720" w:hanging="720"/>
      </w:pPr>
      <w:r>
        <w:t xml:space="preserve">OpenTelemetry. (s. f.-e). </w:t>
      </w:r>
      <w:r>
        <w:rPr>
          <w:i/>
        </w:rPr>
        <w:t>OpenTelemetry specification 1.61.0.</w:t>
      </w:r>
      <w:r>
        <w:t xml:space="preserve"> Recuperado el 22 de septiembre de 2026, de https://opentelemetry.io/docs/specs/otel/</w:t>
      </w:r>
    </w:p>
    <w:p>
      <w:pPr>
        <w:ind w:left="720" w:hanging="720"/>
      </w:pPr>
      <w:r>
        <w:t xml:space="preserve">OpenTelemetry. (s. f.-f). </w:t>
      </w:r>
      <w:r>
        <w:rPr>
          <w:i/>
        </w:rPr>
        <w:t>Sampling.</w:t>
      </w:r>
      <w:r>
        <w:t xml:space="preserve"> Recuperado el 22 de septiembre de 2026, de https://opentelemetry.io/docs/concepts/sampling/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  <w:ind w:firstLine="7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480" w:lineRule="auto"/>
      <w:ind w:firstLine="0"/>
      <w:jc w:val="center"/>
      <w:outlineLvl w:val="0"/>
    </w:pPr>
    <w:rPr>
      <w:rFonts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480" w:lineRule="auto"/>
      <w:ind w:firstLine="0"/>
      <w:outlineLvl w:val="1"/>
    </w:pPr>
    <w:rPr>
      <w:rFonts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480" w:lineRule="auto"/>
      <w:ind w:firstLine="0"/>
      <w:outlineLvl w:val="2"/>
    </w:pPr>
    <w:rPr>
      <w:rFonts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Estrategia unificada de observabilidad con OpenTelemetry</dc:title>
  <dc:subject>Entrega parcial: ADR y pipeline; puntos 1 y 2</dc:subject>
  <dc:creator>Equipo de trabajo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