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45393D" w14:textId="77777777" w:rsidR="00BD052E" w:rsidRDefault="00BD052E">
      <w:pPr>
        <w:ind w:firstLine="0"/>
      </w:pPr>
    </w:p>
    <w:p w14:paraId="34B18E36" w14:textId="77777777" w:rsidR="00BD052E" w:rsidRDefault="00BD052E">
      <w:pPr>
        <w:ind w:firstLine="0"/>
      </w:pPr>
    </w:p>
    <w:p w14:paraId="1AA9782D" w14:textId="77777777" w:rsidR="00BD052E" w:rsidRDefault="00BD052E">
      <w:pPr>
        <w:ind w:firstLine="0"/>
      </w:pPr>
    </w:p>
    <w:p w14:paraId="7274168F" w14:textId="77777777" w:rsidR="00BD052E" w:rsidRDefault="001D1AA4">
      <w:pPr>
        <w:ind w:firstLine="0"/>
        <w:jc w:val="center"/>
      </w:pPr>
      <w:r>
        <w:rPr>
          <w:b/>
        </w:rPr>
        <w:t>Estrategia unificada de observabilidad con OpenTelemetry</w:t>
      </w:r>
      <w:r>
        <w:rPr>
          <w:b/>
        </w:rPr>
        <w:br/>
        <w:t>ADR y pipeline para un e-commerce multinube</w:t>
      </w:r>
    </w:p>
    <w:p w14:paraId="6A925F56" w14:textId="77777777" w:rsidR="00BD052E" w:rsidRDefault="00BD052E"/>
    <w:p w14:paraId="1B8A081C" w14:textId="77777777" w:rsidR="00BD052E" w:rsidRDefault="001D1AA4">
      <w:pPr>
        <w:ind w:firstLine="0"/>
        <w:jc w:val="center"/>
      </w:pPr>
      <w:r>
        <w:rPr>
          <w:rFonts w:ascii="Times New Roman" w:hAnsi="Times New Roman"/>
        </w:rPr>
        <w:t>Carlos Arturo Salazar Castaneda</w:t>
        <w:br/>
        <w:t>Juan Sebastian Buitrago Romero</w:t>
        <w:br/>
        <w:t>Juan Jose Velez Alvarez</w:t>
        <w:br/>
        <w:t>Jhonatan Winston Sotelo</w:t>
        <w:br/>
        <w:t>Santiago Eduardo Muñoz Castillo</w:t>
        <w:br/>
        <w:br/>
        <w:t>22 de septiembre de 2026</w:t>
      </w:r>
    </w:p>
    <w:p w14:paraId="1965EDA5" w14:textId="77777777" w:rsidR="00BD052E" w:rsidRDefault="00BD052E"/>
    <w:p w14:paraId="0BE33187" w14:textId="77777777" w:rsidR="00BD052E" w:rsidRDefault="001D1AA4">
      <w:pPr>
        <w:ind w:firstLine="0"/>
        <w:jc w:val="center"/>
      </w:pPr>
      <w:proofErr w:type="spellStart"/>
      <w:r>
        <w:t>Incluye</w:t>
      </w:r>
      <w:proofErr w:type="spellEnd"/>
      <w:r>
        <w:t xml:space="preserve"> </w:t>
      </w:r>
      <w:proofErr w:type="spellStart"/>
      <w:r>
        <w:t>archivos</w:t>
      </w:r>
      <w:proofErr w:type="spellEnd"/>
      <w:r>
        <w:t xml:space="preserve"> YAML, </w:t>
      </w:r>
      <w:proofErr w:type="spellStart"/>
      <w:r>
        <w:t>diagrama</w:t>
      </w:r>
      <w:proofErr w:type="spellEnd"/>
      <w:r>
        <w:t xml:space="preserve"> editable y guía de continuidad.</w:t>
      </w:r>
    </w:p>
    <w:p w14:paraId="25EFB66D" w14:textId="77777777" w:rsidR="00BD052E" w:rsidRDefault="001D1AA4">
      <w:r>
        <w:br w:type="page"/>
      </w:r>
    </w:p>
    <w:p w14:paraId="783637C8" w14:textId="77777777" w:rsidR="00BD052E" w:rsidRDefault="001D1AA4">
      <w:pPr>
        <w:pStyle w:val="Ttulo1"/>
      </w:pPr>
      <w:r>
        <w:lastRenderedPageBreak/>
        <w:t>ADR-001. Adoptar OpenTelemetry para la telemetría</w:t>
      </w:r>
    </w:p>
    <w:p w14:paraId="5306D8BC" w14:textId="77777777" w:rsidR="00BD052E" w:rsidRDefault="001D1AA4">
      <w:pPr>
        <w:ind w:firstLine="0"/>
      </w:pPr>
      <w:r>
        <w:t>Estado: propuesto. Fecha: 22 de septiembre de 2026.</w:t>
      </w:r>
    </w:p>
    <w:p w14:paraId="48B57F7C" w14:textId="77777777" w:rsidR="00BD052E" w:rsidRDefault="001D1AA4">
      <w:pPr>
        <w:pStyle w:val="Ttulo2"/>
      </w:pPr>
      <w:r>
        <w:t>Contexto</w:t>
      </w:r>
    </w:p>
    <w:p w14:paraId="75E8940E" w14:textId="77777777" w:rsidR="00BD052E" w:rsidRDefault="001D1AA4">
      <w:r>
        <w:t>La plataforma opera 12 microservicios en GKE y ECS, con 10.000 solicitudes/s. Necesita correlacionar trazas, métricas y logs sin depender de un proveedor. Lenguajes, distribución y spans por solicitud están por confirmar. Se sigue el formato de Nygard (2011).</w:t>
      </w:r>
    </w:p>
    <w:p w14:paraId="7684DF62" w14:textId="77777777" w:rsidR="00BD052E" w:rsidRDefault="001D1AA4">
      <w:pPr>
        <w:pStyle w:val="Ttulo2"/>
      </w:pPr>
      <w:r>
        <w:t>Opciones consideradas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376"/>
        <w:gridCol w:w="6984"/>
      </w:tblGrid>
      <w:tr w:rsidR="00BD052E" w14:paraId="1A476D7D" w14:textId="77777777">
        <w:tc>
          <w:tcPr>
            <w:tcW w:w="2376" w:type="dxa"/>
          </w:tcPr>
          <w:p w14:paraId="627AAE02" w14:textId="77777777" w:rsidR="00BD052E" w:rsidRDefault="001D1AA4">
            <w:pPr>
              <w:spacing w:before="100" w:after="100" w:line="240" w:lineRule="auto"/>
              <w:ind w:firstLine="0"/>
            </w:pPr>
            <w:r>
              <w:rPr>
                <w:b/>
                <w:sz w:val="20"/>
              </w:rPr>
              <w:t>Opción</w:t>
            </w:r>
          </w:p>
        </w:tc>
        <w:tc>
          <w:tcPr>
            <w:tcW w:w="6984" w:type="dxa"/>
          </w:tcPr>
          <w:p w14:paraId="177262DD" w14:textId="77777777" w:rsidR="00BD052E" w:rsidRDefault="001D1AA4">
            <w:pPr>
              <w:spacing w:before="100" w:after="100" w:line="240" w:lineRule="auto"/>
              <w:ind w:firstLine="0"/>
            </w:pPr>
            <w:r>
              <w:rPr>
                <w:b/>
                <w:sz w:val="20"/>
              </w:rPr>
              <w:t>Evaluación para este escenario</w:t>
            </w:r>
          </w:p>
        </w:tc>
      </w:tr>
      <w:tr w:rsidR="00BD052E" w14:paraId="6756E312" w14:textId="77777777">
        <w:tc>
          <w:tcPr>
            <w:tcW w:w="2376" w:type="dxa"/>
          </w:tcPr>
          <w:p w14:paraId="4140068A" w14:textId="77777777" w:rsidR="00BD052E" w:rsidRDefault="001D1AA4">
            <w:pPr>
              <w:spacing w:before="100" w:after="100" w:line="240" w:lineRule="auto"/>
              <w:ind w:firstLine="0"/>
            </w:pPr>
            <w:r>
              <w:rPr>
                <w:sz w:val="20"/>
              </w:rPr>
              <w:t>OpenTelemetry</w:t>
            </w:r>
          </w:p>
        </w:tc>
        <w:tc>
          <w:tcPr>
            <w:tcW w:w="6984" w:type="dxa"/>
          </w:tcPr>
          <w:p w14:paraId="5047A377" w14:textId="77777777" w:rsidR="00BD052E" w:rsidRDefault="001D1AA4">
            <w:pPr>
              <w:spacing w:before="100" w:after="100" w:line="240" w:lineRule="auto"/>
              <w:ind w:firstLine="0"/>
            </w:pPr>
            <w:r>
              <w:rPr>
                <w:sz w:val="20"/>
              </w:rPr>
              <w:t>API y OTLP comunes; permite sustituir destinos. Exige operar Collectors y comprobar compatibilidad.</w:t>
            </w:r>
          </w:p>
        </w:tc>
      </w:tr>
      <w:tr w:rsidR="00BD052E" w14:paraId="338741D8" w14:textId="77777777">
        <w:tc>
          <w:tcPr>
            <w:tcW w:w="2376" w:type="dxa"/>
          </w:tcPr>
          <w:p w14:paraId="0B521763" w14:textId="77777777" w:rsidR="00BD052E" w:rsidRDefault="001D1AA4">
            <w:pPr>
              <w:spacing w:before="100" w:after="100" w:line="240" w:lineRule="auto"/>
              <w:ind w:firstLine="0"/>
            </w:pPr>
            <w:r>
              <w:rPr>
                <w:sz w:val="20"/>
              </w:rPr>
              <w:t>SDKs específicos del proveedor</w:t>
            </w:r>
          </w:p>
        </w:tc>
        <w:tc>
          <w:tcPr>
            <w:tcW w:w="6984" w:type="dxa"/>
          </w:tcPr>
          <w:p w14:paraId="6757EF61" w14:textId="77777777" w:rsidR="00BD052E" w:rsidRDefault="001D1AA4">
            <w:pPr>
              <w:spacing w:before="100" w:after="100" w:line="240" w:lineRule="auto"/>
              <w:ind w:firstLine="0"/>
            </w:pPr>
            <w:r>
              <w:rPr>
                <w:sz w:val="20"/>
              </w:rPr>
              <w:t>Integración directa con funciones nativas; aumenta el trabajo de migración si el código depende de APIs exclusivas.</w:t>
            </w:r>
          </w:p>
        </w:tc>
      </w:tr>
      <w:tr w:rsidR="00BD052E" w14:paraId="025A19D4" w14:textId="77777777">
        <w:tc>
          <w:tcPr>
            <w:tcW w:w="2376" w:type="dxa"/>
          </w:tcPr>
          <w:p w14:paraId="66F5BAA2" w14:textId="77777777" w:rsidR="00BD052E" w:rsidRDefault="001D1AA4">
            <w:pPr>
              <w:spacing w:before="100" w:after="100" w:line="240" w:lineRule="auto"/>
              <w:ind w:firstLine="0"/>
            </w:pPr>
            <w:r>
              <w:rPr>
                <w:sz w:val="20"/>
              </w:rPr>
              <w:t>Agentes propietarios</w:t>
            </w:r>
          </w:p>
        </w:tc>
        <w:tc>
          <w:tcPr>
            <w:tcW w:w="6984" w:type="dxa"/>
          </w:tcPr>
          <w:p w14:paraId="7C05B768" w14:textId="77777777" w:rsidR="00BD052E" w:rsidRDefault="001D1AA4">
            <w:pPr>
              <w:spacing w:before="100" w:after="100" w:line="240" w:lineRule="auto"/>
              <w:ind w:firstLine="0"/>
            </w:pPr>
            <w:r>
              <w:rPr>
                <w:sz w:val="20"/>
              </w:rPr>
              <w:t>Despliegue inicial sencillo cuando existe soporte; cobertura, configuración y costes dependen del producto.</w:t>
            </w:r>
          </w:p>
        </w:tc>
      </w:tr>
    </w:tbl>
    <w:p w14:paraId="559D9608" w14:textId="77777777" w:rsidR="00BD052E" w:rsidRDefault="001D1AA4">
      <w:pPr>
        <w:pStyle w:val="Ttulo2"/>
      </w:pPr>
      <w:r>
        <w:t>Decisión</w:t>
      </w:r>
    </w:p>
    <w:p w14:paraId="19919DB5" w14:textId="77777777" w:rsidR="00BD052E" w:rsidRDefault="001D1AA4">
      <w:r>
        <w:t>Adoptar APIs y SDKs OTel, con OTLP a gateways por nube. Instrumentar automáticamente las bibliotecas compatibles y manualmente el negocio. Enviar métricas y logs al backend local y trazas a Jaeger. Se consultó OTel 1.61.0; Collector y convenciones semánticas se versionan por separado (OpenTelemetry, s. f.-e).</w:t>
      </w:r>
    </w:p>
    <w:p w14:paraId="025BE959" w14:textId="77777777" w:rsidR="00BD052E" w:rsidRDefault="001D1AA4">
      <w:pPr>
        <w:pStyle w:val="Ttulo2"/>
      </w:pPr>
      <w:r>
        <w:t>Consecuencias</w:t>
      </w:r>
    </w:p>
    <w:p w14:paraId="1B139E7A" w14:textId="77777777" w:rsidR="00BD052E" w:rsidRDefault="001D1AA4">
      <w:r>
        <w:t>Se reduce el acoplamiento; consultas, alertas e históricos aún requieren migración. CPU, memoria, red y operación añaden costes que deben medirse. Se fija Collector Contrib 0.160.0; su exporter awscloudwatchlogs es alfa y requiere validación (OpenTelemetry, s. f.-b). Sampling y taxonomía quedan para los puntos 4 y 5.</w:t>
      </w:r>
    </w:p>
    <w:p w14:paraId="5AB36911" w14:textId="77777777" w:rsidR="00BD052E" w:rsidRDefault="001D1AA4">
      <w:r>
        <w:br w:type="page"/>
      </w:r>
    </w:p>
    <w:p w14:paraId="2FD28B3E" w14:textId="77777777" w:rsidR="00BD052E" w:rsidRDefault="001D1AA4">
      <w:pPr>
        <w:pStyle w:val="Ttulo1"/>
      </w:pPr>
      <w:r>
        <w:lastRenderedPageBreak/>
        <w:t>Diseño del pipeline de telemetría</w:t>
      </w:r>
    </w:p>
    <w:p w14:paraId="3B3489BD" w14:textId="77777777" w:rsidR="00BD052E" w:rsidRDefault="001D1AA4">
      <w:r>
        <w:t>Cada aplicación envía al gateway de su nube: Deployment/Service en GKE y servicio con balanceador interno en ECS. Se parte de dos réplicas por gateway; la capacidad se validará bajo carga.</w:t>
      </w:r>
    </w:p>
    <w:p w14:paraId="6994E4AF" w14:textId="77777777" w:rsidR="00BD052E" w:rsidRDefault="001D1AA4">
      <w:pPr>
        <w:ind w:firstLine="0"/>
      </w:pPr>
      <w:r>
        <w:rPr>
          <w:b/>
        </w:rPr>
        <w:t>Figura 1</w:t>
      </w:r>
    </w:p>
    <w:p w14:paraId="1016034A" w14:textId="77777777" w:rsidR="00BD052E" w:rsidRDefault="001D1AA4">
      <w:pPr>
        <w:ind w:firstLine="0"/>
      </w:pPr>
      <w:r>
        <w:rPr>
          <w:i/>
        </w:rPr>
        <w:t>Pipeline multinube y componentes reales del Collector</w:t>
      </w:r>
    </w:p>
    <w:p w14:paraId="3788EF12" w14:textId="77777777" w:rsidR="00BD052E" w:rsidRDefault="001D1AA4">
      <w:pPr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6B2123F" wp14:editId="3872CB49">
            <wp:extent cx="5486400" cy="450166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quitectura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1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8606E" w14:textId="77777777" w:rsidR="00BD052E" w:rsidRDefault="001D1AA4">
      <w:pPr>
        <w:spacing w:line="240" w:lineRule="auto"/>
        <w:ind w:firstLine="0"/>
      </w:pPr>
      <w:r>
        <w:t>Nota. Elaboración propia. Cada pipeline tiene su secuencia de processors; health_check no transporta datos. Jaeger recibe solo trazas (Jaeger, s. f.).</w:t>
      </w:r>
    </w:p>
    <w:p w14:paraId="42A81C1A" w14:textId="77777777" w:rsidR="00BD052E" w:rsidRDefault="001D1AA4">
      <w:r>
        <w:t>La unificación reside en la API, el protocolo y la propagación de contexto W3C, no en el backend. Cada señal tiene un destino por nube y las trazas de GKE y ECS convergen en el mismo Jaeger (OpenTelemetry, s. f.-a, s. f.-d).</w:t>
      </w:r>
    </w:p>
    <w:p w14:paraId="464AD781" w14:textId="77777777" w:rsidR="00BD052E" w:rsidRDefault="001D1AA4">
      <w:r>
        <w:br w:type="page"/>
      </w:r>
    </w:p>
    <w:p w14:paraId="403A4355" w14:textId="77777777" w:rsidR="00BD052E" w:rsidRDefault="001D1AA4">
      <w:pPr>
        <w:pStyle w:val="Ttulo1"/>
      </w:pPr>
      <w:r>
        <w:t>Configuración del Collector</w:t>
      </w:r>
    </w:p>
    <w:p w14:paraId="1635FB0F" w14:textId="77777777" w:rsidR="00BD052E" w:rsidRDefault="001D1AA4">
      <w:pPr>
        <w:ind w:firstLine="0"/>
      </w:pPr>
      <w:r>
        <w:t>Base común a las dos nubes, combinada con un único perfil. Un componente solo se activa si aparece en service.pipelines (OpenTelemetry, s. f.-c).</w:t>
      </w:r>
    </w:p>
    <w:p w14:paraId="2FED267F" w14:textId="77777777" w:rsidR="00BD052E" w:rsidRDefault="001D1AA4">
      <w:pPr>
        <w:keepLines/>
        <w:spacing w:line="240" w:lineRule="auto"/>
        <w:ind w:firstLine="0"/>
      </w:pPr>
      <w:r>
        <w:rPr>
          <w:rFonts w:ascii="Consolas" w:hAnsi="Consolas"/>
          <w:sz w:val="17"/>
        </w:rPr>
        <w:t>receivers:          # rutas de certificado relativas a /etc/otel/tls</w:t>
        <w:br/>
        <w:t xml:space="preserve">  otlp: {protocols: {grpc: {endpoint: 0.0.0.0:4317,</w:t>
        <w:br/>
        <w:t xml:space="preserve">         tls: {cert_file: server.crt, key_file: server.key, client_ca_file: ca.crt}}}}</w:t>
        <w:br/>
        <w:t>processors:</w:t>
        <w:br/>
        <w:t xml:space="preserve">  memory_limiter: {check_interval: 1s, limit_mib: 768, spike_limit_mib: 192}</w:t>
        <w:br/>
        <w:t xml:space="preserve">  resource/common: {attributes: [{key: service.namespace, value: ecommerce, action: insert}]}</w:t>
        <w:br/>
        <w:t xml:space="preserve">  batch: {timeout: 1s, send_batch_size: 512, send_batch_max_size: 1024}</w:t>
        <w:br/>
        <w:t>exporters:</w:t>
        <w:br/>
        <w:t xml:space="preserve">  otlp_grpc/jaeger: {endpoint: "${env:JAEGER_OTLP_ENDPOINT}", sending_queue: {enabled: true,</w:t>
        <w:br/>
        <w:t xml:space="preserve">    queue_size: 1000}, retry_on_failure: {enabled: true, max_elapsed_time: 300s},</w:t>
        <w:br/>
        <w:t xml:space="preserve">    tls: {ca_file: jaeger-ca.crt, cert_file: client.crt, key_file: client.key}}</w:t>
        <w:br/>
        <w:t>extensions: {health_check: {endpoint: 0.0.0.0:13133}}</w:t>
        <w:br/>
        <w:t>service:</w:t>
        <w:br/>
        <w:t xml:space="preserve">  extensions: [health_check]</w:t>
        <w:br/>
        <w:t xml:space="preserve">  pipelines:</w:t>
        <w:br/>
        <w:t xml:space="preserve">    traces: {receivers: [otlp], processors: [memory_limiter, resource/common, batch],</w:t>
        <w:br/>
        <w:t xml:space="preserve">             exporters: [otlp_grpc/jaeger]}</w:t>
      </w:r>
    </w:p>
    <w:p w14:paraId="37EAAAE2" w14:textId="77777777" w:rsidR="00BD052E" w:rsidRDefault="001D1AA4">
      <w:pPr>
        <w:spacing w:line="240" w:lineRule="auto"/>
        <w:ind w:firstLine="0"/>
      </w:pPr>
      <w:r>
        <w:t>Valores de ensayo para un contenedor de 1 GiB, no un dimensionamiento validado para 10k RPS. Los cinco archivos YAML se adjuntan como anexo digital.</w:t>
      </w:r>
    </w:p>
    <w:p w14:paraId="2A06ADB2" w14:textId="77777777" w:rsidR="00BD052E" w:rsidRDefault="001D1AA4">
      <w:pPr>
        <w:ind w:firstLine="0"/>
      </w:pPr>
      <w:r>
        <w:t>Tabla 1</w:t>
      </w:r>
    </w:p>
    <w:p w14:paraId="1016034A" w14:textId="77777777" w:rsidR="00BD052E" w:rsidRDefault="001D1AA4">
      <w:pPr>
        <w:ind w:firstLine="0"/>
      </w:pPr>
      <w:r>
        <w:rPr>
          <w:i/>
        </w:rPr>
        <w:t>Destino de cada señal por nube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474"/>
        <w:gridCol w:w="3515"/>
        <w:gridCol w:w="4309"/>
      </w:tblGrid>
      <w:tr>
        <w:tc>
          <w:tcPr>
            <w:tcW w:type="dxa" w:w="1474"/>
          </w:tcPr>
          <w:p>
            <w:pPr>
              <w:spacing w:before="100" w:after="100" w:line="240" w:lineRule="auto"/>
              <w:ind w:firstLine="0"/>
            </w:pPr>
            <w:r>
              <w:rPr>
                <w:b/>
              </w:rPr>
              <w:t>Señal</w:t>
            </w:r>
          </w:p>
        </w:tc>
        <w:tc>
          <w:tcPr>
            <w:tcW w:type="dxa" w:w="3515"/>
          </w:tcPr>
          <w:p>
            <w:pPr>
              <w:spacing w:before="100" w:after="100" w:line="240" w:lineRule="auto"/>
              <w:ind w:firstLine="0"/>
            </w:pPr>
            <w:r>
              <w:rPr>
                <w:b/>
              </w:rPr>
              <w:t>GCP / GKE (collector-gcp.yaml)</w:t>
            </w:r>
          </w:p>
        </w:tc>
        <w:tc>
          <w:tcPr>
            <w:tcW w:type="dxa" w:w="4309"/>
          </w:tcPr>
          <w:p>
            <w:pPr>
              <w:spacing w:before="100" w:after="100" w:line="240" w:lineRule="auto"/>
              <w:ind w:firstLine="0"/>
            </w:pPr>
            <w:r>
              <w:rPr>
                <w:b/>
              </w:rPr>
              <w:t>AWS / ECS (collector-aws.yaml)</w:t>
            </w:r>
          </w:p>
        </w:tc>
      </w:tr>
      <w:tr>
        <w:tc>
          <w:tcPr>
            <w:tcW w:type="dxa" w:w="1474"/>
          </w:tcPr>
          <w:p>
            <w:pPr>
              <w:spacing w:before="100" w:after="100" w:line="240" w:lineRule="auto"/>
              <w:ind w:firstLine="0"/>
            </w:pPr>
            <w:r>
              <w:t>Métricas</w:t>
            </w:r>
          </w:p>
        </w:tc>
        <w:tc>
          <w:tcPr>
            <w:tcW w:type="dxa" w:w="3515"/>
          </w:tcPr>
          <w:p>
            <w:pPr>
              <w:spacing w:before="100" w:after="100" w:line="240" w:lineRule="auto"/>
              <w:ind w:firstLine="0"/>
            </w:pPr>
            <w:r>
              <w:t>googlecloud, project ${env:GCP_PROJECT_ID} → Cloud Monitoring</w:t>
            </w:r>
          </w:p>
        </w:tc>
        <w:tc>
          <w:tcPr>
            <w:tcW w:type="dxa" w:w="4309"/>
          </w:tcPr>
          <w:p>
            <w:pPr>
              <w:spacing w:before="100" w:after="100" w:line="240" w:lineRule="auto"/>
              <w:ind w:firstLine="0"/>
            </w:pPr>
            <w:r>
              <w:t>awsemf, namespace Ecommerce, NoDimensionRollup, dimensiones [service.name, deployment.environment.name] → CloudWatch Metrics (EMF)</w:t>
            </w:r>
          </w:p>
        </w:tc>
      </w:tr>
      <w:tr>
        <w:tc>
          <w:tcPr>
            <w:tcW w:type="dxa" w:w="1474"/>
          </w:tcPr>
          <w:p>
            <w:pPr>
              <w:spacing w:before="100" w:after="100" w:line="240" w:lineRule="auto"/>
              <w:ind w:firstLine="0"/>
            </w:pPr>
            <w:r>
              <w:t>Logs</w:t>
            </w:r>
          </w:p>
        </w:tc>
        <w:tc>
          <w:tcPr>
            <w:tcW w:type="dxa" w:w="3515"/>
          </w:tcPr>
          <w:p>
            <w:pPr>
              <w:spacing w:before="100" w:after="100" w:line="240" w:lineRule="auto"/>
              <w:ind w:firstLine="0"/>
            </w:pPr>
            <w:r>
              <w:t>googlecloud, log.default_log_name ecommerce → Cloud Logging</w:t>
            </w:r>
          </w:p>
        </w:tc>
        <w:tc>
          <w:tcPr>
            <w:tcW w:type="dxa" w:w="4309"/>
          </w:tcPr>
          <w:p>
            <w:pPr>
              <w:spacing w:before="100" w:after="100" w:line="240" w:lineRule="auto"/>
              <w:ind w:firstLine="0"/>
            </w:pPr>
            <w:r>
              <w:t>awscloudwatchlogs, grupo /ecommerce/application → CloudWatch Logs</w:t>
            </w:r>
          </w:p>
        </w:tc>
      </w:tr>
      <w:tr>
        <w:tc>
          <w:tcPr>
            <w:tcW w:type="dxa" w:w="1474"/>
          </w:tcPr>
          <w:p>
            <w:pPr>
              <w:spacing w:before="100" w:after="100" w:line="240" w:lineRule="auto"/>
              <w:ind w:firstLine="0"/>
            </w:pPr>
            <w:r>
              <w:t>Trazas</w:t>
            </w:r>
          </w:p>
        </w:tc>
        <w:tc>
          <w:tcPr>
            <w:tcW w:type="dxa" w:w="3515"/>
          </w:tcPr>
          <w:p>
            <w:pPr>
              <w:spacing w:before="100" w:after="100" w:line="240" w:lineRule="auto"/>
              <w:ind w:firstLine="0"/>
            </w:pPr>
            <w:r>
              <w:t>otlp_grpc/jaeger de la base</w:t>
            </w:r>
          </w:p>
        </w:tc>
        <w:tc>
          <w:tcPr>
            <w:tcW w:type="dxa" w:w="4309"/>
          </w:tcPr>
          <w:p>
            <w:pPr>
              <w:spacing w:before="100" w:after="100" w:line="240" w:lineRule="auto"/>
              <w:ind w:firstLine="0"/>
            </w:pPr>
            <w:r>
              <w:t>otlp_grpc/jaeger de la base; ambas nubes escriben en el mismo Jaeger</w:t>
            </w:r>
          </w:p>
        </w:tc>
      </w:tr>
    </w:tbl>
    <w:p w14:paraId="030E617F" w14:textId="77777777" w:rsidR="00BD052E" w:rsidRDefault="001D1AA4">
      <w:pPr>
        <w:ind w:firstLine="0"/>
      </w:pPr>
      <w:r>
        <w:rPr>
          <w:i/>
        </w:rPr>
        <w:t>Nota.</w:t>
      </w:r>
      <w:r>
        <w:rPr>
          <w:i w:val="0"/>
        </w:rPr>
        <w:t xml:space="preserve"> Elaboración propia. El punto 5 ampliará las dimensiones EMF de los SLIs.</w:t>
      </w:r>
    </w:p>
    <w:p w14:paraId="431CE8B2" w14:textId="77777777" w:rsidR="00BD052E" w:rsidRDefault="001D1AA4">
      <w:r>
        <w:t>Esta base reenvía todas las trazas: no define sampling ni aprueba retener el 100 % a 10k RPS, decisión del punto 4. Los SLIs se calcularán sobre métricas de las solicitudes elegibles: muestrear errores sesga las estadísticas de trazas (OpenTelemetry, s. f.-f).</w:t>
      </w:r>
    </w:p>
    <w:p w14:paraId="00BBED3B" w14:textId="77777777" w:rsidR="00BD052E" w:rsidRDefault="001D1AA4">
      <w:pPr>
        <w:pStyle w:val="Ttulo1"/>
        <w:pageBreakBefore/>
      </w:pPr>
      <w:r>
        <w:lastRenderedPageBreak/>
        <w:t>Referencias</w:t>
      </w:r>
    </w:p>
    <w:p w14:paraId="4488AD0D" w14:textId="77777777" w:rsidR="00BD052E" w:rsidRDefault="001D1AA4">
      <w:pPr>
        <w:ind w:left="720" w:hanging="720"/>
      </w:pPr>
      <w:r>
        <w:t xml:space="preserve">Google Cloud. (s. f.). </w:t>
      </w:r>
      <w:r>
        <w:rPr>
          <w:i/>
        </w:rPr>
        <w:t>Instrument for Cloud Trace.</w:t>
      </w:r>
      <w:r>
        <w:t xml:space="preserve"> Recuperado el 22 de septiembre de 2026, de https://docs.cloud.google.com/trace/docs/setup</w:t>
      </w:r>
    </w:p>
    <w:p w14:paraId="4A63A38A" w14:textId="77777777" w:rsidR="00BD052E" w:rsidRDefault="001D1AA4">
      <w:pPr>
        <w:ind w:left="720" w:hanging="720"/>
      </w:pPr>
      <w:r>
        <w:t xml:space="preserve">Jaeger. (s. f.). </w:t>
      </w:r>
      <w:r>
        <w:rPr>
          <w:i/>
        </w:rPr>
        <w:t>APIs.</w:t>
      </w:r>
      <w:r>
        <w:t xml:space="preserve"> Recuperado el 22 de septiembre de 2026, de https://www.jaegertracing.io/docs/2.21/architecture/apis/</w:t>
      </w:r>
    </w:p>
    <w:p w14:paraId="6B85C5F0" w14:textId="77777777" w:rsidR="00BD052E" w:rsidRDefault="001D1AA4">
      <w:pPr>
        <w:ind w:left="720" w:hanging="720"/>
      </w:pPr>
      <w:r>
        <w:t xml:space="preserve">Nygard, M. (2011, 15 de noviembre). </w:t>
      </w:r>
      <w:r>
        <w:rPr>
          <w:i/>
        </w:rPr>
        <w:t>Documenting architecture decisions.</w:t>
      </w:r>
      <w:r>
        <w:t xml:space="preserve"> Cognitect. https://cognitect.com/blog/2011/11/15/documenting-architecture-decisions</w:t>
      </w:r>
    </w:p>
    <w:p w14:paraId="06077C1B" w14:textId="77777777" w:rsidR="00BD052E" w:rsidRDefault="001D1AA4">
      <w:pPr>
        <w:ind w:left="720" w:hanging="720"/>
      </w:pPr>
      <w:r>
        <w:t xml:space="preserve">OpenTelemetry. (s. f.-a). </w:t>
      </w:r>
      <w:r>
        <w:rPr>
          <w:i/>
        </w:rPr>
        <w:t>AWS CloudWatch EMF exporter</w:t>
      </w:r>
      <w:r>
        <w:t xml:space="preserve"> (versión 0.160.0) [Código fuente]. GitHub. https://github.com/open-telemetry/opentelemetry-collector-contrib/tree/v0.160.0/exporter/awsemfexporter</w:t>
      </w:r>
    </w:p>
    <w:p w14:paraId="32F38131" w14:textId="77777777" w:rsidR="00BD052E" w:rsidRDefault="001D1AA4">
      <w:pPr>
        <w:ind w:left="720" w:hanging="720"/>
      </w:pPr>
      <w:r>
        <w:lastRenderedPageBreak/>
        <w:t xml:space="preserve">OpenTelemetry. (s. f.-b). </w:t>
      </w:r>
      <w:r>
        <w:rPr>
          <w:i/>
        </w:rPr>
        <w:t>AWS CloudWatch Logs exporter</w:t>
      </w:r>
      <w:r>
        <w:t xml:space="preserve"> (versión 0.160.0) [Código fuente]. GitHub. https://github.com/open-telemetry/opentelemetry-collector-contrib/tree/v0.160.0/exporter/awscloudwatchlogsexporter</w:t>
      </w:r>
    </w:p>
    <w:p w14:paraId="42B00E31" w14:textId="77777777" w:rsidR="00BD052E" w:rsidRDefault="001D1AA4">
      <w:pPr>
        <w:ind w:left="720" w:hanging="720"/>
      </w:pPr>
      <w:r>
        <w:t xml:space="preserve">OpenTelemetry. (s. f.-c). </w:t>
      </w:r>
      <w:r>
        <w:rPr>
          <w:i/>
        </w:rPr>
        <w:t>Configuration.</w:t>
      </w:r>
      <w:r>
        <w:t xml:space="preserve"> Recuperado el 22 de septiembre de 2026, de https://opentelemetry.io/docs/collector/configuration/</w:t>
      </w:r>
    </w:p>
    <w:p w14:paraId="771D3C06" w14:textId="77777777" w:rsidR="00BD052E" w:rsidRDefault="001D1AA4">
      <w:pPr>
        <w:ind w:left="720" w:hanging="720"/>
      </w:pPr>
      <w:r>
        <w:t xml:space="preserve">OpenTelemetry. (s. f.-d). </w:t>
      </w:r>
      <w:r>
        <w:rPr>
          <w:i/>
        </w:rPr>
        <w:t>Google Cloud exporter</w:t>
      </w:r>
      <w:r>
        <w:t xml:space="preserve"> (versión 0.160.0) [Código fuente]. GitHub. https://github.com/open-telemetry/opentelemetry-collector-contrib/tree/v0.160.0/exporter/googlecloudexporter</w:t>
      </w:r>
    </w:p>
    <w:p w14:paraId="3794A44C" w14:textId="77777777" w:rsidR="00BD052E" w:rsidRDefault="001D1AA4">
      <w:pPr>
        <w:ind w:left="720" w:hanging="720"/>
      </w:pPr>
      <w:r>
        <w:t xml:space="preserve">OpenTelemetry. (s. f.-e). </w:t>
      </w:r>
      <w:r>
        <w:rPr>
          <w:i/>
        </w:rPr>
        <w:t>OpenTelemetry specification 1.61.0.</w:t>
      </w:r>
      <w:r>
        <w:t xml:space="preserve"> Recuperado el 22 de septiembre de 2026, de https://opentelemetry.io/docs/specs/otel/</w:t>
      </w:r>
    </w:p>
    <w:p w14:paraId="5C6FC3A9" w14:textId="77777777" w:rsidR="00BD052E" w:rsidRDefault="001D1AA4">
      <w:pPr>
        <w:ind w:left="720" w:hanging="720"/>
      </w:pPr>
      <w:r>
        <w:t xml:space="preserve">OpenTelemetry. (s. f.-f). </w:t>
      </w:r>
      <w:r>
        <w:rPr>
          <w:i/>
        </w:rPr>
        <w:t>Sampling.</w:t>
      </w:r>
      <w:r>
        <w:t xml:space="preserve"> Recuperado el 22 de septiembre de 2026, de https://opentelemetry.io/docs/concepts/sampling/</w:t>
      </w:r>
    </w:p>
    <w:sectPr w:rsidR="00BD052E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9E497B" w14:textId="77777777" w:rsidR="001D1AA4" w:rsidRDefault="001D1AA4">
      <w:pPr>
        <w:spacing w:line="240" w:lineRule="auto"/>
      </w:pPr>
      <w:r>
        <w:separator/>
      </w:r>
    </w:p>
  </w:endnote>
  <w:endnote w:type="continuationSeparator" w:id="0">
    <w:p w14:paraId="3B3DF7AA" w14:textId="77777777" w:rsidR="001D1AA4" w:rsidRDefault="001D1AA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58C34E" w14:textId="77777777" w:rsidR="001D1AA4" w:rsidRDefault="001D1AA4">
      <w:pPr>
        <w:spacing w:line="240" w:lineRule="auto"/>
      </w:pPr>
      <w:r>
        <w:separator/>
      </w:r>
    </w:p>
  </w:footnote>
  <w:footnote w:type="continuationSeparator" w:id="0">
    <w:p w14:paraId="4721CD05" w14:textId="77777777" w:rsidR="001D1AA4" w:rsidRDefault="001D1AA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25D86C" w14:textId="77777777" w:rsidR="00BD052E" w:rsidRDefault="001D1AA4">
    <w:pPr>
      <w:pStyle w:val="Encabezado"/>
      <w:ind w:firstLine="0"/>
      <w:jc w:val="right"/>
    </w:pPr>
    <w:r>
      <w:fldChar w:fldCharType="begin"/>
    </w:r>
    <w:r>
      <w:instrText>PAGE</w:instrText>
    </w:r>
    <w:r>
      <w:fldChar w:fldCharType="separate"/>
    </w:r>
    <w:r w:rsidR="0017359A">
      <w:rPr>
        <w:noProof/>
      </w:rPr>
      <w:t>1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52856952">
    <w:abstractNumId w:val="8"/>
  </w:num>
  <w:num w:numId="2" w16cid:durableId="1412309319">
    <w:abstractNumId w:val="6"/>
  </w:num>
  <w:num w:numId="3" w16cid:durableId="2140026465">
    <w:abstractNumId w:val="5"/>
  </w:num>
  <w:num w:numId="4" w16cid:durableId="1187140212">
    <w:abstractNumId w:val="4"/>
  </w:num>
  <w:num w:numId="5" w16cid:durableId="791244824">
    <w:abstractNumId w:val="7"/>
  </w:num>
  <w:num w:numId="6" w16cid:durableId="1293635176">
    <w:abstractNumId w:val="3"/>
  </w:num>
  <w:num w:numId="7" w16cid:durableId="1053190928">
    <w:abstractNumId w:val="2"/>
  </w:num>
  <w:num w:numId="8" w16cid:durableId="2098358161">
    <w:abstractNumId w:val="1"/>
  </w:num>
  <w:num w:numId="9" w16cid:durableId="5863526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359A"/>
    <w:rsid w:val="001D1AA4"/>
    <w:rsid w:val="0029639D"/>
    <w:rsid w:val="00326F90"/>
    <w:rsid w:val="00A83855"/>
    <w:rsid w:val="00AA1D8D"/>
    <w:rsid w:val="00B47730"/>
    <w:rsid w:val="00B91437"/>
    <w:rsid w:val="00BD052E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ABD635A"/>
  <w14:defaultImageDpi w14:val="300"/>
  <w15:docId w15:val="{47E9B481-C7A9-472D-AE8D-D30683377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480" w:lineRule="auto"/>
      <w:ind w:firstLine="720"/>
    </w:pPr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ind w:firstLine="0"/>
      <w:jc w:val="center"/>
      <w:outlineLvl w:val="0"/>
    </w:pPr>
    <w:rPr>
      <w:b/>
      <w:bCs/>
      <w:color w:val="000000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ind w:firstLine="0"/>
      <w:outlineLvl w:val="1"/>
    </w:pPr>
    <w:rPr>
      <w:b/>
      <w:bCs/>
      <w:color w:val="000000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ind w:firstLine="0"/>
      <w:outlineLvl w:val="2"/>
    </w:pPr>
    <w:rPr>
      <w:b/>
      <w:bCs/>
      <w:color w:val="000000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  <w:ind w:firstLine="720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8</Pages>
  <Words>1026</Words>
  <Characters>7494</Characters>
  <Application>Microsoft Office Word</Application>
  <DocSecurity>0</DocSecurity>
  <Lines>233</Lines>
  <Paragraphs>63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Estrategia unificada de observabilidad con OpenTelemetry</vt:lpstr>
      <vt:lpstr/>
    </vt:vector>
  </TitlesOfParts>
  <Manager/>
  <Company/>
  <LinksUpToDate>false</LinksUpToDate>
  <CharactersWithSpaces>8967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Estrategia unificada de observabilidad con OpenTelemetry</dc:title>
  <dc:subject>Entrega parcial: ADR y pipeline; puntos 1 y 2</dc:subject>
  <dc:creator>Carlos Arturo Salazar Castaneda; Juan Sebastian Buitrago Romero; Juan Jose Velez Alvarez; Jhonatan Winston Sotelo; Santiago Eduardo Muñoz Castillo</dc:creator>
  <cp:keywords/>
  <dc:description>generated by python-docx</dc:description>
  <cp:lastModifiedBy>Juan Jose Velez Alvarez</cp:lastModifiedBy>
  <cp:revision>2</cp:revision>
  <dcterms:created xsi:type="dcterms:W3CDTF">2013-12-23T23:15:00Z</dcterms:created>
  <dcterms:modified xsi:type="dcterms:W3CDTF">2026-09-22T18:13:00Z</dcterms:modified>
  <cp:category/>
</cp:coreProperties>
</file>