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ind w:left="-360" w:firstLine="0"/>
        <w:rPr>
          <w:color w:val="4a86e8"/>
          <w:sz w:val="32"/>
          <w:szCs w:val="32"/>
        </w:rPr>
      </w:pPr>
      <w:bookmarkStart w:colFirst="0" w:colLast="0" w:name="_hvbcmqwzo9do" w:id="0"/>
      <w:bookmarkEnd w:id="0"/>
      <w:r w:rsidDel="00000000" w:rsidR="00000000" w:rsidRPr="00000000">
        <w:rPr>
          <w:color w:val="4a86e8"/>
          <w:sz w:val="32"/>
          <w:szCs w:val="32"/>
          <w:rtl w:val="0"/>
        </w:rPr>
        <w:t xml:space="preserve">NIST SP 800-30 Rev. 1</w:t>
      </w:r>
    </w:p>
    <w:p w:rsidR="00000000" w:rsidDel="00000000" w:rsidP="00000000" w:rsidRDefault="00000000" w:rsidRPr="00000000" w14:paraId="00000002">
      <w:pPr>
        <w:pStyle w:val="Heading2"/>
        <w:ind w:left="-360" w:firstLine="0"/>
        <w:rPr>
          <w:sz w:val="32"/>
          <w:szCs w:val="32"/>
        </w:rPr>
      </w:pPr>
      <w:bookmarkStart w:colFirst="0" w:colLast="0" w:name="_ekl67tysisut"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200" w:line="360" w:lineRule="auto"/>
        <w:ind w:left="-360" w:firstLine="0"/>
        <w:rPr>
          <w:b w:val="1"/>
        </w:rPr>
      </w:pPr>
      <w:bookmarkStart w:colFirst="0" w:colLast="0" w:name="_d24nmev6lr6a" w:id="2"/>
      <w:bookmarkEnd w:id="2"/>
      <w:r w:rsidDel="00000000" w:rsidR="00000000" w:rsidRPr="00000000">
        <w:rPr>
          <w:b w:val="1"/>
          <w:rtl w:val="0"/>
        </w:rPr>
        <w:t xml:space="preserve">Guide to assessing risk</w:t>
      </w:r>
      <w:r w:rsidDel="00000000" w:rsidR="00000000" w:rsidRPr="00000000">
        <w:rPr>
          <w:rtl w:val="0"/>
        </w:rPr>
      </w:r>
    </w:p>
    <w:p w:rsidR="00000000" w:rsidDel="00000000" w:rsidP="00000000" w:rsidRDefault="00000000" w:rsidRPr="00000000" w14:paraId="00000004">
      <w:pPr>
        <w:spacing w:before="200" w:line="276" w:lineRule="auto"/>
        <w:ind w:left="-360" w:right="-360" w:firstLine="0"/>
        <w:rPr>
          <w:color w:val="000000"/>
        </w:rPr>
      </w:pPr>
      <w:r w:rsidDel="00000000" w:rsidR="00000000" w:rsidRPr="00000000">
        <w:rPr>
          <w:color w:val="000000"/>
          <w:rtl w:val="0"/>
        </w:rPr>
        <w:t xml:space="preserve">NIST SP 800-30 is a publication that provides guidance on performing risk assessments. It outlines strategies for identifying, analyzing, and remediating risks. Organizations use NIST SP 800-30 to gain insights into the potential likelihood and severity of risks—helping them make informed decisions about allocating resources, implementing controls, and prioritizing remediation efforts.</w:t>
      </w:r>
    </w:p>
    <w:p w:rsidR="00000000" w:rsidDel="00000000" w:rsidP="00000000" w:rsidRDefault="00000000" w:rsidRPr="00000000" w14:paraId="00000005">
      <w:pPr>
        <w:spacing w:before="0" w:line="276" w:lineRule="auto"/>
        <w:ind w:left="-360" w:right="-360" w:firstLine="0"/>
        <w:rPr>
          <w:color w:val="000000"/>
        </w:rPr>
      </w:pPr>
      <w:r w:rsidDel="00000000" w:rsidR="00000000" w:rsidRPr="00000000">
        <w:rPr>
          <w:rtl w:val="0"/>
        </w:rPr>
      </w:r>
    </w:p>
    <w:p w:rsidR="00000000" w:rsidDel="00000000" w:rsidP="00000000" w:rsidRDefault="00000000" w:rsidRPr="00000000" w14:paraId="00000006">
      <w:pPr>
        <w:spacing w:before="0" w:line="276" w:lineRule="auto"/>
        <w:ind w:left="-360" w:right="-360" w:firstLine="0"/>
        <w:rPr>
          <w:color w:val="000000"/>
        </w:rPr>
      </w:pPr>
      <w:r w:rsidDel="00000000" w:rsidR="00000000" w:rsidRPr="00000000">
        <w:rPr>
          <w:color w:val="000000"/>
          <w:rtl w:val="0"/>
        </w:rPr>
        <w:t xml:space="preserve">This four page document is adapted from NIST SP 800-30 Rev. 1. The term "Rev. 1" signifies that it is the first updated version of this publication. NIST occasionally revises its documents to incorporate new information, reflect changes in technology and regulatory requirements, or address feedback.</w:t>
      </w:r>
    </w:p>
    <w:p w:rsidR="00000000" w:rsidDel="00000000" w:rsidP="00000000" w:rsidRDefault="00000000" w:rsidRPr="00000000" w14:paraId="00000007">
      <w:pPr>
        <w:spacing w:before="0" w:line="276" w:lineRule="auto"/>
        <w:ind w:left="-360" w:right="-360" w:firstLine="0"/>
        <w:rPr>
          <w:color w:val="000000"/>
        </w:rPr>
      </w:pPr>
      <w:r w:rsidDel="00000000" w:rsidR="00000000" w:rsidRPr="00000000">
        <w:rPr>
          <w:rtl w:val="0"/>
        </w:rPr>
      </w:r>
    </w:p>
    <w:p w:rsidR="00000000" w:rsidDel="00000000" w:rsidP="00000000" w:rsidRDefault="00000000" w:rsidRPr="00000000" w14:paraId="00000008">
      <w:pPr>
        <w:spacing w:before="0" w:line="276" w:lineRule="auto"/>
        <w:ind w:left="-360" w:right="-360" w:firstLine="0"/>
        <w:rPr>
          <w:color w:val="000000"/>
        </w:rPr>
      </w:pPr>
      <w:r w:rsidDel="00000000" w:rsidR="00000000" w:rsidRPr="00000000">
        <w:rPr>
          <w:b w:val="1"/>
          <w:color w:val="000000"/>
          <w:rtl w:val="0"/>
        </w:rPr>
        <w:t xml:space="preserve">Note:</w:t>
      </w:r>
      <w:r w:rsidDel="00000000" w:rsidR="00000000" w:rsidRPr="00000000">
        <w:rPr>
          <w:color w:val="000000"/>
          <w:rtl w:val="0"/>
        </w:rPr>
        <w:t xml:space="preserve"> NIST's </w:t>
      </w:r>
      <w:hyperlink r:id="rId6">
        <w:r w:rsidDel="00000000" w:rsidR="00000000" w:rsidRPr="00000000">
          <w:rPr>
            <w:color w:val="1155cc"/>
            <w:u w:val="single"/>
            <w:rtl w:val="0"/>
          </w:rPr>
          <w:t xml:space="preserve">Computer Security Resources Center</w:t>
        </w:r>
      </w:hyperlink>
      <w:r w:rsidDel="00000000" w:rsidR="00000000" w:rsidRPr="00000000">
        <w:rPr>
          <w:color w:val="000000"/>
          <w:rtl w:val="0"/>
        </w:rPr>
        <w:t xml:space="preserve"> contains more information on SP 800-30 Rev. 1.</w:t>
      </w:r>
    </w:p>
    <w:p w:rsidR="00000000" w:rsidDel="00000000" w:rsidP="00000000" w:rsidRDefault="00000000" w:rsidRPr="00000000" w14:paraId="00000009">
      <w:pPr>
        <w:spacing w:before="0" w:line="360" w:lineRule="auto"/>
        <w:ind w:left="-360" w:right="-360" w:firstLine="0"/>
        <w:rPr>
          <w:color w:val="000000"/>
        </w:rPr>
      </w:pPr>
      <w:r w:rsidDel="00000000" w:rsidR="00000000" w:rsidRPr="00000000">
        <w:rPr>
          <w:rtl w:val="0"/>
        </w:rPr>
      </w:r>
    </w:p>
    <w:p w:rsidR="00000000" w:rsidDel="00000000" w:rsidP="00000000" w:rsidRDefault="00000000" w:rsidRPr="00000000" w14:paraId="0000000A">
      <w:pPr>
        <w:pStyle w:val="Heading3"/>
        <w:spacing w:before="0" w:line="360" w:lineRule="auto"/>
        <w:ind w:left="-360" w:right="-360" w:firstLine="0"/>
        <w:rPr>
          <w:b w:val="1"/>
          <w:color w:val="000000"/>
        </w:rPr>
      </w:pPr>
      <w:bookmarkStart w:colFirst="0" w:colLast="0" w:name="_mptljh80haez" w:id="3"/>
      <w:bookmarkEnd w:id="3"/>
      <w:r w:rsidDel="00000000" w:rsidR="00000000" w:rsidRPr="00000000">
        <w:rPr>
          <w:b w:val="1"/>
          <w:color w:val="000000"/>
          <w:rtl w:val="0"/>
        </w:rPr>
        <w:t xml:space="preserve">Threat sources</w:t>
      </w:r>
    </w:p>
    <w:p w:rsidR="00000000" w:rsidDel="00000000" w:rsidP="00000000" w:rsidRDefault="00000000" w:rsidRPr="00000000" w14:paraId="0000000B">
      <w:pPr>
        <w:ind w:left="-360" w:right="-360" w:firstLine="0"/>
        <w:rPr/>
      </w:pPr>
      <w:r w:rsidDel="00000000" w:rsidR="00000000" w:rsidRPr="00000000">
        <w:rPr>
          <w:color w:val="000000"/>
          <w:rtl w:val="0"/>
        </w:rPr>
        <w:t xml:space="preserve">NIST SP 800-30 defines and categorizes threat sources as entities or circumstances that can negatively impact an organization's information systems. This information is useful for identifying and assessing potential risks. When referencing it, consider the intent/capabilities of either internal and external threat sources.</w:t>
      </w:r>
      <w:r w:rsidDel="00000000" w:rsidR="00000000" w:rsidRPr="00000000">
        <w:rPr>
          <w:rtl w:val="0"/>
        </w:rPr>
      </w:r>
    </w:p>
    <w:p w:rsidR="00000000" w:rsidDel="00000000" w:rsidP="00000000" w:rsidRDefault="00000000" w:rsidRPr="00000000" w14:paraId="0000000C">
      <w:pPr>
        <w:ind w:left="-360" w:right="-360" w:firstLine="0"/>
        <w:rPr>
          <w:color w:val="000000"/>
        </w:rPr>
      </w:pPr>
      <w:r w:rsidDel="00000000" w:rsidR="00000000" w:rsidRPr="00000000">
        <w:rPr>
          <w:b w:val="1"/>
          <w:color w:val="000000"/>
          <w:rtl w:val="0"/>
        </w:rPr>
        <w:t xml:space="preserve">Note:</w:t>
      </w:r>
      <w:r w:rsidDel="00000000" w:rsidR="00000000" w:rsidRPr="00000000">
        <w:rPr>
          <w:color w:val="000000"/>
          <w:rtl w:val="0"/>
        </w:rPr>
        <w:t xml:space="preserve"> </w:t>
      </w:r>
      <w:r w:rsidDel="00000000" w:rsidR="00000000" w:rsidRPr="00000000">
        <w:rPr>
          <w:color w:val="000000"/>
          <w:rtl w:val="0"/>
        </w:rPr>
        <w:t xml:space="preserve">The following table lists a few possible </w:t>
      </w:r>
      <w:r w:rsidDel="00000000" w:rsidR="00000000" w:rsidRPr="00000000">
        <w:rPr>
          <w:i w:val="1"/>
          <w:color w:val="000000"/>
          <w:rtl w:val="0"/>
        </w:rPr>
        <w:t xml:space="preserve">threat sources</w:t>
      </w:r>
      <w:r w:rsidDel="00000000" w:rsidR="00000000" w:rsidRPr="00000000">
        <w:rPr>
          <w:color w:val="000000"/>
          <w:rtl w:val="0"/>
        </w:rPr>
        <w:t xml:space="preserve"> that could compromise a publicly accessible database server.</w:t>
      </w:r>
    </w:p>
    <w:p w:rsidR="00000000" w:rsidDel="00000000" w:rsidP="00000000" w:rsidRDefault="00000000" w:rsidRPr="00000000" w14:paraId="0000000D">
      <w:pPr>
        <w:ind w:left="-360" w:right="-360" w:firstLine="0"/>
        <w:rPr/>
      </w:pPr>
      <w:r w:rsidDel="00000000" w:rsidR="00000000" w:rsidRPr="00000000">
        <w:rPr>
          <w:rtl w:val="0"/>
        </w:rPr>
      </w:r>
    </w:p>
    <w:tbl>
      <w:tblPr>
        <w:tblStyle w:val="Table1"/>
        <w:tblW w:w="1009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810"/>
        <w:gridCol w:w="5385"/>
        <w:tblGridChange w:id="0">
          <w:tblGrid>
            <w:gridCol w:w="900"/>
            <w:gridCol w:w="3810"/>
            <w:gridCol w:w="53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0" w:line="240" w:lineRule="auto"/>
              <w:ind w:left="-360" w:right="-360" w:firstLine="0"/>
              <w:jc w:val="center"/>
              <w:rPr>
                <w:b w:val="1"/>
              </w:rPr>
            </w:pPr>
            <w:r w:rsidDel="00000000" w:rsidR="00000000" w:rsidRPr="00000000">
              <w:rPr>
                <w:b w:val="1"/>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0" w:line="240" w:lineRule="auto"/>
              <w:ind w:left="0" w:right="0" w:firstLine="0"/>
              <w:rPr>
                <w:b w:val="1"/>
              </w:rPr>
            </w:pPr>
            <w:r w:rsidDel="00000000" w:rsidR="00000000" w:rsidRPr="00000000">
              <w:rPr>
                <w:b w:val="1"/>
                <w:rtl w:val="0"/>
              </w:rPr>
              <w:t xml:space="preserve">Examples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0" w:line="240" w:lineRule="auto"/>
              <w:ind w:left="0" w:right="-45" w:firstLine="0"/>
              <w:rPr>
                <w:b w:val="1"/>
              </w:rPr>
            </w:pPr>
            <w:r w:rsidDel="00000000" w:rsidR="00000000" w:rsidRPr="00000000">
              <w:rPr>
                <w:b w:val="1"/>
                <w:rtl w:val="0"/>
              </w:rPr>
              <w:t xml:space="preserve">Description</w:t>
            </w:r>
          </w:p>
        </w:tc>
      </w:tr>
      <w:tr>
        <w:trPr>
          <w:cantSplit w:val="0"/>
          <w:trHeight w:val="309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before="0" w:line="240" w:lineRule="auto"/>
              <w:ind w:left="0" w:right="-30" w:firstLine="0"/>
              <w:rPr/>
            </w:pPr>
            <w:r w:rsidDel="00000000" w:rsidR="00000000" w:rsidRPr="00000000">
              <w:rPr/>
              <mc:AlternateContent>
                <mc:Choice Requires="wpg">
                  <w:drawing>
                    <wp:inline distB="114300" distT="114300" distL="114300" distR="114300">
                      <wp:extent cx="409575" cy="1304925"/>
                      <wp:effectExtent b="0" l="0" r="0" t="0"/>
                      <wp:docPr id="2" name=""/>
                      <a:graphic>
                        <a:graphicData uri="http://schemas.microsoft.com/office/word/2010/wordprocessingShape">
                          <wps:wsp>
                            <wps:cNvSpPr txBox="1"/>
                            <wps:cNvPr id="3" name="Shape 3"/>
                            <wps:spPr>
                              <a:xfrm rot="-5400000">
                                <a:off x="-449250" y="449250"/>
                                <a:ext cx="1298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Human</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30492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09575" cy="1304925"/>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rPr>
                <w:i w:val="1"/>
              </w:rPr>
            </w:pPr>
            <w:r w:rsidDel="00000000" w:rsidR="00000000" w:rsidRPr="00000000">
              <w:rPr>
                <w:i w:val="1"/>
                <w:rtl w:val="0"/>
              </w:rPr>
              <w:t xml:space="preserve">Standard user</w:t>
            </w:r>
          </w:p>
          <w:p w:rsidR="00000000" w:rsidDel="00000000" w:rsidP="00000000" w:rsidRDefault="00000000" w:rsidRPr="00000000" w14:paraId="00000013">
            <w:pPr>
              <w:widowControl w:val="0"/>
              <w:numPr>
                <w:ilvl w:val="0"/>
                <w:numId w:val="4"/>
              </w:numPr>
              <w:spacing w:before="0" w:line="240" w:lineRule="auto"/>
              <w:ind w:left="720" w:hanging="360"/>
              <w:rPr>
                <w:sz w:val="20"/>
                <w:szCs w:val="20"/>
              </w:rPr>
            </w:pPr>
            <w:r w:rsidDel="00000000" w:rsidR="00000000" w:rsidRPr="00000000">
              <w:rPr>
                <w:sz w:val="20"/>
                <w:szCs w:val="20"/>
                <w:rtl w:val="0"/>
              </w:rPr>
              <w:t xml:space="preserve">Employee</w:t>
            </w:r>
          </w:p>
          <w:p w:rsidR="00000000" w:rsidDel="00000000" w:rsidP="00000000" w:rsidRDefault="00000000" w:rsidRPr="00000000" w14:paraId="00000014">
            <w:pPr>
              <w:widowControl w:val="0"/>
              <w:numPr>
                <w:ilvl w:val="0"/>
                <w:numId w:val="4"/>
              </w:numPr>
              <w:spacing w:before="0" w:line="240" w:lineRule="auto"/>
              <w:ind w:left="720" w:hanging="360"/>
              <w:rPr>
                <w:sz w:val="20"/>
                <w:szCs w:val="20"/>
              </w:rPr>
            </w:pPr>
            <w:r w:rsidDel="00000000" w:rsidR="00000000" w:rsidRPr="00000000">
              <w:rPr>
                <w:sz w:val="20"/>
                <w:szCs w:val="20"/>
                <w:rtl w:val="0"/>
              </w:rPr>
              <w:t xml:space="preserve">Customer</w:t>
            </w:r>
          </w:p>
          <w:p w:rsidR="00000000" w:rsidDel="00000000" w:rsidP="00000000" w:rsidRDefault="00000000" w:rsidRPr="00000000" w14:paraId="00000015">
            <w:pPr>
              <w:widowControl w:val="0"/>
              <w:spacing w:before="0" w:line="240" w:lineRule="auto"/>
              <w:rPr/>
            </w:pPr>
            <w:r w:rsidDel="00000000" w:rsidR="00000000" w:rsidRPr="00000000">
              <w:rPr>
                <w:i w:val="1"/>
                <w:rtl w:val="0"/>
              </w:rPr>
              <w:t xml:space="preserve">Privileged user</w:t>
            </w:r>
            <w:r w:rsidDel="00000000" w:rsidR="00000000" w:rsidRPr="00000000">
              <w:rPr>
                <w:rtl w:val="0"/>
              </w:rPr>
            </w:r>
          </w:p>
          <w:p w:rsidR="00000000" w:rsidDel="00000000" w:rsidP="00000000" w:rsidRDefault="00000000" w:rsidRPr="00000000" w14:paraId="00000016">
            <w:pPr>
              <w:widowControl w:val="0"/>
              <w:numPr>
                <w:ilvl w:val="0"/>
                <w:numId w:val="1"/>
              </w:numPr>
              <w:spacing w:before="0" w:line="240" w:lineRule="auto"/>
              <w:ind w:left="720" w:hanging="360"/>
              <w:rPr>
                <w:sz w:val="20"/>
                <w:szCs w:val="20"/>
              </w:rPr>
            </w:pPr>
            <w:r w:rsidDel="00000000" w:rsidR="00000000" w:rsidRPr="00000000">
              <w:rPr>
                <w:sz w:val="20"/>
                <w:szCs w:val="20"/>
                <w:rtl w:val="0"/>
              </w:rPr>
              <w:t xml:space="preserve">System administrator</w:t>
            </w:r>
          </w:p>
          <w:p w:rsidR="00000000" w:rsidDel="00000000" w:rsidP="00000000" w:rsidRDefault="00000000" w:rsidRPr="00000000" w14:paraId="00000017">
            <w:pPr>
              <w:widowControl w:val="0"/>
              <w:spacing w:before="0" w:line="240" w:lineRule="auto"/>
              <w:ind w:right="0"/>
              <w:rPr>
                <w:i w:val="1"/>
              </w:rPr>
            </w:pPr>
            <w:r w:rsidDel="00000000" w:rsidR="00000000" w:rsidRPr="00000000">
              <w:rPr>
                <w:i w:val="1"/>
                <w:rtl w:val="0"/>
              </w:rPr>
              <w:t xml:space="preserve">Group</w:t>
            </w:r>
          </w:p>
          <w:p w:rsidR="00000000" w:rsidDel="00000000" w:rsidP="00000000" w:rsidRDefault="00000000" w:rsidRPr="00000000" w14:paraId="00000018">
            <w:pPr>
              <w:widowControl w:val="0"/>
              <w:numPr>
                <w:ilvl w:val="0"/>
                <w:numId w:val="3"/>
              </w:numPr>
              <w:spacing w:before="0" w:line="240" w:lineRule="auto"/>
              <w:ind w:left="720" w:right="0" w:hanging="360"/>
              <w:rPr>
                <w:sz w:val="20"/>
                <w:szCs w:val="20"/>
                <w:u w:val="none"/>
              </w:rPr>
            </w:pPr>
            <w:r w:rsidDel="00000000" w:rsidR="00000000" w:rsidRPr="00000000">
              <w:rPr>
                <w:i w:val="1"/>
                <w:sz w:val="20"/>
                <w:szCs w:val="20"/>
                <w:rtl w:val="0"/>
              </w:rPr>
              <w:t xml:space="preserve">C</w:t>
            </w:r>
            <w:r w:rsidDel="00000000" w:rsidR="00000000" w:rsidRPr="00000000">
              <w:rPr>
                <w:sz w:val="20"/>
                <w:szCs w:val="20"/>
                <w:rtl w:val="0"/>
              </w:rPr>
              <w:t xml:space="preserve">ompetitor</w:t>
            </w:r>
          </w:p>
          <w:p w:rsidR="00000000" w:rsidDel="00000000" w:rsidP="00000000" w:rsidRDefault="00000000" w:rsidRPr="00000000" w14:paraId="00000019">
            <w:pPr>
              <w:widowControl w:val="0"/>
              <w:numPr>
                <w:ilvl w:val="0"/>
                <w:numId w:val="3"/>
              </w:numPr>
              <w:spacing w:before="0" w:line="240" w:lineRule="auto"/>
              <w:ind w:left="720" w:right="0" w:hanging="360"/>
              <w:rPr>
                <w:sz w:val="20"/>
                <w:szCs w:val="20"/>
                <w:u w:val="none"/>
              </w:rPr>
            </w:pPr>
            <w:r w:rsidDel="00000000" w:rsidR="00000000" w:rsidRPr="00000000">
              <w:rPr>
                <w:sz w:val="20"/>
                <w:szCs w:val="20"/>
                <w:rtl w:val="0"/>
              </w:rPr>
              <w:t xml:space="preserve">Supplier</w:t>
            </w:r>
          </w:p>
          <w:p w:rsidR="00000000" w:rsidDel="00000000" w:rsidP="00000000" w:rsidRDefault="00000000" w:rsidRPr="00000000" w14:paraId="0000001A">
            <w:pPr>
              <w:widowControl w:val="0"/>
              <w:numPr>
                <w:ilvl w:val="0"/>
                <w:numId w:val="3"/>
              </w:numPr>
              <w:spacing w:before="0" w:line="240" w:lineRule="auto"/>
              <w:ind w:left="720" w:right="0" w:hanging="360"/>
              <w:rPr>
                <w:sz w:val="20"/>
                <w:szCs w:val="20"/>
                <w:u w:val="none"/>
              </w:rPr>
            </w:pPr>
            <w:r w:rsidDel="00000000" w:rsidR="00000000" w:rsidRPr="00000000">
              <w:rPr>
                <w:sz w:val="20"/>
                <w:szCs w:val="20"/>
                <w:rtl w:val="0"/>
              </w:rPr>
              <w:t xml:space="preserve">Business partner</w:t>
            </w:r>
          </w:p>
          <w:p w:rsidR="00000000" w:rsidDel="00000000" w:rsidP="00000000" w:rsidRDefault="00000000" w:rsidRPr="00000000" w14:paraId="0000001B">
            <w:pPr>
              <w:widowControl w:val="0"/>
              <w:numPr>
                <w:ilvl w:val="0"/>
                <w:numId w:val="3"/>
              </w:numPr>
              <w:spacing w:before="0" w:line="240" w:lineRule="auto"/>
              <w:ind w:left="720" w:right="0" w:hanging="360"/>
              <w:rPr>
                <w:sz w:val="18"/>
                <w:szCs w:val="18"/>
              </w:rPr>
            </w:pPr>
            <w:r w:rsidDel="00000000" w:rsidR="00000000" w:rsidRPr="00000000">
              <w:rPr>
                <w:sz w:val="20"/>
                <w:szCs w:val="20"/>
                <w:rtl w:val="0"/>
              </w:rPr>
              <w:t xml:space="preserve">Nation state</w:t>
            </w:r>
          </w:p>
          <w:p w:rsidR="00000000" w:rsidDel="00000000" w:rsidP="00000000" w:rsidRDefault="00000000" w:rsidRPr="00000000" w14:paraId="0000001C">
            <w:pPr>
              <w:widowControl w:val="0"/>
              <w:spacing w:before="0" w:line="240" w:lineRule="auto"/>
              <w:ind w:right="0"/>
              <w:rPr>
                <w:i w:val="1"/>
              </w:rPr>
            </w:pPr>
            <w:r w:rsidDel="00000000" w:rsidR="00000000" w:rsidRPr="00000000">
              <w:rPr>
                <w:i w:val="1"/>
                <w:rtl w:val="0"/>
              </w:rPr>
              <w:t xml:space="preserve">Outsider</w:t>
            </w:r>
          </w:p>
          <w:p w:rsidR="00000000" w:rsidDel="00000000" w:rsidP="00000000" w:rsidRDefault="00000000" w:rsidRPr="00000000" w14:paraId="0000001D">
            <w:pPr>
              <w:widowControl w:val="0"/>
              <w:numPr>
                <w:ilvl w:val="0"/>
                <w:numId w:val="7"/>
              </w:numPr>
              <w:spacing w:before="0" w:line="240" w:lineRule="auto"/>
              <w:ind w:left="720" w:right="0" w:hanging="360"/>
              <w:rPr>
                <w:sz w:val="20"/>
                <w:szCs w:val="20"/>
                <w:u w:val="none"/>
              </w:rPr>
            </w:pPr>
            <w:r w:rsidDel="00000000" w:rsidR="00000000" w:rsidRPr="00000000">
              <w:rPr>
                <w:sz w:val="20"/>
                <w:szCs w:val="20"/>
                <w:rtl w:val="0"/>
              </w:rPr>
              <w:t xml:space="preserve">Hacker</w:t>
            </w:r>
          </w:p>
          <w:p w:rsidR="00000000" w:rsidDel="00000000" w:rsidP="00000000" w:rsidRDefault="00000000" w:rsidRPr="00000000" w14:paraId="0000001E">
            <w:pPr>
              <w:widowControl w:val="0"/>
              <w:numPr>
                <w:ilvl w:val="0"/>
                <w:numId w:val="7"/>
              </w:numPr>
              <w:spacing w:before="0" w:line="240" w:lineRule="auto"/>
              <w:ind w:left="720" w:right="0" w:hanging="360"/>
              <w:rPr>
                <w:sz w:val="20"/>
                <w:szCs w:val="20"/>
                <w:u w:val="none"/>
              </w:rPr>
            </w:pPr>
            <w:r w:rsidDel="00000000" w:rsidR="00000000" w:rsidRPr="00000000">
              <w:rPr>
                <w:sz w:val="20"/>
                <w:szCs w:val="20"/>
                <w:rtl w:val="0"/>
              </w:rPr>
              <w:t xml:space="preserve">Hacktivist</w:t>
            </w:r>
          </w:p>
          <w:p w:rsidR="00000000" w:rsidDel="00000000" w:rsidP="00000000" w:rsidRDefault="00000000" w:rsidRPr="00000000" w14:paraId="0000001F">
            <w:pPr>
              <w:widowControl w:val="0"/>
              <w:numPr>
                <w:ilvl w:val="0"/>
                <w:numId w:val="7"/>
              </w:numPr>
              <w:spacing w:before="0" w:line="240" w:lineRule="auto"/>
              <w:ind w:left="720" w:right="0" w:hanging="360"/>
              <w:rPr>
                <w:sz w:val="20"/>
                <w:szCs w:val="20"/>
                <w:u w:val="none"/>
              </w:rPr>
            </w:pPr>
            <w:r w:rsidDel="00000000" w:rsidR="00000000" w:rsidRPr="00000000">
              <w:rPr>
                <w:sz w:val="20"/>
                <w:szCs w:val="20"/>
                <w:rtl w:val="0"/>
              </w:rPr>
              <w:t xml:space="preserve">Advanced persistent threat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ind w:left="0" w:right="-45" w:firstLine="0"/>
              <w:rPr/>
            </w:pPr>
            <w:r w:rsidDel="00000000" w:rsidR="00000000" w:rsidRPr="00000000">
              <w:rPr>
                <w:rtl w:val="0"/>
              </w:rPr>
              <w:t xml:space="preserve">Threats arising from individuals or groups who might purposefully or accidentally exploit cyber resources. For example, they might alter data in a way that negatively impacts the company. Alternatively, they might intentionally steal data and damage business equipment.</w:t>
            </w:r>
          </w:p>
        </w:tc>
      </w:tr>
      <w:tr>
        <w:trPr>
          <w:cantSplit w:val="0"/>
          <w:trHeight w:val="258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before="0" w:line="240" w:lineRule="auto"/>
              <w:ind w:left="0" w:right="-360" w:firstLine="0"/>
              <w:rPr/>
            </w:pPr>
            <w:r w:rsidDel="00000000" w:rsidR="00000000" w:rsidRPr="00000000">
              <w:rPr/>
              <mc:AlternateContent>
                <mc:Choice Requires="wpg">
                  <w:drawing>
                    <wp:inline distB="114300" distT="114300" distL="114300" distR="114300">
                      <wp:extent cx="409575" cy="1390650"/>
                      <wp:effectExtent b="0" l="0" r="0" t="0"/>
                      <wp:docPr id="1" name=""/>
                      <a:graphic>
                        <a:graphicData uri="http://schemas.microsoft.com/office/word/2010/wordprocessingShape">
                          <wps:wsp>
                            <wps:cNvSpPr txBox="1"/>
                            <wps:cNvPr id="2" name="Shape 2"/>
                            <wps:spPr>
                              <a:xfrm rot="-5400000">
                                <a:off x="-491850" y="491975"/>
                                <a:ext cx="1383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Technological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390650"/>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09575" cy="139065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ind w:right="0"/>
              <w:rPr>
                <w:i w:val="1"/>
              </w:rPr>
            </w:pPr>
            <w:r w:rsidDel="00000000" w:rsidR="00000000" w:rsidRPr="00000000">
              <w:rPr>
                <w:i w:val="1"/>
                <w:rtl w:val="0"/>
              </w:rPr>
              <w:t xml:space="preserve">Hardware</w:t>
            </w:r>
          </w:p>
          <w:p w:rsidR="00000000" w:rsidDel="00000000" w:rsidP="00000000" w:rsidRDefault="00000000" w:rsidRPr="00000000" w14:paraId="00000023">
            <w:pPr>
              <w:widowControl w:val="0"/>
              <w:numPr>
                <w:ilvl w:val="0"/>
                <w:numId w:val="2"/>
              </w:numPr>
              <w:spacing w:before="0" w:line="240" w:lineRule="auto"/>
              <w:ind w:left="720" w:right="0" w:hanging="360"/>
              <w:rPr>
                <w:sz w:val="20"/>
                <w:szCs w:val="20"/>
              </w:rPr>
            </w:pPr>
            <w:r w:rsidDel="00000000" w:rsidR="00000000" w:rsidRPr="00000000">
              <w:rPr>
                <w:sz w:val="20"/>
                <w:szCs w:val="20"/>
                <w:rtl w:val="0"/>
              </w:rPr>
              <w:t xml:space="preserve">S</w:t>
            </w:r>
            <w:r w:rsidDel="00000000" w:rsidR="00000000" w:rsidRPr="00000000">
              <w:rPr>
                <w:sz w:val="20"/>
                <w:szCs w:val="20"/>
                <w:rtl w:val="0"/>
              </w:rPr>
              <w:t xml:space="preserve">torage</w:t>
            </w:r>
          </w:p>
          <w:p w:rsidR="00000000" w:rsidDel="00000000" w:rsidP="00000000" w:rsidRDefault="00000000" w:rsidRPr="00000000" w14:paraId="00000024">
            <w:pPr>
              <w:widowControl w:val="0"/>
              <w:numPr>
                <w:ilvl w:val="0"/>
                <w:numId w:val="2"/>
              </w:numPr>
              <w:spacing w:before="0" w:line="240" w:lineRule="auto"/>
              <w:ind w:left="720" w:right="0" w:hanging="360"/>
              <w:rPr>
                <w:sz w:val="20"/>
                <w:szCs w:val="20"/>
              </w:rPr>
            </w:pPr>
            <w:r w:rsidDel="00000000" w:rsidR="00000000" w:rsidRPr="00000000">
              <w:rPr>
                <w:sz w:val="20"/>
                <w:szCs w:val="20"/>
                <w:rtl w:val="0"/>
              </w:rPr>
              <w:t xml:space="preserve">Processing</w:t>
            </w:r>
          </w:p>
          <w:p w:rsidR="00000000" w:rsidDel="00000000" w:rsidP="00000000" w:rsidRDefault="00000000" w:rsidRPr="00000000" w14:paraId="00000025">
            <w:pPr>
              <w:widowControl w:val="0"/>
              <w:numPr>
                <w:ilvl w:val="0"/>
                <w:numId w:val="2"/>
              </w:numPr>
              <w:spacing w:before="0" w:line="240" w:lineRule="auto"/>
              <w:ind w:left="720" w:right="0" w:hanging="360"/>
              <w:rPr>
                <w:sz w:val="20"/>
                <w:szCs w:val="20"/>
              </w:rPr>
            </w:pPr>
            <w:r w:rsidDel="00000000" w:rsidR="00000000" w:rsidRPr="00000000">
              <w:rPr>
                <w:sz w:val="20"/>
                <w:szCs w:val="20"/>
                <w:rtl w:val="0"/>
              </w:rPr>
              <w:t xml:space="preserve">Communications</w:t>
            </w:r>
          </w:p>
          <w:p w:rsidR="00000000" w:rsidDel="00000000" w:rsidP="00000000" w:rsidRDefault="00000000" w:rsidRPr="00000000" w14:paraId="00000026">
            <w:pPr>
              <w:widowControl w:val="0"/>
              <w:spacing w:before="0" w:line="240" w:lineRule="auto"/>
              <w:ind w:right="0"/>
              <w:rPr>
                <w:i w:val="1"/>
              </w:rPr>
            </w:pPr>
            <w:r w:rsidDel="00000000" w:rsidR="00000000" w:rsidRPr="00000000">
              <w:rPr>
                <w:i w:val="1"/>
                <w:rtl w:val="0"/>
              </w:rPr>
              <w:t xml:space="preserve">Software</w:t>
            </w:r>
          </w:p>
          <w:p w:rsidR="00000000" w:rsidDel="00000000" w:rsidP="00000000" w:rsidRDefault="00000000" w:rsidRPr="00000000" w14:paraId="00000027">
            <w:pPr>
              <w:widowControl w:val="0"/>
              <w:numPr>
                <w:ilvl w:val="0"/>
                <w:numId w:val="6"/>
              </w:numPr>
              <w:spacing w:before="0" w:line="240" w:lineRule="auto"/>
              <w:ind w:left="720" w:right="0" w:hanging="360"/>
              <w:rPr>
                <w:sz w:val="20"/>
                <w:szCs w:val="20"/>
                <w:u w:val="none"/>
              </w:rPr>
            </w:pPr>
            <w:r w:rsidDel="00000000" w:rsidR="00000000" w:rsidRPr="00000000">
              <w:rPr>
                <w:i w:val="1"/>
                <w:sz w:val="20"/>
                <w:szCs w:val="20"/>
                <w:rtl w:val="0"/>
              </w:rPr>
              <w:t xml:space="preserve">O</w:t>
            </w:r>
            <w:r w:rsidDel="00000000" w:rsidR="00000000" w:rsidRPr="00000000">
              <w:rPr>
                <w:sz w:val="20"/>
                <w:szCs w:val="20"/>
                <w:rtl w:val="0"/>
              </w:rPr>
              <w:t xml:space="preserve">perating system(s)</w:t>
            </w:r>
          </w:p>
          <w:p w:rsidR="00000000" w:rsidDel="00000000" w:rsidP="00000000" w:rsidRDefault="00000000" w:rsidRPr="00000000" w14:paraId="00000028">
            <w:pPr>
              <w:widowControl w:val="0"/>
              <w:numPr>
                <w:ilvl w:val="0"/>
                <w:numId w:val="6"/>
              </w:numPr>
              <w:spacing w:before="0" w:line="240" w:lineRule="auto"/>
              <w:ind w:left="720" w:right="0" w:hanging="360"/>
              <w:rPr>
                <w:sz w:val="20"/>
                <w:szCs w:val="20"/>
                <w:u w:val="none"/>
              </w:rPr>
            </w:pPr>
            <w:r w:rsidDel="00000000" w:rsidR="00000000" w:rsidRPr="00000000">
              <w:rPr>
                <w:sz w:val="20"/>
                <w:szCs w:val="20"/>
                <w:rtl w:val="0"/>
              </w:rPr>
              <w:t xml:space="preserve">Networking</w:t>
            </w:r>
          </w:p>
          <w:p w:rsidR="00000000" w:rsidDel="00000000" w:rsidP="00000000" w:rsidRDefault="00000000" w:rsidRPr="00000000" w14:paraId="00000029">
            <w:pPr>
              <w:widowControl w:val="0"/>
              <w:numPr>
                <w:ilvl w:val="0"/>
                <w:numId w:val="6"/>
              </w:numPr>
              <w:spacing w:before="0" w:line="240" w:lineRule="auto"/>
              <w:ind w:left="720" w:right="0" w:hanging="360"/>
              <w:rPr>
                <w:sz w:val="20"/>
                <w:szCs w:val="20"/>
                <w:u w:val="none"/>
              </w:rPr>
            </w:pPr>
            <w:r w:rsidDel="00000000" w:rsidR="00000000" w:rsidRPr="00000000">
              <w:rPr>
                <w:sz w:val="20"/>
                <w:szCs w:val="20"/>
                <w:rtl w:val="0"/>
              </w:rPr>
              <w:t xml:space="preserve">Malicious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0" w:line="240" w:lineRule="auto"/>
              <w:ind w:left="0" w:right="-45" w:firstLine="0"/>
              <w:rPr/>
            </w:pPr>
            <w:r w:rsidDel="00000000" w:rsidR="00000000" w:rsidRPr="00000000">
              <w:rPr>
                <w:rtl w:val="0"/>
              </w:rPr>
              <w:t xml:space="preserve">Threats that originate from non-human factors. For example, failures of equipment due to aging, resource depletion, or other circumstances.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before="0" w:line="240" w:lineRule="auto"/>
              <w:ind w:left="0" w:right="-120" w:firstLine="0"/>
              <w:rPr/>
            </w:pPr>
            <w:r w:rsidDel="00000000" w:rsidR="00000000" w:rsidRPr="00000000">
              <w:rPr/>
              <mc:AlternateContent>
                <mc:Choice Requires="wpg">
                  <w:drawing>
                    <wp:inline distB="114300" distT="114300" distL="114300" distR="114300">
                      <wp:extent cx="409575" cy="1495425"/>
                      <wp:effectExtent b="0" l="0" r="0" t="0"/>
                      <wp:docPr id="3" name=""/>
                      <a:graphic>
                        <a:graphicData uri="http://schemas.microsoft.com/office/word/2010/wordprocessingShape">
                          <wps:wsp>
                            <wps:cNvSpPr txBox="1"/>
                            <wps:cNvPr id="4" name="Shape 4"/>
                            <wps:spPr>
                              <a:xfrm rot="-5400000">
                                <a:off x="-543000" y="543075"/>
                                <a:ext cx="1486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Environmental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495425"/>
                      <wp:effectExtent b="0" l="0" r="0" 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09575" cy="1495425"/>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before="0" w:line="240" w:lineRule="auto"/>
              <w:rPr>
                <w:i w:val="1"/>
              </w:rPr>
            </w:pPr>
            <w:r w:rsidDel="00000000" w:rsidR="00000000" w:rsidRPr="00000000">
              <w:rPr>
                <w:i w:val="1"/>
                <w:rtl w:val="0"/>
              </w:rPr>
              <w:t xml:space="preserve">Operational environment</w:t>
            </w:r>
          </w:p>
          <w:p w:rsidR="00000000" w:rsidDel="00000000" w:rsidP="00000000" w:rsidRDefault="00000000" w:rsidRPr="00000000" w14:paraId="0000002D">
            <w:pPr>
              <w:widowControl w:val="0"/>
              <w:numPr>
                <w:ilvl w:val="0"/>
                <w:numId w:val="5"/>
              </w:numPr>
              <w:spacing w:before="0" w:line="240" w:lineRule="auto"/>
              <w:ind w:left="720" w:hanging="360"/>
              <w:rPr>
                <w:sz w:val="20"/>
                <w:szCs w:val="20"/>
              </w:rPr>
            </w:pPr>
            <w:r w:rsidDel="00000000" w:rsidR="00000000" w:rsidRPr="00000000">
              <w:rPr>
                <w:sz w:val="20"/>
                <w:szCs w:val="20"/>
                <w:rtl w:val="0"/>
              </w:rPr>
              <w:t xml:space="preserve">Temperature controls</w:t>
            </w:r>
          </w:p>
          <w:p w:rsidR="00000000" w:rsidDel="00000000" w:rsidP="00000000" w:rsidRDefault="00000000" w:rsidRPr="00000000" w14:paraId="0000002E">
            <w:pPr>
              <w:widowControl w:val="0"/>
              <w:numPr>
                <w:ilvl w:val="0"/>
                <w:numId w:val="5"/>
              </w:numPr>
              <w:spacing w:before="0" w:line="240" w:lineRule="auto"/>
              <w:ind w:left="720" w:hanging="360"/>
              <w:rPr>
                <w:sz w:val="20"/>
                <w:szCs w:val="20"/>
              </w:rPr>
            </w:pPr>
            <w:r w:rsidDel="00000000" w:rsidR="00000000" w:rsidRPr="00000000">
              <w:rPr>
                <w:sz w:val="20"/>
                <w:szCs w:val="20"/>
                <w:rtl w:val="0"/>
              </w:rPr>
              <w:t xml:space="preserve">Humidity controls</w:t>
            </w:r>
          </w:p>
          <w:p w:rsidR="00000000" w:rsidDel="00000000" w:rsidP="00000000" w:rsidRDefault="00000000" w:rsidRPr="00000000" w14:paraId="0000002F">
            <w:pPr>
              <w:widowControl w:val="0"/>
              <w:numPr>
                <w:ilvl w:val="0"/>
                <w:numId w:val="5"/>
              </w:numPr>
              <w:spacing w:before="0" w:line="240" w:lineRule="auto"/>
              <w:ind w:left="720" w:hanging="360"/>
              <w:rPr>
                <w:sz w:val="20"/>
                <w:szCs w:val="20"/>
              </w:rPr>
            </w:pPr>
            <w:r w:rsidDel="00000000" w:rsidR="00000000" w:rsidRPr="00000000">
              <w:rPr>
                <w:sz w:val="20"/>
                <w:szCs w:val="20"/>
                <w:rtl w:val="0"/>
              </w:rPr>
              <w:t xml:space="preserve">Faulty power supplies</w:t>
            </w:r>
          </w:p>
          <w:p w:rsidR="00000000" w:rsidDel="00000000" w:rsidP="00000000" w:rsidRDefault="00000000" w:rsidRPr="00000000" w14:paraId="00000030">
            <w:pPr>
              <w:widowControl w:val="0"/>
              <w:spacing w:before="0" w:line="240" w:lineRule="auto"/>
              <w:ind w:right="0"/>
              <w:rPr>
                <w:i w:val="1"/>
              </w:rPr>
            </w:pPr>
            <w:r w:rsidDel="00000000" w:rsidR="00000000" w:rsidRPr="00000000">
              <w:rPr>
                <w:i w:val="1"/>
                <w:rtl w:val="0"/>
              </w:rPr>
              <w:t xml:space="preserve">Natural hazards</w:t>
            </w:r>
            <w:r w:rsidDel="00000000" w:rsidR="00000000" w:rsidRPr="00000000">
              <w:rPr>
                <w:rtl w:val="0"/>
              </w:rPr>
            </w:r>
          </w:p>
          <w:p w:rsidR="00000000" w:rsidDel="00000000" w:rsidP="00000000" w:rsidRDefault="00000000" w:rsidRPr="00000000" w14:paraId="00000031">
            <w:pPr>
              <w:widowControl w:val="0"/>
              <w:numPr>
                <w:ilvl w:val="0"/>
                <w:numId w:val="4"/>
              </w:numPr>
              <w:spacing w:before="0" w:line="240" w:lineRule="auto"/>
              <w:ind w:left="720" w:right="0" w:hanging="360"/>
              <w:rPr>
                <w:sz w:val="20"/>
                <w:szCs w:val="20"/>
                <w:u w:val="none"/>
              </w:rPr>
            </w:pPr>
            <w:r w:rsidDel="00000000" w:rsidR="00000000" w:rsidRPr="00000000">
              <w:rPr>
                <w:sz w:val="20"/>
                <w:szCs w:val="20"/>
                <w:rtl w:val="0"/>
              </w:rPr>
              <w:t xml:space="preserve">Power outages</w:t>
            </w:r>
          </w:p>
          <w:p w:rsidR="00000000" w:rsidDel="00000000" w:rsidP="00000000" w:rsidRDefault="00000000" w:rsidRPr="00000000" w14:paraId="00000032">
            <w:pPr>
              <w:widowControl w:val="0"/>
              <w:numPr>
                <w:ilvl w:val="0"/>
                <w:numId w:val="4"/>
              </w:numPr>
              <w:spacing w:before="0" w:line="240" w:lineRule="auto"/>
              <w:ind w:left="720" w:right="0" w:hanging="360"/>
              <w:rPr>
                <w:sz w:val="20"/>
                <w:szCs w:val="20"/>
                <w:u w:val="none"/>
              </w:rPr>
            </w:pPr>
            <w:r w:rsidDel="00000000" w:rsidR="00000000" w:rsidRPr="00000000">
              <w:rPr>
                <w:sz w:val="20"/>
                <w:szCs w:val="20"/>
                <w:rtl w:val="0"/>
              </w:rPr>
              <w:t xml:space="preserve">Extreme weather 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40" w:lineRule="auto"/>
              <w:ind w:left="0" w:right="-45" w:firstLine="0"/>
              <w:rPr/>
            </w:pPr>
            <w:r w:rsidDel="00000000" w:rsidR="00000000" w:rsidRPr="00000000">
              <w:rPr>
                <w:rtl w:val="0"/>
              </w:rPr>
              <w:t xml:space="preserve">Threats that arise from accidental, non-human factors. For example, equipment failures caused by the operational environment.</w:t>
            </w:r>
          </w:p>
        </w:tc>
      </w:tr>
    </w:tbl>
    <w:p w:rsidR="00000000" w:rsidDel="00000000" w:rsidP="00000000" w:rsidRDefault="00000000" w:rsidRPr="00000000" w14:paraId="00000034">
      <w:pPr>
        <w:ind w:left="-360" w:right="-360" w:firstLine="0"/>
        <w:rPr>
          <w:color w:val="000000"/>
        </w:rPr>
      </w:pPr>
      <w:r w:rsidDel="00000000" w:rsidR="00000000" w:rsidRPr="00000000">
        <w:rPr>
          <w:rtl w:val="0"/>
        </w:rPr>
      </w:r>
    </w:p>
    <w:p w:rsidR="00000000" w:rsidDel="00000000" w:rsidP="00000000" w:rsidRDefault="00000000" w:rsidRPr="00000000" w14:paraId="00000035">
      <w:pPr>
        <w:spacing w:before="0" w:line="360" w:lineRule="auto"/>
        <w:ind w:left="-360" w:right="-360" w:firstLine="0"/>
        <w:rPr>
          <w:color w:val="000000"/>
        </w:rPr>
      </w:pPr>
      <w:r w:rsidDel="00000000" w:rsidR="00000000" w:rsidRPr="00000000">
        <w:rPr>
          <w:rtl w:val="0"/>
        </w:rPr>
      </w:r>
    </w:p>
    <w:p w:rsidR="00000000" w:rsidDel="00000000" w:rsidP="00000000" w:rsidRDefault="00000000" w:rsidRPr="00000000" w14:paraId="00000036">
      <w:pPr>
        <w:pStyle w:val="Heading3"/>
        <w:spacing w:before="0" w:line="360" w:lineRule="auto"/>
        <w:ind w:left="-360" w:right="-360" w:firstLine="0"/>
        <w:rPr>
          <w:b w:val="1"/>
          <w:color w:val="000000"/>
        </w:rPr>
      </w:pPr>
      <w:bookmarkStart w:colFirst="0" w:colLast="0" w:name="_nflw24qpcagu" w:id="4"/>
      <w:bookmarkEnd w:id="4"/>
      <w:r w:rsidDel="00000000" w:rsidR="00000000" w:rsidRPr="00000000">
        <w:rPr>
          <w:b w:val="1"/>
          <w:color w:val="000000"/>
          <w:rtl w:val="0"/>
        </w:rPr>
        <w:t xml:space="preserve">Threat events</w:t>
      </w:r>
    </w:p>
    <w:p w:rsidR="00000000" w:rsidDel="00000000" w:rsidP="00000000" w:rsidRDefault="00000000" w:rsidRPr="00000000" w14:paraId="00000037">
      <w:pPr>
        <w:ind w:left="-360" w:right="-360" w:firstLine="0"/>
        <w:rPr/>
      </w:pPr>
      <w:r w:rsidDel="00000000" w:rsidR="00000000" w:rsidRPr="00000000">
        <w:rPr>
          <w:color w:val="000000"/>
          <w:rtl w:val="0"/>
        </w:rPr>
        <w:t xml:space="preserve">NIST SP 800-30 defines and categorizes </w:t>
      </w:r>
      <w:r w:rsidDel="00000000" w:rsidR="00000000" w:rsidRPr="00000000">
        <w:rPr>
          <w:color w:val="000000"/>
          <w:rtl w:val="0"/>
        </w:rPr>
        <w:t xml:space="preserve">threat events</w:t>
      </w:r>
      <w:r w:rsidDel="00000000" w:rsidR="00000000" w:rsidRPr="00000000">
        <w:rPr>
          <w:color w:val="000000"/>
          <w:rtl w:val="0"/>
        </w:rPr>
        <w:t xml:space="preserve"> as actual instances where a threat source exploits a vulnerability and causes damage or harm to an organization's information systems. This information is useful for gaining insights into the types of risks that assets face. More effective controls and countermeasures can be identified by understanding possible threat events, </w:t>
      </w:r>
      <w:r w:rsidDel="00000000" w:rsidR="00000000" w:rsidRPr="00000000">
        <w:rPr>
          <w:rtl w:val="0"/>
        </w:rPr>
      </w:r>
    </w:p>
    <w:p w:rsidR="00000000" w:rsidDel="00000000" w:rsidP="00000000" w:rsidRDefault="00000000" w:rsidRPr="00000000" w14:paraId="00000038">
      <w:pPr>
        <w:ind w:left="-360" w:right="-360" w:firstLine="0"/>
        <w:rPr>
          <w:color w:val="000000"/>
        </w:rPr>
      </w:pPr>
      <w:r w:rsidDel="00000000" w:rsidR="00000000" w:rsidRPr="00000000">
        <w:rPr>
          <w:b w:val="1"/>
          <w:color w:val="000000"/>
          <w:rtl w:val="0"/>
        </w:rPr>
        <w:t xml:space="preserve">Note:</w:t>
      </w:r>
      <w:r w:rsidDel="00000000" w:rsidR="00000000" w:rsidRPr="00000000">
        <w:rPr>
          <w:color w:val="000000"/>
          <w:rtl w:val="0"/>
        </w:rPr>
        <w:t xml:space="preserve"> The following table lists just a few possible </w:t>
      </w:r>
      <w:r w:rsidDel="00000000" w:rsidR="00000000" w:rsidRPr="00000000">
        <w:rPr>
          <w:i w:val="1"/>
          <w:color w:val="000000"/>
          <w:rtl w:val="0"/>
        </w:rPr>
        <w:t xml:space="preserve">threat events</w:t>
      </w:r>
      <w:r w:rsidDel="00000000" w:rsidR="00000000" w:rsidRPr="00000000">
        <w:rPr>
          <w:color w:val="000000"/>
          <w:rtl w:val="0"/>
        </w:rPr>
        <w:t xml:space="preserve"> that could compromise a publicly accessible database server.</w:t>
      </w:r>
      <w:r w:rsidDel="00000000" w:rsidR="00000000" w:rsidRPr="00000000">
        <w:rPr>
          <w:rtl w:val="0"/>
        </w:rPr>
      </w:r>
    </w:p>
    <w:p w:rsidR="00000000" w:rsidDel="00000000" w:rsidP="00000000" w:rsidRDefault="00000000" w:rsidRPr="00000000" w14:paraId="00000039">
      <w:pPr>
        <w:spacing w:before="0" w:line="360" w:lineRule="auto"/>
        <w:ind w:left="-360" w:right="-360" w:firstLine="0"/>
        <w:rPr>
          <w:color w:val="000000"/>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2.5"/>
        <w:gridCol w:w="5032.5"/>
        <w:tblGridChange w:id="0">
          <w:tblGrid>
            <w:gridCol w:w="5032.5"/>
            <w:gridCol w:w="503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1"/>
              <w:spacing w:before="0" w:line="276" w:lineRule="auto"/>
              <w:ind w:left="0" w:right="-30" w:firstLine="0"/>
              <w:rPr>
                <w:b w:val="1"/>
                <w:color w:val="000000"/>
              </w:rPr>
            </w:pPr>
            <w:r w:rsidDel="00000000" w:rsidR="00000000" w:rsidRPr="00000000">
              <w:rPr>
                <w:b w:val="1"/>
                <w:color w:val="00000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1"/>
              <w:spacing w:before="0" w:line="276" w:lineRule="auto"/>
              <w:ind w:right="-30"/>
              <w:rPr>
                <w:b w:val="1"/>
                <w:color w:val="000000"/>
              </w:rPr>
            </w:pPr>
            <w:r w:rsidDel="00000000" w:rsidR="00000000" w:rsidRPr="00000000">
              <w:rPr>
                <w:b w:val="1"/>
                <w:color w:val="000000"/>
                <w:rtl w:val="0"/>
              </w:rPr>
              <w:t xml:space="preserve">Description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1"/>
              <w:spacing w:before="0" w:line="276" w:lineRule="auto"/>
              <w:ind w:left="0" w:right="-30" w:firstLine="0"/>
              <w:rPr>
                <w:color w:val="000000"/>
              </w:rPr>
            </w:pPr>
            <w:r w:rsidDel="00000000" w:rsidR="00000000" w:rsidRPr="00000000">
              <w:rPr>
                <w:color w:val="000000"/>
                <w:rtl w:val="0"/>
              </w:rPr>
              <w:t xml:space="preserve">Perform reconnaissance and surveillance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1"/>
              <w:spacing w:before="0" w:line="276" w:lineRule="auto"/>
              <w:ind w:right="-30"/>
              <w:rPr>
                <w:color w:val="000000"/>
              </w:rPr>
            </w:pPr>
            <w:r w:rsidDel="00000000" w:rsidR="00000000" w:rsidRPr="00000000">
              <w:rPr>
                <w:color w:val="000000"/>
                <w:rtl w:val="0"/>
              </w:rPr>
              <w:t xml:space="preserve">Threat source examines and assesses the company's vulnerabilities over time using various tools (e.g., scanning, physical observation).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1"/>
              <w:spacing w:before="0" w:line="276" w:lineRule="auto"/>
              <w:ind w:left="0" w:right="-30" w:firstLine="0"/>
              <w:rPr>
                <w:color w:val="000000"/>
              </w:rPr>
            </w:pPr>
            <w:r w:rsidDel="00000000" w:rsidR="00000000" w:rsidRPr="00000000">
              <w:rPr>
                <w:color w:val="000000"/>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1"/>
              <w:spacing w:before="0" w:line="276" w:lineRule="auto"/>
              <w:ind w:right="-30"/>
              <w:rPr>
                <w:color w:val="000000"/>
              </w:rPr>
            </w:pPr>
            <w:r w:rsidDel="00000000" w:rsidR="00000000" w:rsidRPr="00000000">
              <w:rPr>
                <w:color w:val="000000"/>
                <w:rtl w:val="0"/>
              </w:rPr>
              <w:t xml:space="preserve">Threat source installs malicious software on organizational systems to locate and acquire sensitive information.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1"/>
              <w:spacing w:before="0" w:line="276" w:lineRule="auto"/>
              <w:ind w:left="0" w:right="-30" w:firstLine="0"/>
              <w:rPr>
                <w:color w:val="000000"/>
              </w:rPr>
            </w:pPr>
            <w:r w:rsidDel="00000000" w:rsidR="00000000" w:rsidRPr="00000000">
              <w:rPr>
                <w:color w:val="000000"/>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1"/>
              <w:spacing w:before="0" w:line="276" w:lineRule="auto"/>
              <w:ind w:right="-30"/>
              <w:rPr>
                <w:color w:val="000000"/>
              </w:rPr>
            </w:pPr>
            <w:r w:rsidDel="00000000" w:rsidR="00000000" w:rsidRPr="00000000">
              <w:rPr>
                <w:color w:val="000000"/>
                <w:rtl w:val="0"/>
              </w:rPr>
              <w:t xml:space="preserve">Threat source alters or deletes data that is critical to day-to-day business operations.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1"/>
              <w:spacing w:before="0" w:line="276" w:lineRule="auto"/>
              <w:ind w:left="0" w:right="-30" w:firstLine="0"/>
              <w:rPr>
                <w:color w:val="000000"/>
              </w:rPr>
            </w:pPr>
            <w:r w:rsidDel="00000000" w:rsidR="00000000" w:rsidRPr="00000000">
              <w:rPr>
                <w:color w:val="000000"/>
                <w:rtl w:val="0"/>
              </w:rPr>
              <w:t xml:space="preserve">Craft counterfeit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1"/>
              <w:spacing w:before="0" w:line="276" w:lineRule="auto"/>
              <w:ind w:left="0" w:right="-30" w:firstLine="0"/>
              <w:rPr>
                <w:color w:val="000000"/>
              </w:rPr>
            </w:pPr>
            <w:r w:rsidDel="00000000" w:rsidR="00000000" w:rsidRPr="00000000">
              <w:rPr>
                <w:color w:val="000000"/>
                <w:rtl w:val="0"/>
              </w:rPr>
              <w:t xml:space="preserve">Threat source </w:t>
            </w:r>
            <w:r w:rsidDel="00000000" w:rsidR="00000000" w:rsidRPr="00000000">
              <w:rPr>
                <w:color w:val="000000"/>
                <w:rtl w:val="0"/>
              </w:rPr>
              <w:t xml:space="preserve">compromises</w:t>
            </w:r>
            <w:r w:rsidDel="00000000" w:rsidR="00000000" w:rsidRPr="00000000">
              <w:rPr>
                <w:color w:val="000000"/>
                <w:rtl w:val="0"/>
              </w:rPr>
              <w:t xml:space="preserve"> a certificate authority to make their connections appear legitimate.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1"/>
              <w:spacing w:before="0" w:line="276" w:lineRule="auto"/>
              <w:ind w:left="0" w:right="-30" w:firstLine="0"/>
              <w:rPr>
                <w:color w:val="000000"/>
              </w:rPr>
            </w:pPr>
            <w:r w:rsidDel="00000000" w:rsidR="00000000" w:rsidRPr="00000000">
              <w:rPr>
                <w:color w:val="000000"/>
                <w:rtl w:val="0"/>
              </w:rPr>
              <w:t xml:space="preserve">Install persistent and targeted network sniffers on organizational information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1"/>
              <w:spacing w:before="0" w:line="276" w:lineRule="auto"/>
              <w:ind w:left="0" w:right="-30" w:firstLine="0"/>
              <w:rPr>
                <w:color w:val="000000"/>
              </w:rPr>
            </w:pPr>
            <w:r w:rsidDel="00000000" w:rsidR="00000000" w:rsidRPr="00000000">
              <w:rPr>
                <w:color w:val="000000"/>
                <w:rtl w:val="0"/>
              </w:rPr>
              <w:t xml:space="preserve">Threat source installs software designed to collect (sniff) network traffic over a continued </w:t>
            </w:r>
            <w:r w:rsidDel="00000000" w:rsidR="00000000" w:rsidRPr="00000000">
              <w:rPr>
                <w:color w:val="000000"/>
                <w:rtl w:val="0"/>
              </w:rPr>
              <w:t xml:space="preserve">period of time</w:t>
            </w:r>
            <w:r w:rsidDel="00000000" w:rsidR="00000000" w:rsidRPr="00000000">
              <w:rPr>
                <w:color w:val="000000"/>
                <w:rtl w:val="0"/>
              </w:rPr>
              <w:t xml:space="preserv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1"/>
              <w:spacing w:before="0" w:line="276" w:lineRule="auto"/>
              <w:ind w:left="0" w:right="-30" w:firstLine="0"/>
              <w:rPr>
                <w:color w:val="000000"/>
              </w:rPr>
            </w:pPr>
            <w:r w:rsidDel="00000000" w:rsidR="00000000" w:rsidRPr="00000000">
              <w:rPr>
                <w:color w:val="000000"/>
                <w:rtl w:val="0"/>
              </w:rPr>
              <w:t xml:space="preserve">Conduct Denial of Service (DoS)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1"/>
              <w:spacing w:before="0" w:line="276" w:lineRule="auto"/>
              <w:ind w:left="0" w:right="-30" w:firstLine="0"/>
              <w:rPr>
                <w:color w:val="000000"/>
              </w:rPr>
            </w:pPr>
            <w:r w:rsidDel="00000000" w:rsidR="00000000" w:rsidRPr="00000000">
              <w:rPr>
                <w:color w:val="000000"/>
                <w:rtl w:val="0"/>
              </w:rPr>
              <w:t xml:space="preserve">Threat source sends automated, excessive requests to overwhelm the system's operating capabilities.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1"/>
              <w:spacing w:before="0" w:line="276" w:lineRule="auto"/>
              <w:ind w:left="0" w:right="-30" w:firstLine="0"/>
              <w:rPr>
                <w:color w:val="000000"/>
              </w:rPr>
            </w:pPr>
            <w:r w:rsidDel="00000000" w:rsidR="00000000" w:rsidRPr="00000000">
              <w:rPr>
                <w:color w:val="000000"/>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spacing w:before="0" w:line="276" w:lineRule="auto"/>
              <w:ind w:left="0" w:right="-30" w:firstLine="0"/>
              <w:rPr>
                <w:color w:val="000000"/>
              </w:rPr>
            </w:pPr>
            <w:r w:rsidDel="00000000" w:rsidR="00000000" w:rsidRPr="00000000">
              <w:rPr>
                <w:color w:val="000000"/>
                <w:rtl w:val="0"/>
              </w:rPr>
              <w:t xml:space="preserve">Threat source compromises the integrity of information in such a way that prevents the business from carrying out critical operations.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1"/>
              <w:spacing w:before="0" w:line="276" w:lineRule="auto"/>
              <w:ind w:left="0" w:right="-30" w:firstLine="0"/>
              <w:rPr>
                <w:color w:val="000000"/>
              </w:rPr>
            </w:pPr>
            <w:r w:rsidDel="00000000" w:rsidR="00000000" w:rsidRPr="00000000">
              <w:rPr>
                <w:color w:val="000000"/>
                <w:rtl w:val="0"/>
              </w:rPr>
              <w:t xml:space="preserve">Obfuscate future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1"/>
              <w:spacing w:before="0" w:line="276" w:lineRule="auto"/>
              <w:ind w:left="0" w:right="-30" w:firstLine="0"/>
              <w:rPr>
                <w:color w:val="000000"/>
              </w:rPr>
            </w:pPr>
            <w:r w:rsidDel="00000000" w:rsidR="00000000" w:rsidRPr="00000000">
              <w:rPr>
                <w:color w:val="000000"/>
                <w:rtl w:val="0"/>
              </w:rPr>
              <w:t xml:space="preserve">Threat source takes actions to inhibit the effectiveness of the intrusion detection systems or auditing capabilities at the company.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1"/>
              <w:spacing w:before="0" w:line="276" w:lineRule="auto"/>
              <w:ind w:left="0" w:right="-30" w:firstLine="0"/>
              <w:rPr>
                <w:color w:val="000000"/>
              </w:rPr>
            </w:pPr>
            <w:r w:rsidDel="00000000" w:rsidR="00000000" w:rsidRPr="00000000">
              <w:rPr>
                <w:color w:val="000000"/>
                <w:rtl w:val="0"/>
              </w:rPr>
              <w:t xml:space="preserve">Conduct "man-in-the-middle"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1"/>
              <w:spacing w:before="0" w:line="276" w:lineRule="auto"/>
              <w:ind w:left="0" w:right="-30" w:firstLine="0"/>
              <w:rPr>
                <w:color w:val="000000"/>
              </w:rPr>
            </w:pPr>
            <w:r w:rsidDel="00000000" w:rsidR="00000000" w:rsidRPr="00000000">
              <w:rPr>
                <w:color w:val="000000"/>
                <w:rtl w:val="0"/>
              </w:rPr>
              <w:t xml:space="preserve">Threat source eavesdrops on sessions between internal and external systems. Later, they relay messages between organizational and external systems that make them believe they're talking directly to each other over a private connection.</w:t>
            </w:r>
          </w:p>
        </w:tc>
      </w:tr>
    </w:tbl>
    <w:p w:rsidR="00000000" w:rsidDel="00000000" w:rsidP="00000000" w:rsidRDefault="00000000" w:rsidRPr="00000000" w14:paraId="0000004E">
      <w:pPr>
        <w:spacing w:before="0" w:line="360" w:lineRule="auto"/>
        <w:ind w:left="-360" w:right="-360" w:firstLine="0"/>
        <w:rPr/>
      </w:pPr>
      <w:r w:rsidDel="00000000" w:rsidR="00000000" w:rsidRPr="00000000">
        <w:rPr>
          <w:rtl w:val="0"/>
        </w:rPr>
      </w:r>
    </w:p>
    <w:p w:rsidR="00000000" w:rsidDel="00000000" w:rsidP="00000000" w:rsidRDefault="00000000" w:rsidRPr="00000000" w14:paraId="0000004F">
      <w:pPr>
        <w:pStyle w:val="Heading2"/>
        <w:ind w:left="-360" w:right="-360" w:firstLine="0"/>
        <w:rPr>
          <w:color w:val="000000"/>
        </w:rPr>
      </w:pPr>
      <w:bookmarkStart w:colFirst="0" w:colLast="0" w:name="_6x8rkjwa8fzc" w:id="5"/>
      <w:bookmarkEnd w:id="5"/>
      <w:r w:rsidDel="00000000" w:rsidR="00000000" w:rsidRPr="00000000">
        <w:rPr>
          <w:color w:val="000000"/>
          <w:rtl w:val="0"/>
        </w:rPr>
        <w:t xml:space="preserve">Likelihood of a threat event</w:t>
      </w:r>
    </w:p>
    <w:p w:rsidR="00000000" w:rsidDel="00000000" w:rsidP="00000000" w:rsidRDefault="00000000" w:rsidRPr="00000000" w14:paraId="00000050">
      <w:pPr>
        <w:ind w:left="-360" w:right="-360" w:firstLine="0"/>
        <w:rPr/>
      </w:pPr>
      <w:r w:rsidDel="00000000" w:rsidR="00000000" w:rsidRPr="00000000">
        <w:rPr>
          <w:rtl w:val="0"/>
        </w:rPr>
        <w:t xml:space="preserve">In general, the </w:t>
      </w:r>
      <w:r w:rsidDel="00000000" w:rsidR="00000000" w:rsidRPr="00000000">
        <w:rPr>
          <w:i w:val="1"/>
          <w:rtl w:val="0"/>
        </w:rPr>
        <w:t xml:space="preserve">likelihood</w:t>
      </w:r>
      <w:r w:rsidDel="00000000" w:rsidR="00000000" w:rsidRPr="00000000">
        <w:rPr>
          <w:rtl w:val="0"/>
        </w:rPr>
        <w:t xml:space="preserve"> of a threat event should be a score based on a combination of factors. For example, any available evidence that you have, prior experience, and your expert judgment.</w:t>
      </w:r>
    </w:p>
    <w:p w:rsidR="00000000" w:rsidDel="00000000" w:rsidP="00000000" w:rsidRDefault="00000000" w:rsidRPr="00000000" w14:paraId="00000051">
      <w:pPr>
        <w:ind w:left="-360" w:right="-360" w:firstLine="0"/>
        <w:rPr/>
      </w:pPr>
      <w:r w:rsidDel="00000000" w:rsidR="00000000" w:rsidRPr="00000000">
        <w:rPr>
          <w:rtl w:val="0"/>
        </w:rPr>
        <w:t xml:space="preserve">Consider the intent/capabilities of a threat source and potential threat events when producing a likelihood score.</w:t>
      </w:r>
    </w:p>
    <w:p w:rsidR="00000000" w:rsidDel="00000000" w:rsidP="00000000" w:rsidRDefault="00000000" w:rsidRPr="00000000" w14:paraId="00000052">
      <w:pPr>
        <w:ind w:left="-360" w:right="-360" w:firstLine="0"/>
        <w:rPr/>
      </w:pPr>
      <w:r w:rsidDel="00000000" w:rsidR="00000000" w:rsidRPr="00000000">
        <w:rPr>
          <w:rtl w:val="0"/>
        </w:rPr>
      </w:r>
    </w:p>
    <w:tbl>
      <w:tblPr>
        <w:tblStyle w:val="Table3"/>
        <w:tblW w:w="88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95"/>
        <w:gridCol w:w="5280"/>
        <w:tblGridChange w:id="0">
          <w:tblGrid>
            <w:gridCol w:w="1920"/>
            <w:gridCol w:w="1695"/>
            <w:gridCol w:w="52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ind w:left="0" w:right="-90" w:firstLine="0"/>
              <w:rPr>
                <w:b w:val="1"/>
              </w:rPr>
            </w:pPr>
            <w:r w:rsidDel="00000000" w:rsidR="00000000" w:rsidRPr="00000000">
              <w:rPr>
                <w:b w:val="1"/>
                <w:rtl w:val="0"/>
              </w:rPr>
              <w:t xml:space="preserve">Qualitative values</w:t>
            </w:r>
          </w:p>
        </w:tc>
        <w:tc>
          <w:tcPr/>
          <w:p w:rsidR="00000000" w:rsidDel="00000000" w:rsidP="00000000" w:rsidRDefault="00000000" w:rsidRPr="00000000" w14:paraId="00000054">
            <w:pPr>
              <w:widowControl w:val="0"/>
              <w:spacing w:before="0" w:line="240" w:lineRule="auto"/>
              <w:ind w:right="-120"/>
              <w:rPr>
                <w:b w:val="1"/>
              </w:rPr>
            </w:pPr>
            <w:r w:rsidDel="00000000" w:rsidR="00000000" w:rsidRPr="00000000">
              <w:rPr>
                <w:b w:val="1"/>
                <w:rtl w:val="0"/>
              </w:rPr>
              <w:t xml:space="preserve">Q</w:t>
            </w:r>
            <w:r w:rsidDel="00000000" w:rsidR="00000000" w:rsidRPr="00000000">
              <w:rPr>
                <w:b w:val="1"/>
                <w:rtl w:val="0"/>
              </w:rPr>
              <w:t xml:space="preserve">uantitative</w:t>
            </w:r>
            <w:r w:rsidDel="00000000" w:rsidR="00000000" w:rsidRPr="00000000">
              <w:rPr>
                <w:b w:val="1"/>
                <w:rtl w:val="0"/>
              </w:rPr>
              <w:t xml:space="preser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ind w:left="0" w:right="-30" w:firstLine="0"/>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ind w:left="0" w:right="-9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ind w:left="0" w:right="-12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ind w:left="0" w:right="-30" w:firstLine="0"/>
              <w:rPr/>
            </w:pPr>
            <w:r w:rsidDel="00000000" w:rsidR="00000000" w:rsidRPr="00000000">
              <w:rPr>
                <w:rtl w:val="0"/>
              </w:rPr>
              <w:t xml:space="preserve">Threat source is almost certain to initiate a security event. An event could have multiple, severe, or catastrophic effects on business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ind w:left="0" w:right="-90" w:firstLine="0"/>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ind w:left="0" w:right="-12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ind w:left="0" w:right="-30" w:firstLine="0"/>
              <w:rPr/>
            </w:pPr>
            <w:r w:rsidDel="00000000" w:rsidR="00000000" w:rsidRPr="00000000">
              <w:rPr>
                <w:rtl w:val="0"/>
              </w:rPr>
              <w:t xml:space="preserve">Threat source is somewhat likely to initiate a security event. An event could significantly reduce the functionality of organizational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0" w:line="240" w:lineRule="auto"/>
              <w:ind w:left="0" w:right="-9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240" w:lineRule="auto"/>
              <w:ind w:left="0" w:right="-12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ind w:left="0" w:right="-30" w:firstLine="0"/>
              <w:rPr/>
            </w:pPr>
            <w:r w:rsidDel="00000000" w:rsidR="00000000" w:rsidRPr="00000000">
              <w:rPr>
                <w:rtl w:val="0"/>
              </w:rPr>
              <w:t xml:space="preserve">Threat source is highly unlikely to initiate a security event. An event could have minor, negligible effects on business operations and assets.</w:t>
            </w:r>
          </w:p>
        </w:tc>
      </w:tr>
    </w:tbl>
    <w:p w:rsidR="00000000" w:rsidDel="00000000" w:rsidP="00000000" w:rsidRDefault="00000000" w:rsidRPr="00000000" w14:paraId="0000005F">
      <w:pPr>
        <w:ind w:left="-360" w:right="-360" w:firstLine="0"/>
        <w:rPr/>
      </w:pPr>
      <w:r w:rsidDel="00000000" w:rsidR="00000000" w:rsidRPr="00000000">
        <w:rPr>
          <w:rtl w:val="0"/>
        </w:rPr>
      </w:r>
    </w:p>
    <w:p w:rsidR="00000000" w:rsidDel="00000000" w:rsidP="00000000" w:rsidRDefault="00000000" w:rsidRPr="00000000" w14:paraId="00000060">
      <w:pPr>
        <w:pStyle w:val="Heading2"/>
        <w:ind w:left="-360" w:right="-360" w:firstLine="0"/>
        <w:rPr>
          <w:color w:val="000000"/>
        </w:rPr>
      </w:pPr>
      <w:bookmarkStart w:colFirst="0" w:colLast="0" w:name="_tqo5kvd9svw4" w:id="6"/>
      <w:bookmarkEnd w:id="6"/>
      <w:r w:rsidDel="00000000" w:rsidR="00000000" w:rsidRPr="00000000">
        <w:rPr>
          <w:color w:val="000000"/>
          <w:rtl w:val="0"/>
        </w:rPr>
        <w:t xml:space="preserve">Severity of a threat event</w:t>
      </w:r>
    </w:p>
    <w:p w:rsidR="00000000" w:rsidDel="00000000" w:rsidP="00000000" w:rsidRDefault="00000000" w:rsidRPr="00000000" w14:paraId="00000061">
      <w:pPr>
        <w:ind w:left="-360" w:right="-360" w:firstLine="0"/>
        <w:rPr/>
      </w:pPr>
      <w:r w:rsidDel="00000000" w:rsidR="00000000" w:rsidRPr="00000000">
        <w:rPr>
          <w:rtl w:val="0"/>
        </w:rPr>
        <w:t xml:space="preserve">In general, the </w:t>
      </w:r>
      <w:r w:rsidDel="00000000" w:rsidR="00000000" w:rsidRPr="00000000">
        <w:rPr>
          <w:i w:val="1"/>
          <w:rtl w:val="0"/>
        </w:rPr>
        <w:t xml:space="preserve">severity</w:t>
      </w:r>
      <w:r w:rsidDel="00000000" w:rsidR="00000000" w:rsidRPr="00000000">
        <w:rPr>
          <w:rtl w:val="0"/>
        </w:rPr>
        <w:t xml:space="preserve"> of a threat event is a measure of its potential impact to business operations. For example, would the event cause a business function to stop entirely? Might it temporarily disrupt a business process and go unnoticed?  </w:t>
      </w:r>
    </w:p>
    <w:p w:rsidR="00000000" w:rsidDel="00000000" w:rsidP="00000000" w:rsidRDefault="00000000" w:rsidRPr="00000000" w14:paraId="00000062">
      <w:pPr>
        <w:ind w:left="-360" w:right="-360" w:firstLine="0"/>
        <w:rPr/>
      </w:pPr>
      <w:r w:rsidDel="00000000" w:rsidR="00000000" w:rsidRPr="00000000">
        <w:rPr>
          <w:rtl w:val="0"/>
        </w:rPr>
        <w:t xml:space="preserve">Consider the business impact of </w:t>
      </w:r>
      <w:r w:rsidDel="00000000" w:rsidR="00000000" w:rsidRPr="00000000">
        <w:rPr>
          <w:i w:val="1"/>
          <w:rtl w:val="0"/>
        </w:rPr>
        <w:t xml:space="preserve">threat events</w:t>
      </w:r>
      <w:r w:rsidDel="00000000" w:rsidR="00000000" w:rsidRPr="00000000">
        <w:rPr>
          <w:rtl w:val="0"/>
        </w:rPr>
        <w:t xml:space="preserve"> when producing a severity score.</w:t>
      </w:r>
      <w:r w:rsidDel="00000000" w:rsidR="00000000" w:rsidRPr="00000000">
        <w:rPr>
          <w:rtl w:val="0"/>
        </w:rPr>
      </w:r>
    </w:p>
    <w:p w:rsidR="00000000" w:rsidDel="00000000" w:rsidP="00000000" w:rsidRDefault="00000000" w:rsidRPr="00000000" w14:paraId="00000063">
      <w:pPr>
        <w:ind w:left="-360" w:right="-360" w:firstLine="0"/>
        <w:rPr/>
      </w:pPr>
      <w:r w:rsidDel="00000000" w:rsidR="00000000" w:rsidRPr="00000000">
        <w:rPr>
          <w:rtl w:val="0"/>
        </w:rPr>
      </w:r>
    </w:p>
    <w:tbl>
      <w:tblPr>
        <w:tblStyle w:val="Table4"/>
        <w:tblW w:w="891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95"/>
        <w:gridCol w:w="5295"/>
        <w:tblGridChange w:id="0">
          <w:tblGrid>
            <w:gridCol w:w="1920"/>
            <w:gridCol w:w="1695"/>
            <w:gridCol w:w="529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240" w:lineRule="auto"/>
              <w:ind w:left="0" w:right="-90" w:firstLine="0"/>
              <w:rPr>
                <w:b w:val="1"/>
              </w:rPr>
            </w:pPr>
            <w:r w:rsidDel="00000000" w:rsidR="00000000" w:rsidRPr="00000000">
              <w:rPr>
                <w:b w:val="1"/>
                <w:rtl w:val="0"/>
              </w:rPr>
              <w:t xml:space="preserve">Qualitative values</w:t>
            </w:r>
          </w:p>
        </w:tc>
        <w:tc>
          <w:tcPr/>
          <w:p w:rsidR="00000000" w:rsidDel="00000000" w:rsidP="00000000" w:rsidRDefault="00000000" w:rsidRPr="00000000" w14:paraId="00000065">
            <w:pPr>
              <w:widowControl w:val="0"/>
              <w:spacing w:before="0" w:line="240" w:lineRule="auto"/>
              <w:ind w:right="-120"/>
              <w:rPr>
                <w:b w:val="1"/>
              </w:rPr>
            </w:pPr>
            <w:r w:rsidDel="00000000" w:rsidR="00000000" w:rsidRPr="00000000">
              <w:rPr>
                <w:b w:val="1"/>
                <w:rtl w:val="0"/>
              </w:rPr>
              <w:t xml:space="preserve">Quantitative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0" w:line="240" w:lineRule="auto"/>
              <w:ind w:left="0" w:right="-105" w:firstLine="0"/>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before="0" w:line="240" w:lineRule="auto"/>
              <w:ind w:left="0" w:right="-9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0" w:line="240" w:lineRule="auto"/>
              <w:ind w:left="0" w:right="-12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before="0" w:line="240" w:lineRule="auto"/>
              <w:ind w:left="0" w:right="-105" w:firstLine="0"/>
              <w:rPr/>
            </w:pPr>
            <w:r w:rsidDel="00000000" w:rsidR="00000000" w:rsidRPr="00000000">
              <w:rPr>
                <w:rtl w:val="0"/>
              </w:rPr>
              <w:t xml:space="preserve">Threat source is almost certain to initiate a security event. An event could have multiple, severe, or catastrophic effects on business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0" w:line="240" w:lineRule="auto"/>
              <w:ind w:left="0" w:right="-90" w:firstLine="0"/>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0" w:line="240" w:lineRule="auto"/>
              <w:ind w:left="0" w:right="-12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0" w:line="240" w:lineRule="auto"/>
              <w:ind w:left="0" w:right="-105" w:firstLine="0"/>
              <w:rPr/>
            </w:pPr>
            <w:r w:rsidDel="00000000" w:rsidR="00000000" w:rsidRPr="00000000">
              <w:rPr>
                <w:rtl w:val="0"/>
              </w:rPr>
              <w:t xml:space="preserve">Threat source is somewhat likely to initiate a security event. An event could significantly reduce the functionality of organizational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240" w:lineRule="auto"/>
              <w:ind w:left="0" w:right="-9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0" w:line="240" w:lineRule="auto"/>
              <w:ind w:left="0" w:right="-12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ind w:left="0" w:right="-105" w:firstLine="0"/>
              <w:rPr/>
            </w:pPr>
            <w:r w:rsidDel="00000000" w:rsidR="00000000" w:rsidRPr="00000000">
              <w:rPr>
                <w:rtl w:val="0"/>
              </w:rPr>
              <w:t xml:space="preserve">Threat source is highly unlikely to initiate a security event. An event could have minor, negligible effects on business operations and assets.</w:t>
            </w:r>
          </w:p>
        </w:tc>
      </w:tr>
    </w:tbl>
    <w:p w:rsidR="00000000" w:rsidDel="00000000" w:rsidP="00000000" w:rsidRDefault="00000000" w:rsidRPr="00000000" w14:paraId="00000070">
      <w:pPr>
        <w:ind w:left="-360" w:right="-360" w:firstLine="0"/>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csrc.nist.gov/publications/detail/sp/800-30/rev-1/final"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