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color w:val="0000ff"/>
        </w:rPr>
      </w:pPr>
      <w:r w:rsidDel="00000000" w:rsidR="00000000" w:rsidRPr="00000000">
        <w:rPr>
          <w:b w:val="1"/>
          <w:rtl w:val="0"/>
        </w:rPr>
        <w:t xml:space="preserve">DEFINICIÓN PROBLEMA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tl w:val="0"/>
        </w:rPr>
        <w:t xml:space="preserve">.</w:t>
      </w:r>
      <w:r w:rsidDel="00000000" w:rsidR="00000000" w:rsidRPr="00000000">
        <w:rPr>
          <w:rtl w:val="0"/>
        </w:rPr>
        <w:t xml:space="preserve">Problema: La fácil adquisición de las drogas en Medellín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t xml:space="preserve">La marihuana es de fácil accesibilidad, 1 de cada 2 colombianos afirma esto. </w:t>
      </w:r>
      <w:r w:rsidDel="00000000" w:rsidR="00000000" w:rsidRPr="00000000">
        <w:rPr>
          <w:highlight w:val="white"/>
          <w:rtl w:val="0"/>
        </w:rPr>
        <w:t xml:space="preserve">Los sitios más comunes para acceder a las drogas son la calle con un 42 por ciento, casas de expendio y las plazas de mercado</w:t>
      </w:r>
      <w:r w:rsidDel="00000000" w:rsidR="00000000" w:rsidRPr="00000000">
        <w:rPr>
          <w:rtl w:val="0"/>
        </w:rPr>
        <w:t xml:space="preserve">. Cargar una dosis personal de 20 gramos en Colombia es legal, por ende hay cierta libertad para la adquisición. </w:t>
      </w:r>
      <w:r w:rsidDel="00000000" w:rsidR="00000000" w:rsidRPr="00000000">
        <w:rPr>
          <w:highlight w:val="white"/>
          <w:rtl w:val="0"/>
        </w:rPr>
        <w:t xml:space="preserve">El mayor consumo se observa en los jóvenes de Medellín es de 18 a 24 años. Desde lo social hay pérdida de potencial humano, tanto familiar como comunitario. </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Pregunta: ¿Cómo reducir el fácil acceso a la marihuana por parte de los jóvenes universitarios de 17 a 24 años de la ciudad de Medellín?</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Público objetivo:</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Jóvenes de 17 a 24 años de edad que aún viven con sus padres en Medellín que estén estudiando en universidad. No tiene ingresos y por eso aún lo mantienen sus padres. Que estén solteros. Estrato medio-alto. Gente que frecuente el lleras, ciudad del río, la villa. Personas que estén estudiando Ingeniería o humanidades.</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Información:</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highlight w:val="white"/>
          <w:rtl w:val="0"/>
        </w:rPr>
        <w:t xml:space="preserve">Uno de cada dos colombianos cree que es fácil conseguir marihuana</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93939"/>
          <w:sz w:val="21"/>
          <w:szCs w:val="21"/>
          <w:highlight w:val="white"/>
          <w:rtl w:val="0"/>
        </w:rPr>
        <w:t xml:space="preserve">En Antioquia, establece el Observatorio de Drogas, hay 115.976 consumidores de marihuana, lo que representa, según reportan, un estimado del 4,17 % de la población.</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El 46% de los jóvenes respondió que alguna ve</w:t>
      </w:r>
      <w:r w:rsidDel="00000000" w:rsidR="00000000" w:rsidRPr="00000000">
        <w:rPr>
          <w:color w:val="333333"/>
          <w:highlight w:val="white"/>
          <w:rtl w:val="0"/>
        </w:rPr>
        <w:t xml:space="preserve">z se emborrachó. En tanto, el</w:t>
      </w:r>
      <w:r w:rsidDel="00000000" w:rsidR="00000000" w:rsidRPr="00000000">
        <w:rPr>
          <w:color w:val="333333"/>
          <w:highlight w:val="white"/>
          <w:rtl w:val="0"/>
        </w:rPr>
        <w:t xml:space="preserve"> 10% reconoció que fuma todos los días.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Comparativamente, en 2011, </w:t>
      </w:r>
      <w:r w:rsidDel="00000000" w:rsidR="00000000" w:rsidRPr="00000000">
        <w:rPr>
          <w:color w:val="333333"/>
          <w:highlight w:val="white"/>
          <w:rtl w:val="0"/>
        </w:rPr>
        <w:t xml:space="preserve">el 52% aseguró que era muy fácil conseguir marihuana; </w:t>
      </w:r>
      <w:r w:rsidDel="00000000" w:rsidR="00000000" w:rsidRPr="00000000">
        <w:rPr>
          <w:color w:val="333333"/>
          <w:highlight w:val="white"/>
          <w:rtl w:val="0"/>
        </w:rPr>
        <w:t xml:space="preserve">el 28% consideró muy accesible comprar cocaína; el 26% creía sencillo obtener paco, y el 22%, éxtasis.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una persona puede portar legalmente como su dosis personal: 20 gramos de marihuana</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379.600 jóvenes de Antioquia, </w:t>
      </w:r>
      <w:r w:rsidDel="00000000" w:rsidR="00000000" w:rsidRPr="00000000">
        <w:rPr>
          <w:color w:val="333333"/>
          <w:highlight w:val="white"/>
          <w:rtl w:val="0"/>
        </w:rPr>
        <w:t xml:space="preserve">el 13 por ciento de esta población, habría comenzado el consumo de cannabinoides (marihuana y derivados) entre los 12 y los 15 años, </w:t>
      </w:r>
      <w:r w:rsidDel="00000000" w:rsidR="00000000" w:rsidRPr="00000000">
        <w:rPr>
          <w:color w:val="333333"/>
          <w:highlight w:val="white"/>
          <w:rtl w:val="0"/>
        </w:rPr>
        <w:t xml:space="preserve">según un informe de la Empresa Social del Estado Carisma, entidad especializada en servicios de salud mental.</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Los jóvenes aseguraron que los lugares más frecuentes de consumo de estas sustancias son las fiestas, bares y cantinas. Alucinógenos como el bazuco o la heroína son consumidos en otros espacios, como casas, parques y canchas de barrios de la ciudad.</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La investigación señala además que los sitios más comunes para acceder a las drogas son la calle, con un 42 por ciento; casas de expendio, con un 32 por ciento, y las plazas de mercado, con un 4 por ciento.</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Los efectos son evidentes: pérdida de capital humano y ruptura del tejido social, tanto familiar como comunitario. Los adictos se van volviendo disfuncionales y, con el consumo, se rompe cualquier participación en los procesos de cooperación social que necesita toda ciudad y todo país del mundo.</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hyperlink r:id="rId5">
        <w:r w:rsidDel="00000000" w:rsidR="00000000" w:rsidRPr="00000000">
          <w:rPr>
            <w:color w:val="1155cc"/>
            <w:highlight w:val="white"/>
            <w:u w:val="single"/>
            <w:rtl w:val="0"/>
          </w:rPr>
          <w:t xml:space="preserve">http://www.eltribuno.info/salta/nota/2013-11-18-8-44-0-conseguir-droga-es-muy-facil-segun-7-de-cada-10-adolescentes</w:t>
        </w:r>
      </w:hyperlink>
      <w:r w:rsidDel="00000000" w:rsidR="00000000" w:rsidRPr="00000000">
        <w:rPr>
          <w:rtl w:val="0"/>
        </w:rPr>
      </w:r>
    </w:p>
    <w:p w:rsidR="00000000" w:rsidDel="00000000" w:rsidP="00000000" w:rsidRDefault="00000000" w:rsidRPr="00000000">
      <w:pPr>
        <w:contextualSpacing w:val="0"/>
        <w:rPr>
          <w:color w:val="333333"/>
          <w:highlight w:val="white"/>
        </w:rPr>
      </w:pPr>
      <w:hyperlink r:id="rId6">
        <w:r w:rsidDel="00000000" w:rsidR="00000000" w:rsidRPr="00000000">
          <w:rPr>
            <w:color w:val="1155cc"/>
            <w:highlight w:val="white"/>
            <w:u w:val="single"/>
            <w:rtl w:val="0"/>
          </w:rPr>
          <w:t xml:space="preserve">http://www.elcolombiano.com/antioquia/seguridad/medellin-tiene-227-mil-adictos-a-drogas-AE3969736</w:t>
        </w:r>
      </w:hyperlink>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50248" cy="4262438"/>
            <wp:effectExtent b="0" l="0" r="0" t="0"/>
            <wp:docPr id="4" name="image8.png"/>
            <a:graphic>
              <a:graphicData uri="http://schemas.openxmlformats.org/drawingml/2006/picture">
                <pic:pic>
                  <pic:nvPicPr>
                    <pic:cNvPr id="0" name="image8.png"/>
                    <pic:cNvPicPr preferRelativeResize="0"/>
                  </pic:nvPicPr>
                  <pic:blipFill>
                    <a:blip r:embed="rId7"/>
                    <a:srcRect b="9686" l="25801" r="27243" t="30484"/>
                    <a:stretch>
                      <a:fillRect/>
                    </a:stretch>
                  </pic:blipFill>
                  <pic:spPr>
                    <a:xfrm>
                      <a:off x="0" y="0"/>
                      <a:ext cx="5950248" cy="4262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40332" cy="3529013"/>
            <wp:effectExtent b="0" l="0" r="0" t="0"/>
            <wp:docPr id="3" name="image6.png"/>
            <a:graphic>
              <a:graphicData uri="http://schemas.openxmlformats.org/drawingml/2006/picture">
                <pic:pic>
                  <pic:nvPicPr>
                    <pic:cNvPr id="0" name="image6.png"/>
                    <pic:cNvPicPr preferRelativeResize="0"/>
                  </pic:nvPicPr>
                  <pic:blipFill>
                    <a:blip r:embed="rId8"/>
                    <a:srcRect b="35042" l="26282" r="27724" t="16524"/>
                    <a:stretch>
                      <a:fillRect/>
                    </a:stretch>
                  </pic:blipFill>
                  <pic:spPr>
                    <a:xfrm>
                      <a:off x="0" y="0"/>
                      <a:ext cx="5940332" cy="3529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-Entre los grupos de edad, el mayor consumo de marihuana se observa en los jóvenes de </w:t>
        <w:br w:type="textWrapping"/>
        <w:t xml:space="preserve">18 a 24 años, con un 8.2% de prevalencia, seguido por los grupos de adolescentes (4.3%) </w:t>
        <w:br w:type="textWrapping"/>
        <w:t xml:space="preserve">y  jóvenes  de  25  a  34  años  (3.8%). Aproximadamente  el  62%  de  los  consumidores  de  </w:t>
        <w:br w:type="textWrapping"/>
        <w:t xml:space="preserve">marihuana son personas que tienen entre 12 a 24 años y casi el 87% de los consumidores </w:t>
        <w:br w:type="textWrapping"/>
        <w:t xml:space="preserve">tienen menos de 34 años.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-Las áreas con menor densidad de población muestran prevalencias más bajas de consumo de marihuana, mientras  que  las  mayores  prevalencias  se  encuentran  en  Medellín, Quindío, Risaralda, el resto de Antioquia y Meta, todos con cifras superiores al 5%.</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-El  50%  de  la  población  del  país  considera  que  es  fácil  conseguir marihuana y esta  </w:t>
        <w:br w:type="textWrapping"/>
        <w:t xml:space="preserve">percepción es mayor entre los varones. El 9% de la población recibió oferta de marihuana </w:t>
        <w:br w:type="textWrapping"/>
        <w:t xml:space="preserve">en  el  último  año,  siendo  los  varones  quienes  en  mayor  proporción  estuvieron  en  </w:t>
        <w:br w:type="textWrapping"/>
        <w:t xml:space="preserve">situaciones  de  oferta  (el  13%  versus  el  5%  de  las  mujeres).  Un  3.6%  recibió  oferta  en  </w:t>
        <w:br w:type="textWrapping"/>
        <w:t xml:space="preserve">los  últimos  30  días,  con  diferencias  según  sexo.  En  términos  de  edad,  los  grupos  que  </w:t>
        <w:br w:type="textWrapping"/>
        <w:t xml:space="preserve">en  mayor  medida  perciben  que  es  fácil  conseguir marihuana son  los  comprendidos  </w:t>
        <w:br w:type="textWrapping"/>
        <w:t xml:space="preserve">entre los 18 a los 34 años, alrededor del 60% de ellos. Pero son los jóvenes de 18 a 24 </w:t>
        <w:br w:type="textWrapping"/>
        <w:t xml:space="preserve">años quienes reportan en mayor proporción haber recibido ofertas de marihuana en los </w:t>
        <w:br w:type="textWrapping"/>
        <w:t xml:space="preserve">últimos 30 días (8.7%) y también en los últimos doce meses (20%). Los adolescentes son el segundo grupo que ha recibido ofertas de marihuana, el 5.7% en los últimos 30 días y el 18% recibió ofertas de esta sustancia en los últimos doce meses.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hyperlink r:id="rId9">
        <w:r w:rsidDel="00000000" w:rsidR="00000000" w:rsidRPr="00000000">
          <w:rPr>
            <w:color w:val="1155cc"/>
            <w:highlight w:val="white"/>
            <w:u w:val="single"/>
            <w:rtl w:val="0"/>
          </w:rPr>
          <w:t xml:space="preserve">https://www.unodc.org/documents/colombia/2014/Julio/Estudio_de_Consumo_UNODC.pdf</w:t>
        </w:r>
      </w:hyperlink>
      <w:r w:rsidDel="00000000" w:rsidR="00000000" w:rsidRPr="00000000">
        <w:rPr>
          <w:color w:val="333333"/>
          <w:highlight w:val="white"/>
          <w:rtl w:val="0"/>
        </w:rPr>
        <w:t xml:space="preserve">  2013</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En Medellín, con un millón 734 mil habitantes, el hecho de estar tan cerca del mercadeo internacional de sustancias como la cocaína, aumentó la oferta interna. Según las consideraciones del proyecto Vespa, esto, unido a factores biológicos, sicológicos y sociales, pudo llevar a un gran sector de la población al uso o abuso de estas sustancias.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Hay cierta evidencia de estudios científicos, que indica que el riesgo de que una persona sufra de un ataque al corazón durante la primera hora después de haber fumado marihuana es casi 5 veces más alto que el riesgo usual.</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hyperlink r:id="rId10">
        <w:r w:rsidDel="00000000" w:rsidR="00000000" w:rsidRPr="00000000">
          <w:rPr>
            <w:color w:val="1155cc"/>
            <w:highlight w:val="white"/>
            <w:u w:val="single"/>
            <w:rtl w:val="0"/>
          </w:rPr>
          <w:t xml:space="preserve">https://www.drugabuse.gov/es/publicaciones/serie-de-reportes/la-marihuana/cuales-son-los-efectos-de-la-marihuana-en-la-salud-fisica-en-general</w:t>
        </w:r>
      </w:hyperlink>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http://www.odc.gov.co/Portals/1/modPublicaciones/pdf/CO03951213-suispa-consumo-drogas-antioquia-preliminar.pdf</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943600" cy="3467100"/>
            <wp:effectExtent b="0" l="0" r="0" t="0"/>
            <wp:docPr descr="Captura.PNG" id="1" name="image3.png"/>
            <a:graphic>
              <a:graphicData uri="http://schemas.openxmlformats.org/drawingml/2006/picture">
                <pic:pic>
                  <pic:nvPicPr>
                    <pic:cNvPr descr="Captura.PNG" id="0" name="image3.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Pr>
        <w:drawing>
          <wp:inline distB="114300" distT="114300" distL="114300" distR="114300">
            <wp:extent cx="5686425" cy="7096125"/>
            <wp:effectExtent b="0" l="0" r="0" t="0"/>
            <wp:docPr descr="Captura2.PNG" id="2" name="image4.png"/>
            <a:graphic>
              <a:graphicData uri="http://schemas.openxmlformats.org/drawingml/2006/picture">
                <pic:pic>
                  <pic:nvPicPr>
                    <pic:cNvPr descr="Captura2.PNG" id="0" name="image4.png"/>
                    <pic:cNvPicPr preferRelativeResize="0"/>
                  </pic:nvPicPr>
                  <pic:blipFill>
                    <a:blip r:embed="rId12"/>
                    <a:srcRect b="0" l="0" r="0" t="0"/>
                    <a:stretch>
                      <a:fillRect/>
                    </a:stretch>
                  </pic:blipFill>
                  <pic:spPr>
                    <a:xfrm>
                      <a:off x="0" y="0"/>
                      <a:ext cx="5686425" cy="70961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3.png"/><Relationship Id="rId10" Type="http://schemas.openxmlformats.org/officeDocument/2006/relationships/hyperlink" Target="https://www.drugabuse.gov/es/publicaciones/serie-de-reportes/la-marihuana/cuales-son-los-efectos-de-la-marihuana-en-la-salud-fisica-en-general" TargetMode="External"/><Relationship Id="rId12" Type="http://schemas.openxmlformats.org/officeDocument/2006/relationships/image" Target="media/image4.png"/><Relationship Id="rId9" Type="http://schemas.openxmlformats.org/officeDocument/2006/relationships/hyperlink" Target="https://www.unodc.org/documents/colombia/2014/Julio/Estudio_de_Consumo_UNODC.pdf" TargetMode="External"/><Relationship Id="rId5" Type="http://schemas.openxmlformats.org/officeDocument/2006/relationships/hyperlink" Target="http://www.eltribuno.info/salta/nota/2013-11-18-8-44-0-conseguir-droga-es-muy-facil-segun-7-de-cada-10-adolescentes" TargetMode="External"/><Relationship Id="rId6" Type="http://schemas.openxmlformats.org/officeDocument/2006/relationships/hyperlink" Target="http://www.elcolombiano.com/antioquia/seguridad/medellin-tiene-227-mil-adictos-a-drogas-AE3969736" TargetMode="External"/><Relationship Id="rId7" Type="http://schemas.openxmlformats.org/officeDocument/2006/relationships/image" Target="media/image8.png"/><Relationship Id="rId8" Type="http://schemas.openxmlformats.org/officeDocument/2006/relationships/image" Target="media/image6.png"/></Relationships>
</file>