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3020" w14:textId="53D047E6" w:rsidR="00995023" w:rsidRPr="00995023" w:rsidRDefault="00995023" w:rsidP="00A71588">
      <w:pPr>
        <w:spacing w:after="360" w:line="480" w:lineRule="auto"/>
        <w:jc w:val="center"/>
        <w:rPr>
          <w:b/>
          <w:bCs/>
        </w:rPr>
      </w:pPr>
      <w:r>
        <w:rPr>
          <w:b/>
          <w:bCs/>
        </w:rPr>
        <w:t xml:space="preserve">Appendix </w:t>
      </w:r>
      <w:r w:rsidR="00BF7EA7">
        <w:rPr>
          <w:b/>
          <w:bCs/>
        </w:rPr>
        <w:t>B</w:t>
      </w:r>
    </w:p>
    <w:p w14:paraId="1E2B2174" w14:textId="4A8AAC96" w:rsidR="00995023" w:rsidRDefault="00995023" w:rsidP="00A71588">
      <w:pPr>
        <w:pStyle w:val="ListParagraph"/>
        <w:tabs>
          <w:tab w:val="left" w:pos="567"/>
        </w:tabs>
        <w:spacing w:after="120" w:line="480" w:lineRule="auto"/>
        <w:ind w:left="0"/>
        <w:contextualSpacing w:val="0"/>
        <w:rPr>
          <w:rFonts w:eastAsiaTheme="minorEastAsia"/>
        </w:rPr>
      </w:pPr>
      <w:r>
        <w:t xml:space="preserve">This </w:t>
      </w:r>
      <w:r w:rsidR="00DF6D08">
        <w:t>A</w:t>
      </w:r>
      <w:r>
        <w:t xml:space="preserve">ppendix </w:t>
      </w:r>
      <w:r w:rsidR="003F3873">
        <w:t>encloses</w:t>
      </w:r>
      <w:r>
        <w:t xml:space="preserve"> the</w:t>
      </w:r>
      <w:r w:rsidR="003F3873">
        <w:t xml:space="preserve"> description of t</w:t>
      </w:r>
      <w:r>
        <w:t>he plant available water (PAW) or total available water (TAW)</w:t>
      </w:r>
      <w:r w:rsidR="003F3873">
        <w:t xml:space="preserve">, which represents </w:t>
      </w:r>
      <w:r>
        <w:t>the maximum amount of water storage in the root zone that a plant can extract (</w:t>
      </w:r>
      <w:r>
        <w:fldChar w:fldCharType="begin"/>
      </w:r>
      <w:r>
        <w:instrText xml:space="preserve"> REF _Ref102662346 \h  \* MERGEFORMAT </w:instrText>
      </w:r>
      <w:r>
        <w:fldChar w:fldCharType="separate"/>
      </w:r>
      <w:r w:rsidR="00E154AE" w:rsidRPr="00E154AE">
        <w:t>Figure A1</w:t>
      </w:r>
      <w:r>
        <w:fldChar w:fldCharType="end"/>
      </w:r>
      <w:r>
        <w:t xml:space="preserve">). This parameter depends mainly </w:t>
      </w:r>
      <w:r>
        <w:rPr>
          <w:rFonts w:eastAsiaTheme="minorEastAsia"/>
        </w:rPr>
        <w:t xml:space="preserve">on three inflow parameters (e.g., Irrigation - </w:t>
      </w:r>
      <m:oMath>
        <m:r>
          <w:rPr>
            <w:rFonts w:ascii="Cambria Math" w:eastAsiaTheme="minorEastAsia" w:hAnsi="Cambria Math"/>
          </w:rPr>
          <m:t>I</m:t>
        </m:r>
      </m:oMath>
      <w:r>
        <w:rPr>
          <w:rFonts w:eastAsiaTheme="minorEastAsia"/>
        </w:rPr>
        <w:t xml:space="preserve">, Precipitation - </w:t>
      </w:r>
      <m:oMath>
        <m:r>
          <w:rPr>
            <w:rFonts w:ascii="Cambria Math" w:eastAsiaTheme="minorEastAsia" w:hAnsi="Cambria Math"/>
          </w:rPr>
          <m:t>P</m:t>
        </m:r>
      </m:oMath>
      <w:r>
        <w:rPr>
          <w:rFonts w:eastAsiaTheme="minorEastAsia"/>
        </w:rPr>
        <w:t xml:space="preserve">, Capillary rise - </w:t>
      </w:r>
      <m:oMath>
        <m:r>
          <w:rPr>
            <w:rFonts w:ascii="Cambria Math" w:eastAsiaTheme="minorEastAsia" w:hAnsi="Cambria Math"/>
          </w:rPr>
          <m:t>CR</m:t>
        </m:r>
      </m:oMath>
      <w:r>
        <w:rPr>
          <w:rFonts w:eastAsiaTheme="minorEastAsia"/>
        </w:rPr>
        <w:t xml:space="preserve">)  and three outflow parameters (e.g., Runoff - </w:t>
      </w:r>
      <m:oMath>
        <m:r>
          <w:rPr>
            <w:rFonts w:ascii="Cambria Math" w:eastAsiaTheme="minorEastAsia" w:hAnsi="Cambria Math"/>
          </w:rPr>
          <m:t>RO</m:t>
        </m:r>
      </m:oMath>
      <w:r>
        <w:rPr>
          <w:rFonts w:eastAsiaTheme="minorEastAsia"/>
        </w:rPr>
        <w:t xml:space="preserve">, Deep percolation – </w:t>
      </w:r>
      <m:oMath>
        <m:r>
          <w:rPr>
            <w:rFonts w:ascii="Cambria Math" w:eastAsiaTheme="minorEastAsia" w:hAnsi="Cambria Math"/>
          </w:rPr>
          <m:t>DP</m:t>
        </m:r>
      </m:oMath>
      <w:r>
        <w:rPr>
          <w:rFonts w:eastAsiaTheme="minorEastAsia"/>
        </w:rPr>
        <w:t xml:space="preserve">, Evapotranspiration -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w:t>
      </w:r>
      <w:r w:rsidR="00C26CBB" w:rsidRPr="00C26CBB">
        <w:rPr>
          <w:rFonts w:eastAsiaTheme="minorEastAsia"/>
        </w:rPr>
        <w:t>which relationship is called the soil water balance and relates to the water depletion/accumulation in the soil.</w:t>
      </w:r>
      <w:r>
        <w:rPr>
          <w:rFonts w:eastAsiaTheme="minorEastAsia"/>
        </w:rPr>
        <w:t xml:space="preserve"> Then to support a proper water balance in root zone the following relation must be meet: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03"/>
        <w:gridCol w:w="647"/>
      </w:tblGrid>
      <w:tr w:rsidR="00995023" w14:paraId="6A90BF71" w14:textId="77777777" w:rsidTr="00655DC3">
        <w:tc>
          <w:tcPr>
            <w:tcW w:w="4654" w:type="pct"/>
          </w:tcPr>
          <w:p w14:paraId="77AF3335" w14:textId="77777777" w:rsidR="00995023" w:rsidRDefault="00995023" w:rsidP="00A71588">
            <w:pPr>
              <w:pStyle w:val="ListParagraph"/>
              <w:tabs>
                <w:tab w:val="left" w:pos="567"/>
              </w:tabs>
              <w:spacing w:after="40" w:line="480" w:lineRule="auto"/>
              <w:ind w:left="0"/>
              <w:contextualSpacing w:val="0"/>
              <w:rPr>
                <w:rFonts w:eastAsiaTheme="minorEastAsia"/>
              </w:rPr>
            </w:pPr>
            <m:oMathPara>
              <m:oMath>
                <m:r>
                  <w:rPr>
                    <w:rFonts w:ascii="Cambria Math" w:eastAsiaTheme="minorEastAsia" w:hAnsi="Cambria Math"/>
                  </w:rPr>
                  <m:t>I+P+ CR≥DP+RO+E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m:oMathPara>
          </w:p>
        </w:tc>
        <w:tc>
          <w:tcPr>
            <w:tcW w:w="346" w:type="pct"/>
          </w:tcPr>
          <w:p w14:paraId="174C70D1" w14:textId="30478207" w:rsidR="00995023" w:rsidRDefault="00995023" w:rsidP="00A71588">
            <w:pPr>
              <w:pStyle w:val="ListParagraph"/>
              <w:tabs>
                <w:tab w:val="left" w:pos="567"/>
              </w:tabs>
              <w:spacing w:line="480" w:lineRule="auto"/>
              <w:ind w:left="0"/>
              <w:contextualSpacing w:val="0"/>
              <w:jc w:val="center"/>
              <w:rPr>
                <w:rFonts w:eastAsiaTheme="minorEastAsia"/>
              </w:rPr>
            </w:pPr>
            <w:r>
              <w:t>[</w:t>
            </w:r>
            <w:fldSimple w:instr=" SEQ Equation \* ARABIC ">
              <w:r w:rsidR="00E154AE">
                <w:rPr>
                  <w:noProof/>
                </w:rPr>
                <w:t>1</w:t>
              </w:r>
            </w:fldSimple>
            <w:r>
              <w:t>]</w:t>
            </w:r>
          </w:p>
        </w:tc>
      </w:tr>
    </w:tbl>
    <w:p w14:paraId="2577F37F" w14:textId="0ED1CE85" w:rsidR="00643BDD" w:rsidRPr="00643BDD" w:rsidRDefault="00643BDD" w:rsidP="00643BDD">
      <w:pPr>
        <w:pStyle w:val="Caption"/>
        <w:spacing w:after="0"/>
        <w:jc w:val="left"/>
        <w:rPr>
          <w:i w:val="0"/>
          <w:iCs w:val="0"/>
          <w:color w:val="FFFFFF" w:themeColor="background1"/>
          <w:sz w:val="20"/>
          <w:szCs w:val="20"/>
        </w:rPr>
      </w:pPr>
      <w:bookmarkStart w:id="0" w:name="_Ref102662346"/>
      <w:r w:rsidRPr="00382AA6">
        <w:rPr>
          <w:i w:val="0"/>
          <w:iCs w:val="0"/>
          <w:color w:val="auto"/>
          <w:sz w:val="20"/>
          <w:szCs w:val="20"/>
        </w:rPr>
        <w:t>Figure</w:t>
      </w:r>
      <w:r>
        <w:rPr>
          <w:i w:val="0"/>
          <w:iCs w:val="0"/>
          <w:color w:val="auto"/>
          <w:sz w:val="20"/>
          <w:szCs w:val="20"/>
        </w:rPr>
        <w:t xml:space="preserve"> </w:t>
      </w:r>
      <w:r w:rsidR="00BF7EA7">
        <w:rPr>
          <w:i w:val="0"/>
          <w:iCs w:val="0"/>
          <w:color w:val="auto"/>
          <w:sz w:val="20"/>
          <w:szCs w:val="20"/>
        </w:rPr>
        <w:t>B</w:t>
      </w:r>
      <w:r w:rsidRPr="00382AA6">
        <w:rPr>
          <w:i w:val="0"/>
          <w:iCs w:val="0"/>
          <w:color w:val="auto"/>
          <w:sz w:val="20"/>
          <w:szCs w:val="20"/>
        </w:rPr>
        <w:fldChar w:fldCharType="begin"/>
      </w:r>
      <w:r w:rsidRPr="00382AA6">
        <w:rPr>
          <w:i w:val="0"/>
          <w:iCs w:val="0"/>
          <w:color w:val="auto"/>
          <w:sz w:val="20"/>
          <w:szCs w:val="20"/>
        </w:rPr>
        <w:instrText xml:space="preserve"> SEQ Figure \* ARABIC </w:instrText>
      </w:r>
      <w:r w:rsidRPr="00382AA6">
        <w:rPr>
          <w:i w:val="0"/>
          <w:iCs w:val="0"/>
          <w:color w:val="auto"/>
          <w:sz w:val="20"/>
          <w:szCs w:val="20"/>
        </w:rPr>
        <w:fldChar w:fldCharType="separate"/>
      </w:r>
      <w:r>
        <w:rPr>
          <w:i w:val="0"/>
          <w:iCs w:val="0"/>
          <w:noProof/>
          <w:color w:val="auto"/>
          <w:sz w:val="20"/>
          <w:szCs w:val="20"/>
        </w:rPr>
        <w:t>1</w:t>
      </w:r>
      <w:r w:rsidRPr="00382AA6">
        <w:rPr>
          <w:i w:val="0"/>
          <w:iCs w:val="0"/>
          <w:color w:val="auto"/>
          <w:sz w:val="20"/>
          <w:szCs w:val="20"/>
        </w:rPr>
        <w:fldChar w:fldCharType="end"/>
      </w:r>
      <w:bookmarkEnd w:id="0"/>
      <w:r w:rsidRPr="00643BDD">
        <w:rPr>
          <w:i w:val="0"/>
          <w:iCs w:val="0"/>
          <w:color w:val="FFFFFF" w:themeColor="background1"/>
          <w:sz w:val="20"/>
          <w:szCs w:val="20"/>
        </w:rPr>
        <w:t xml:space="preserve">: Water balance in the root zone. Adapted from Allen et al. </w:t>
      </w:r>
      <w:r w:rsidRPr="00643BDD">
        <w:rPr>
          <w:i w:val="0"/>
          <w:iCs w:val="0"/>
          <w:color w:val="FFFFFF" w:themeColor="background1"/>
          <w:sz w:val="20"/>
          <w:szCs w:val="20"/>
        </w:rPr>
        <w:fldChar w:fldCharType="begin" w:fldLock="1"/>
      </w:r>
      <w:r w:rsidRPr="00643BDD">
        <w:rPr>
          <w:i w:val="0"/>
          <w:iCs w:val="0"/>
          <w:color w:val="FFFFFF" w:themeColor="background1"/>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643BDD">
        <w:rPr>
          <w:i w:val="0"/>
          <w:iCs w:val="0"/>
          <w:color w:val="FFFFFF" w:themeColor="background1"/>
          <w:sz w:val="20"/>
          <w:szCs w:val="20"/>
        </w:rPr>
        <w:fldChar w:fldCharType="separate"/>
      </w:r>
      <w:r w:rsidRPr="00643BDD">
        <w:rPr>
          <w:i w:val="0"/>
          <w:iCs w:val="0"/>
          <w:noProof/>
          <w:color w:val="FFFFFF" w:themeColor="background1"/>
          <w:sz w:val="20"/>
          <w:szCs w:val="20"/>
        </w:rPr>
        <w:t>(2006)</w:t>
      </w:r>
      <w:r w:rsidRPr="00643BDD">
        <w:rPr>
          <w:i w:val="0"/>
          <w:iCs w:val="0"/>
          <w:color w:val="FFFFFF" w:themeColor="background1"/>
          <w:sz w:val="20"/>
          <w:szCs w:val="20"/>
        </w:rPr>
        <w:fldChar w:fldCharType="end"/>
      </w:r>
      <w:r w:rsidRPr="00643BDD">
        <w:rPr>
          <w:i w:val="0"/>
          <w:iCs w:val="0"/>
          <w:color w:val="FFFFFF" w:themeColor="background1"/>
          <w:sz w:val="20"/>
          <w:szCs w:val="20"/>
        </w:rPr>
        <w:t>.</w:t>
      </w:r>
    </w:p>
    <w:p w14:paraId="49D13126" w14:textId="795761C8" w:rsidR="00643BDD" w:rsidRPr="00643BDD" w:rsidRDefault="00643BDD" w:rsidP="00643BDD">
      <w:r w:rsidRPr="00382AA6">
        <w:rPr>
          <w:sz w:val="20"/>
          <w:szCs w:val="20"/>
        </w:rPr>
        <w:t>Water balance in the root zone. Adapted from</w:t>
      </w:r>
      <w:r>
        <w:rPr>
          <w:sz w:val="20"/>
          <w:szCs w:val="20"/>
        </w:rPr>
        <w:t xml:space="preserve"> Allen </w:t>
      </w:r>
      <w:r w:rsidRPr="00563622">
        <w:rPr>
          <w:sz w:val="20"/>
          <w:szCs w:val="20"/>
        </w:rPr>
        <w:t xml:space="preserve">et al. </w:t>
      </w:r>
      <w:r w:rsidRPr="00563622">
        <w:rPr>
          <w:i/>
          <w:iCs/>
          <w:sz w:val="20"/>
          <w:szCs w:val="20"/>
        </w:rPr>
        <w:fldChar w:fldCharType="begin" w:fldLock="1"/>
      </w:r>
      <w:r>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563622">
        <w:rPr>
          <w:i/>
          <w:iCs/>
          <w:sz w:val="20"/>
          <w:szCs w:val="20"/>
        </w:rPr>
        <w:fldChar w:fldCharType="separate"/>
      </w:r>
      <w:r w:rsidRPr="00087C3C">
        <w:rPr>
          <w:noProof/>
          <w:sz w:val="20"/>
          <w:szCs w:val="20"/>
        </w:rPr>
        <w:t>(2006)</w:t>
      </w:r>
      <w:r w:rsidRPr="00563622">
        <w:rPr>
          <w:i/>
          <w:iCs/>
          <w:sz w:val="20"/>
          <w:szCs w:val="20"/>
        </w:rPr>
        <w:fldChar w:fldCharType="end"/>
      </w:r>
      <w:r w:rsidRPr="00563622">
        <w:rPr>
          <w:sz w:val="20"/>
          <w:szCs w:val="20"/>
        </w:rPr>
        <w:t>.</w:t>
      </w:r>
    </w:p>
    <w:p w14:paraId="4E0D30C2" w14:textId="267C6E1E" w:rsidR="00995023" w:rsidRDefault="00995023" w:rsidP="00A71588">
      <w:pPr>
        <w:pStyle w:val="ListParagraph"/>
        <w:keepNext/>
        <w:tabs>
          <w:tab w:val="left" w:pos="567"/>
        </w:tabs>
        <w:spacing w:before="120" w:after="0" w:line="480" w:lineRule="auto"/>
        <w:ind w:left="0"/>
        <w:contextualSpacing w:val="0"/>
        <w:jc w:val="center"/>
      </w:pPr>
      <w:r w:rsidRPr="00382AA6">
        <w:rPr>
          <w:noProof/>
        </w:rPr>
        <w:drawing>
          <wp:inline distT="0" distB="0" distL="0" distR="0" wp14:anchorId="0878A0CE" wp14:editId="1B5AB287">
            <wp:extent cx="3853889" cy="3189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3881" cy="3222524"/>
                    </a:xfrm>
                    <a:prstGeom prst="rect">
                      <a:avLst/>
                    </a:prstGeom>
                  </pic:spPr>
                </pic:pic>
              </a:graphicData>
            </a:graphic>
          </wp:inline>
        </w:drawing>
      </w:r>
    </w:p>
    <w:p w14:paraId="0A9039C9" w14:textId="3BBDFBCC" w:rsidR="00995023" w:rsidRDefault="00995023" w:rsidP="00643BDD">
      <w:pPr>
        <w:pStyle w:val="ListParagraph"/>
        <w:tabs>
          <w:tab w:val="left" w:pos="567"/>
        </w:tabs>
        <w:spacing w:after="120" w:line="480" w:lineRule="auto"/>
        <w:ind w:left="0" w:firstLine="720"/>
        <w:contextualSpacing w:val="0"/>
        <w:rPr>
          <w:rFonts w:eastAsiaTheme="minorEastAsia"/>
        </w:rPr>
      </w:pPr>
      <w:r>
        <w:rPr>
          <w:rFonts w:eastAsiaTheme="minorEastAsia"/>
        </w:rPr>
        <w:t xml:space="preserve">The irrigation represents a decision-maker control factor supported by the farmer and water availabilities, the temporal precipitation is the amount of rainfall in the season, and the capillary rise represents the amount of water transported upward form the water table (i.e., </w:t>
      </w:r>
      <w:r w:rsidRPr="00C200E9">
        <w:rPr>
          <w:rFonts w:eastAsiaTheme="minorEastAsia"/>
        </w:rPr>
        <w:t xml:space="preserve">is the depth to </w:t>
      </w:r>
      <w:r w:rsidRPr="00C200E9">
        <w:rPr>
          <w:rFonts w:eastAsiaTheme="minorEastAsia"/>
        </w:rPr>
        <w:lastRenderedPageBreak/>
        <w:t xml:space="preserve">which the </w:t>
      </w:r>
      <w:r w:rsidR="00907D0A">
        <w:rPr>
          <w:rFonts w:eastAsiaTheme="minorEastAsia"/>
        </w:rPr>
        <w:t>soil</w:t>
      </w:r>
      <w:r w:rsidRPr="00C200E9">
        <w:rPr>
          <w:rFonts w:eastAsiaTheme="minorEastAsia"/>
        </w:rPr>
        <w:t xml:space="preserve"> is saturated</w:t>
      </w:r>
      <w:r>
        <w:rPr>
          <w:rFonts w:eastAsiaTheme="minorEastAsia"/>
        </w:rPr>
        <w:t xml:space="preserve">) to the root zone </w:t>
      </w:r>
      <w:bookmarkStart w:id="1" w:name="_Hlk136893683"/>
      <w:r>
        <w:rPr>
          <w:rFonts w:eastAsiaTheme="minorEastAsia"/>
        </w:rPr>
        <w:fldChar w:fldCharType="begin" w:fldLock="1"/>
      </w:r>
      <w:r w:rsidR="00087C3C">
        <w:rPr>
          <w:rFonts w:eastAsiaTheme="minorEastAsia"/>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Pr>
          <w:rFonts w:eastAsiaTheme="minorEastAsia"/>
        </w:rPr>
        <w:fldChar w:fldCharType="separate"/>
      </w:r>
      <w:r w:rsidR="00087C3C" w:rsidRPr="00087C3C">
        <w:rPr>
          <w:rFonts w:eastAsiaTheme="minorEastAsia"/>
          <w:noProof/>
        </w:rPr>
        <w:t>(Allen et al., 2006)</w:t>
      </w:r>
      <w:r>
        <w:rPr>
          <w:rFonts w:eastAsiaTheme="minorEastAsia"/>
        </w:rPr>
        <w:fldChar w:fldCharType="end"/>
      </w:r>
      <w:bookmarkEnd w:id="1"/>
      <w:r>
        <w:rPr>
          <w:rFonts w:eastAsiaTheme="minorEastAsia"/>
        </w:rPr>
        <w:t xml:space="preserve">. On the other hand, the runoff is the water loss in the soil </w:t>
      </w:r>
      <w:r w:rsidRPr="00EA1722">
        <w:rPr>
          <w:rFonts w:eastAsiaTheme="minorEastAsia"/>
        </w:rPr>
        <w:t>when the frequency of water (</w:t>
      </w:r>
      <w:r>
        <w:rPr>
          <w:rFonts w:eastAsiaTheme="minorEastAsia"/>
        </w:rPr>
        <w:t xml:space="preserve">i.e., </w:t>
      </w:r>
      <w:r w:rsidRPr="00EA1722">
        <w:rPr>
          <w:rFonts w:eastAsiaTheme="minorEastAsia"/>
        </w:rPr>
        <w:t xml:space="preserve">rain and irrigation) exceeds the </w:t>
      </w:r>
      <w:r>
        <w:rPr>
          <w:rFonts w:eastAsiaTheme="minorEastAsia"/>
        </w:rPr>
        <w:t xml:space="preserve">soil water infiltration rate </w:t>
      </w:r>
      <w:bookmarkStart w:id="2" w:name="_Hlk136894643"/>
      <w:r>
        <w:rPr>
          <w:rFonts w:eastAsiaTheme="minorEastAsia"/>
        </w:rPr>
        <w:fldChar w:fldCharType="begin" w:fldLock="1"/>
      </w:r>
      <w:r w:rsidR="00087C3C">
        <w:rPr>
          <w:rFonts w:eastAsiaTheme="minorEastAsia"/>
        </w:rPr>
        <w:instrText>ADDIN CSL_CITATION {"citationItems":[{"id":"ITEM-1","itemData":{"author":[{"dropping-particle":"","family":"Critchley","given":"WIll","non-dropping-particle":"","parse-names":false,"suffix":""},{"dropping-particle":"","family":"Siegert","given":"Klaus","non-dropping-particle":"","parse-names":false,"suffix":""}],"container-title":"FAO","id":"ITEM-1","issued":{"date-parts":[["1991"]]},"title":"Water harvesting","type":"book"},"uris":["http://www.mendeley.com/documents/?uuid=8b499280-8895-3792-a8bb-006e528d5427"]}],"mendeley":{"formattedCitation":"(Critchley &amp; Siegert, 1991)","plainTextFormattedCitation":"(Critchley &amp; Siegert, 1991)","previouslyFormattedCitation":"(Critchley &amp; Siegert, 1991)"},"properties":{"noteIndex":0},"schema":"https://github.com/citation-style-language/schema/raw/master/csl-citation.json"}</w:instrText>
      </w:r>
      <w:r>
        <w:rPr>
          <w:rFonts w:eastAsiaTheme="minorEastAsia"/>
        </w:rPr>
        <w:fldChar w:fldCharType="separate"/>
      </w:r>
      <w:r w:rsidR="00087C3C" w:rsidRPr="00087C3C">
        <w:rPr>
          <w:rFonts w:eastAsiaTheme="minorEastAsia"/>
          <w:noProof/>
        </w:rPr>
        <w:t>(Critchley &amp; Siegert, 1991)</w:t>
      </w:r>
      <w:r>
        <w:rPr>
          <w:rFonts w:eastAsiaTheme="minorEastAsia"/>
        </w:rPr>
        <w:fldChar w:fldCharType="end"/>
      </w:r>
      <w:bookmarkEnd w:id="2"/>
      <w:r>
        <w:rPr>
          <w:rFonts w:eastAsiaTheme="minorEastAsia"/>
        </w:rPr>
        <w:t xml:space="preserve">, the deep percolation represent the soil water loss when infiltrated water exceeds the field capacity content </w:t>
      </w:r>
      <w:bookmarkStart w:id="3" w:name="_Hlk136894670"/>
      <w:r>
        <w:rPr>
          <w:rFonts w:eastAsiaTheme="minorEastAsia"/>
        </w:rPr>
        <w:fldChar w:fldCharType="begin" w:fldLock="1"/>
      </w:r>
      <w:r w:rsidR="00087C3C">
        <w:rPr>
          <w:rFonts w:eastAsiaTheme="minorEastAsia"/>
        </w:rPr>
        <w:instrText>ADDIN CSL_CITATION {"citationItems":[{"id":"ITEM-1","itemData":{"DOI":"https://doi.org/10.1029/2007WR006380","abstract":"A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model).","author":[{"dropping-particle":"","family":"Bethune","given":"M G","non-dropping-particle":"","parse-names":false,"suffix":""},{"dropping-particle":"","family":"Selle","given":"B","non-dropping-particle":"","parse-names":false,"suffix":""},{"dropping-particle":"","family":"Wang","given":"Q J","non-dropping-particle":"","parse-names":false,"suffix":""}],"container-title":"Water Resources Research","id":"ITEM-1","issue":"12","issued":{"date-parts":[["2008"]]},"title":"Understanding and predicting deep percolation under surface irrigation","type":"article-journal","volume":"44"},"uris":["http://www.mendeley.com/documents/?uuid=280db599-70ad-4ea3-8ffa-cdeb82591919"]}],"mendeley":{"formattedCitation":"(Bethune et al., 2008)","plainTextFormattedCitation":"(Bethune et al., 2008)","previouslyFormattedCitation":"(Bethune et al., 2008)"},"properties":{"noteIndex":0},"schema":"https://github.com/citation-style-language/schema/raw/master/csl-citation.json"}</w:instrText>
      </w:r>
      <w:r>
        <w:rPr>
          <w:rFonts w:eastAsiaTheme="minorEastAsia"/>
        </w:rPr>
        <w:fldChar w:fldCharType="separate"/>
      </w:r>
      <w:r w:rsidR="00087C3C" w:rsidRPr="00087C3C">
        <w:rPr>
          <w:rFonts w:eastAsiaTheme="minorEastAsia"/>
          <w:noProof/>
        </w:rPr>
        <w:t>(Bethune et al., 2008)</w:t>
      </w:r>
      <w:r>
        <w:rPr>
          <w:rFonts w:eastAsiaTheme="minorEastAsia"/>
        </w:rPr>
        <w:fldChar w:fldCharType="end"/>
      </w:r>
      <w:bookmarkEnd w:id="3"/>
      <w:r>
        <w:rPr>
          <w:rFonts w:eastAsiaTheme="minorEastAsia"/>
        </w:rPr>
        <w:t xml:space="preserve">, and the evapotranspiration represents the water loss by plant transpiration and water soil evaporation </w:t>
      </w:r>
      <w:bookmarkStart w:id="4" w:name="_Hlk136894705"/>
      <w:r>
        <w:rPr>
          <w:rFonts w:eastAsiaTheme="minorEastAsia"/>
        </w:rPr>
        <w:fldChar w:fldCharType="begin" w:fldLock="1"/>
      </w:r>
      <w:r w:rsidR="00087C3C">
        <w:rPr>
          <w:rFonts w:eastAsiaTheme="minorEastAsia"/>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Pr>
          <w:rFonts w:eastAsiaTheme="minorEastAsia"/>
        </w:rPr>
        <w:fldChar w:fldCharType="separate"/>
      </w:r>
      <w:r w:rsidR="00087C3C" w:rsidRPr="00087C3C">
        <w:rPr>
          <w:rFonts w:eastAsiaTheme="minorEastAsia"/>
          <w:noProof/>
        </w:rPr>
        <w:t>(Allen et al., 2006)</w:t>
      </w:r>
      <w:r>
        <w:rPr>
          <w:rFonts w:eastAsiaTheme="minorEastAsia"/>
        </w:rPr>
        <w:fldChar w:fldCharType="end"/>
      </w:r>
      <w:bookmarkEnd w:id="4"/>
      <w:r>
        <w:rPr>
          <w:rFonts w:eastAsiaTheme="minorEastAsia"/>
        </w:rPr>
        <w:t xml:space="preserve">. </w:t>
      </w:r>
      <w:r w:rsidRPr="004A0EFE">
        <w:rPr>
          <w:rFonts w:eastAsiaTheme="minorEastAsia"/>
        </w:rPr>
        <w:t>Therefore, the water balance in the root zone</w:t>
      </w:r>
      <w:r>
        <w:rPr>
          <w:rFonts w:eastAsiaTheme="minorEastAsia"/>
        </w:rPr>
        <w:t xml:space="preserve"> varies on time considering the relation between the inflow factors and the outflow factors. </w:t>
      </w:r>
      <w:bookmarkStart w:id="5" w:name="_Hlk136894730"/>
      <w:r>
        <w:rPr>
          <w:rFonts w:eastAsiaTheme="minorEastAsia"/>
        </w:rPr>
        <w:t>That relation supports calculating the water depletion in the soil and allows obtaining the amount of water required to restore moisture conditions regarding decision-makers considerations.</w:t>
      </w:r>
      <w:bookmarkEnd w:id="5"/>
    </w:p>
    <w:p w14:paraId="5909E196"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t>Irrigation</w:t>
      </w:r>
    </w:p>
    <w:p w14:paraId="5A059462" w14:textId="6B2024E3" w:rsidR="00995023" w:rsidRPr="0066392C" w:rsidRDefault="00995023" w:rsidP="00A71588">
      <w:pPr>
        <w:pStyle w:val="ListParagraph"/>
        <w:tabs>
          <w:tab w:val="left" w:pos="284"/>
        </w:tabs>
        <w:spacing w:line="480" w:lineRule="auto"/>
        <w:ind w:left="0"/>
        <w:contextualSpacing w:val="0"/>
        <w:rPr>
          <w:b/>
          <w:bCs/>
        </w:rPr>
      </w:pPr>
      <w:r>
        <w:t>It represents the amount of water released in the field considering the irrigation system (e.g., drip irrigation or sprinkler irrigation), and the water irrigation strategy relating the water application timing (i.e., provide water to avoid critical depletion, yield reduction, or decision-makers define intervals) and the amount of water used (i.e., refill soil to field capacity or to fill until specific application depth).</w:t>
      </w:r>
    </w:p>
    <w:p w14:paraId="79DDA54A"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t>Precipitation</w:t>
      </w:r>
    </w:p>
    <w:p w14:paraId="231A4E91" w14:textId="05C4C88F" w:rsidR="00643BDD" w:rsidRDefault="00995023" w:rsidP="00A71588">
      <w:pPr>
        <w:pStyle w:val="ListParagraph"/>
        <w:tabs>
          <w:tab w:val="left" w:pos="284"/>
        </w:tabs>
        <w:spacing w:line="480" w:lineRule="auto"/>
        <w:ind w:left="0"/>
        <w:contextualSpacing w:val="0"/>
      </w:pPr>
      <w:r>
        <w:t>It is the amount of water that reach soil due to drops water from the atmosphere (</w:t>
      </w:r>
      <m:oMath>
        <m:r>
          <w:rPr>
            <w:rFonts w:ascii="Cambria Math" w:hAnsi="Cambria Math"/>
          </w:rPr>
          <m:t>mm</m:t>
        </m:r>
      </m:oMath>
      <w:r>
        <w:t>). The precipitation, the evaporation, deep percolation and water runoff allows obtaining the effective rainfall or maximum amount of water retained in root zone which is usable by the crop (</w:t>
      </w:r>
      <m:oMath>
        <m:r>
          <w:rPr>
            <w:rFonts w:ascii="Cambria Math" w:hAnsi="Cambria Math"/>
          </w:rPr>
          <m:t>mm</m:t>
        </m:r>
      </m:oMath>
      <w:r>
        <w:t xml:space="preserve">) </w:t>
      </w:r>
      <w:r>
        <w:fldChar w:fldCharType="begin" w:fldLock="1"/>
      </w:r>
      <w:r w:rsidR="00087C3C">
        <w:instrText>ADDIN CSL_CITATION {"citationItems":[{"id":"ITEM-1","itemData":{"author":[{"dropping-particle":"","family":"Brouwer","given":"C.","non-dropping-particle":"","parse-names":false,"suffix":""},{"dropping-particle":"","family":"Goffeau","given":"A.","non-dropping-particle":"","parse-names":false,"suffix":""},{"dropping-particle":"","family":"Heibloem","given":"M.","non-dropping-particle":"","parse-names":false,"suffix":""}],"id":"ITEM-1","issued":{"date-parts":[["1985"]]},"title":"Irrigation Water Management: Training Manual No. 1 - Introduction to Irrigation","type":"book"},"uris":["http://www.mendeley.com/documents/?uuid=74ffa03f-468e-38aa-87f1-655c704c9e1a"]}],"mendeley":{"formattedCitation":"(Brouwer et al., 1985)","plainTextFormattedCitation":"(Brouwer et al., 1985)","previouslyFormattedCitation":"(Brouwer et al., 1985)"},"properties":{"noteIndex":0},"schema":"https://github.com/citation-style-language/schema/raw/master/csl-citation.json"}</w:instrText>
      </w:r>
      <w:r>
        <w:fldChar w:fldCharType="separate"/>
      </w:r>
      <w:r w:rsidR="00087C3C" w:rsidRPr="00087C3C">
        <w:rPr>
          <w:noProof/>
        </w:rPr>
        <w:t>(Brouwer et al., 1985)</w:t>
      </w:r>
      <w:r>
        <w:fldChar w:fldCharType="end"/>
      </w:r>
      <w:r>
        <w:t>.</w:t>
      </w:r>
    </w:p>
    <w:p w14:paraId="694EDB2E" w14:textId="77777777" w:rsidR="00643BDD" w:rsidRDefault="00643BDD">
      <w:pPr>
        <w:spacing w:line="259" w:lineRule="auto"/>
        <w:jc w:val="left"/>
      </w:pPr>
      <w:r>
        <w:br w:type="page"/>
      </w:r>
    </w:p>
    <w:p w14:paraId="7F2D6C6A"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lastRenderedPageBreak/>
        <w:t>Capillary rise</w:t>
      </w:r>
    </w:p>
    <w:p w14:paraId="4344D7C8" w14:textId="3803F22B" w:rsidR="00995023" w:rsidRDefault="00995023" w:rsidP="00A71588">
      <w:pPr>
        <w:pStyle w:val="ListParagraph"/>
        <w:tabs>
          <w:tab w:val="left" w:pos="284"/>
        </w:tabs>
        <w:spacing w:line="480" w:lineRule="auto"/>
        <w:ind w:left="0"/>
        <w:contextualSpacing w:val="0"/>
        <w:rPr>
          <w:b/>
          <w:bCs/>
        </w:rPr>
      </w:pPr>
      <w:r>
        <w:t xml:space="preserve">It is the amount of water transported upward from the water table to the root zone. It relies on water table depth and the soil moisture. If the water table in the location is under </w:t>
      </w:r>
      <m:oMath>
        <m:r>
          <w:rPr>
            <w:rFonts w:ascii="Cambria Math" w:hAnsi="Cambria Math"/>
          </w:rPr>
          <m:t>1 [m]</m:t>
        </m:r>
      </m:oMath>
      <w:r>
        <w:rPr>
          <w:rFonts w:eastAsiaTheme="minorEastAsia"/>
        </w:rPr>
        <w:t xml:space="preserve"> below the root depth, the capillary rise is </w:t>
      </w:r>
      <w:r w:rsidRPr="00FE371A">
        <w:rPr>
          <w:rFonts w:eastAsiaTheme="minorEastAsia"/>
        </w:rPr>
        <w:t>negligible</w:t>
      </w:r>
      <w:r>
        <w:rPr>
          <w:rFonts w:eastAsiaTheme="minorEastAsia"/>
        </w:rPr>
        <w:t xml:space="preserve"> </w:t>
      </w:r>
      <w:r>
        <w:rPr>
          <w:rFonts w:eastAsiaTheme="minorEastAsia"/>
        </w:rPr>
        <w:fldChar w:fldCharType="begin" w:fldLock="1"/>
      </w:r>
      <w:r w:rsidR="00087C3C">
        <w:rPr>
          <w:rFonts w:eastAsiaTheme="minorEastAsia"/>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Pr>
          <w:rFonts w:eastAsiaTheme="minorEastAsia"/>
        </w:rPr>
        <w:fldChar w:fldCharType="separate"/>
      </w:r>
      <w:r w:rsidR="00087C3C" w:rsidRPr="00087C3C">
        <w:rPr>
          <w:rFonts w:eastAsiaTheme="minorEastAsia"/>
          <w:noProof/>
        </w:rPr>
        <w:t>(Allen et al., 2006)</w:t>
      </w:r>
      <w:r>
        <w:rPr>
          <w:rFonts w:eastAsiaTheme="minorEastAsia"/>
        </w:rPr>
        <w:fldChar w:fldCharType="end"/>
      </w:r>
      <w:r>
        <w:rPr>
          <w:rFonts w:eastAsiaTheme="minorEastAsia"/>
        </w:rPr>
        <w:t>.</w:t>
      </w:r>
      <w:r w:rsidR="003C68EC">
        <w:rPr>
          <w:rFonts w:eastAsiaTheme="minorEastAsia"/>
        </w:rPr>
        <w:t xml:space="preserve"> </w:t>
      </w:r>
      <w:r w:rsidR="00087C3C">
        <w:rPr>
          <w:rFonts w:eastAsiaTheme="minorEastAsia"/>
        </w:rPr>
        <w:t xml:space="preserve">According to </w:t>
      </w:r>
      <w:r w:rsidR="00087C3C" w:rsidRPr="00087C3C">
        <w:rPr>
          <w:rFonts w:eastAsiaTheme="minorEastAsia"/>
          <w:noProof/>
        </w:rPr>
        <w:t>Somers &amp; McKenzie</w:t>
      </w:r>
      <w:r w:rsidR="00087C3C">
        <w:rPr>
          <w:rFonts w:eastAsiaTheme="minorEastAsia"/>
        </w:rPr>
        <w:t xml:space="preserve"> </w:t>
      </w:r>
      <w:r w:rsidR="00087C3C">
        <w:rPr>
          <w:rFonts w:eastAsiaTheme="minorEastAsia"/>
        </w:rPr>
        <w:fldChar w:fldCharType="begin" w:fldLock="1"/>
      </w:r>
      <w:r w:rsidR="00B43C95">
        <w:rPr>
          <w:rFonts w:eastAsiaTheme="minorEastAsia"/>
        </w:rPr>
        <w:instrText>ADDIN CSL_CITATION {"citationItems":[{"id":"ITEM-1","itemData":{"DOI":"https://doi.org/10.1002/wat2.1475","abstract":"Abstract Mountain water resources are of particular importance for downstream populations but are threatened by decreasing water storage in snowpack and glaciers. Groundwater contribution to mountain streamflow, once assumed to be relatively small, is now understood to represent an important water source to streams. This review presents an overview of research on groundwater in high mountain environments (As classified by Meybeck et al. (2001) as very high, high, and mid-altitude mountains). Coarse geomorphic units, like talus, alluvium, and moraines, are important stores and conduits for high mountain groundwater. Bedrock aquifers contribute to catchment streamflow through shallow, weathered bedrock but also to higher order streams and central valley aquifers through deep fracture flow and mountain-block recharge. Tracer and water balance studies have shown that groundwater contributes substantially to streamflow in many high mountain catchments, particularly during low-flow periods. The percentage of streamflow attributable to groundwater varies greatly through time and between watersheds depending on the geology, topography, climate, and spatial scale. Recharge to high mountain aquifers is spatially variable and comes from a combination of infiltration from rain, snowmelt, and glacier melt, as well as concentrated recharge beneath losing streams, or through fractures and swallow holes. Recent advances suggest that high mountain groundwater may provide some resilience—at least temporarily—to climate-driven glacier and snowpack recession. A paucity of field data and the heterogeneity of alpine landscapes remain important challenges, but new data sources, tracers, and modeling methods continue to expand our understanding of high mountain groundwater flow. This article is categorized under: Science of Water &gt; Hydrological Processes Science of Water &gt; Water and Environmental Change Science of Water &gt; Methods","author":[{"dropping-particle":"","family":"Somers","given":"Lauren D","non-dropping-particle":"","parse-names":false,"suffix":""},{"dropping-particle":"","family":"McKenzie","given":"Jeffrey M","non-dropping-particle":"","parse-names":false,"suffix":""}],"container-title":"WIREs Water","id":"ITEM-1","issue":"6","issued":{"date-parts":[["2020"]]},"page":"e1475","title":"A review of groundwater in high mountain environments","type":"article-journal","volume":"7"},"suppress-author":1,"uris":["http://www.mendeley.com/documents/?uuid=e7652789-f2dd-4869-b4c1-6855c3e528e6"]}],"mendeley":{"formattedCitation":"(2020)","plainTextFormattedCitation":"(2020)","previouslyFormattedCitation":"(2020)"},"properties":{"noteIndex":0},"schema":"https://github.com/citation-style-language/schema/raw/master/csl-citation.json"}</w:instrText>
      </w:r>
      <w:r w:rsidR="00087C3C">
        <w:rPr>
          <w:rFonts w:eastAsiaTheme="minorEastAsia"/>
        </w:rPr>
        <w:fldChar w:fldCharType="separate"/>
      </w:r>
      <w:r w:rsidR="00087C3C" w:rsidRPr="00087C3C">
        <w:rPr>
          <w:rFonts w:eastAsiaTheme="minorEastAsia"/>
          <w:noProof/>
        </w:rPr>
        <w:t>(2020)</w:t>
      </w:r>
      <w:r w:rsidR="00087C3C">
        <w:rPr>
          <w:rFonts w:eastAsiaTheme="minorEastAsia"/>
        </w:rPr>
        <w:fldChar w:fldCharType="end"/>
      </w:r>
      <w:r w:rsidR="00087C3C">
        <w:rPr>
          <w:rFonts w:eastAsiaTheme="minorEastAsia"/>
        </w:rPr>
        <w:t xml:space="preserve"> </w:t>
      </w:r>
      <w:r w:rsidR="00E6107D" w:rsidRPr="00E6107D">
        <w:rPr>
          <w:rFonts w:eastAsiaTheme="minorEastAsia"/>
        </w:rPr>
        <w:t>in mountainous terrain the water table is usually several meters below the surface</w:t>
      </w:r>
      <w:r w:rsidR="00E6107D">
        <w:rPr>
          <w:rFonts w:eastAsiaTheme="minorEastAsia"/>
        </w:rPr>
        <w:t>, then this study assumes that parameter as negligible</w:t>
      </w:r>
      <w:r w:rsidR="00E6107D" w:rsidRPr="00E6107D">
        <w:rPr>
          <w:rFonts w:eastAsiaTheme="minorEastAsia"/>
        </w:rPr>
        <w:t>.</w:t>
      </w:r>
    </w:p>
    <w:p w14:paraId="5F9E61E0"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sidRPr="00F3622E">
        <w:rPr>
          <w:b/>
          <w:bCs/>
        </w:rPr>
        <w:t>Water runoff</w:t>
      </w:r>
    </w:p>
    <w:p w14:paraId="4316FBF5" w14:textId="1ECAA811" w:rsidR="00995023" w:rsidRPr="009A5768" w:rsidRDefault="00995023" w:rsidP="00A71588">
      <w:pPr>
        <w:pStyle w:val="ListParagraph"/>
        <w:tabs>
          <w:tab w:val="left" w:pos="284"/>
        </w:tabs>
        <w:spacing w:after="0" w:line="480" w:lineRule="auto"/>
        <w:ind w:left="0"/>
        <w:contextualSpacing w:val="0"/>
        <w:rPr>
          <w:b/>
          <w:bCs/>
        </w:rPr>
      </w:pPr>
      <w:r>
        <w:t xml:space="preserve">It represents the amount water loss by water field saturation when the frequency of irrigation and rainfall is higher than the amount of water the field can infiltrate considering the soil type </w:t>
      </w:r>
      <w:r>
        <w:rPr>
          <w:rFonts w:eastAsiaTheme="minorEastAsia"/>
        </w:rPr>
        <w:fldChar w:fldCharType="begin" w:fldLock="1"/>
      </w:r>
      <w:r w:rsidR="00087C3C">
        <w:rPr>
          <w:rFonts w:eastAsiaTheme="minorEastAsia"/>
        </w:rPr>
        <w:instrText>ADDIN CSL_CITATION {"citationItems":[{"id":"ITEM-1","itemData":{"author":[{"dropping-particle":"","family":"Critchley","given":"WIll","non-dropping-particle":"","parse-names":false,"suffix":""},{"dropping-particle":"","family":"Siegert","given":"Klaus","non-dropping-particle":"","parse-names":false,"suffix":""}],"container-title":"FAO","id":"ITEM-1","issued":{"date-parts":[["1991"]]},"title":"Water harvesting","type":"book"},"uris":["http://www.mendeley.com/documents/?uuid=8b499280-8895-3792-a8bb-006e528d5427"]}],"mendeley":{"formattedCitation":"(Critchley &amp; Siegert, 1991)","plainTextFormattedCitation":"(Critchley &amp; Siegert, 1991)","previouslyFormattedCitation":"(Critchley &amp; Siegert, 1991)"},"properties":{"noteIndex":0},"schema":"https://github.com/citation-style-language/schema/raw/master/csl-citation.json"}</w:instrText>
      </w:r>
      <w:r>
        <w:rPr>
          <w:rFonts w:eastAsiaTheme="minorEastAsia"/>
        </w:rPr>
        <w:fldChar w:fldCharType="separate"/>
      </w:r>
      <w:r w:rsidR="00087C3C" w:rsidRPr="00087C3C">
        <w:rPr>
          <w:rFonts w:eastAsiaTheme="minorEastAsia"/>
          <w:noProof/>
        </w:rPr>
        <w:t>(Critchley &amp; Siegert, 1991)</w:t>
      </w:r>
      <w:r>
        <w:rPr>
          <w:rFonts w:eastAsiaTheme="minorEastAsia"/>
        </w:rPr>
        <w:fldChar w:fldCharType="end"/>
      </w:r>
      <w:r>
        <w:rPr>
          <w:rFonts w:eastAsiaTheme="minorEastAsia"/>
        </w:rPr>
        <w:t xml:space="preserve">. This factor usually exists when high frequencies precipitation patterns occur, unlike is </w:t>
      </w:r>
      <w:r w:rsidRPr="006E49B2">
        <w:rPr>
          <w:rFonts w:eastAsiaTheme="minorEastAsia"/>
        </w:rPr>
        <w:t>negligible</w:t>
      </w:r>
      <w:r>
        <w:rPr>
          <w:rFonts w:eastAsiaTheme="minorEastAsia"/>
        </w:rPr>
        <w:t xml:space="preserve"> when there is no enough rainfall and the irrigation system has low water waste and storage control as drip irrigation method which only wet around 30% of sprinkler strategy </w:t>
      </w:r>
      <w:r>
        <w:rPr>
          <w:rFonts w:eastAsiaTheme="minorEastAsia"/>
        </w:rPr>
        <w:fldChar w:fldCharType="begin" w:fldLock="1"/>
      </w:r>
      <w:r w:rsidR="00087C3C">
        <w:rPr>
          <w:rFonts w:eastAsiaTheme="minorEastAsia"/>
        </w:rPr>
        <w:instrText>ADDIN CSL_CITATION {"citationItems":[{"id":"ITEM-1","itemData":{"author":[{"dropping-particle":"","family":"Brouwer","given":"C.","non-dropping-particle":"","parse-names":false,"suffix":""},{"dropping-particle":"","family":"Prins","given":"K.","non-dropping-particle":"","parse-names":false,"suffix":""},{"dropping-particle":"","family":"Kay","given":"M.","non-dropping-particle":"","parse-names":false,"suffix":""},{"dropping-particle":"","family":"Heibloem","given":"M.","non-dropping-particle":"","parse-names":false,"suffix":""}],"container-title":"FAO","id":"ITEM-1","issued":{"date-parts":[["0"]]},"title":"Irrigation Water Management: Irrigation Methods","type":"book"},"uris":["http://www.mendeley.com/documents/?uuid=c4856cb4-ca0a-3159-a68c-dc9fa286367b"]}],"mendeley":{"formattedCitation":"(Brouwer et al., n.d.)","plainTextFormattedCitation":"(Brouwer et al., n.d.)","previouslyFormattedCitation":"(Brouwer et al., n.d.)"},"properties":{"noteIndex":0},"schema":"https://github.com/citation-style-language/schema/raw/master/csl-citation.json"}</w:instrText>
      </w:r>
      <w:r>
        <w:rPr>
          <w:rFonts w:eastAsiaTheme="minorEastAsia"/>
        </w:rPr>
        <w:fldChar w:fldCharType="separate"/>
      </w:r>
      <w:r w:rsidR="00087C3C" w:rsidRPr="00087C3C">
        <w:rPr>
          <w:rFonts w:eastAsiaTheme="minorEastAsia"/>
          <w:noProof/>
        </w:rPr>
        <w:t>(Brouwer et al., n.d.)</w:t>
      </w:r>
      <w:r>
        <w:rPr>
          <w:rFonts w:eastAsiaTheme="minorEastAsia"/>
        </w:rPr>
        <w:fldChar w:fldCharType="end"/>
      </w:r>
      <w:r>
        <w:rPr>
          <w:rFonts w:eastAsiaTheme="minorEastAsia"/>
        </w:rPr>
        <w:t xml:space="preserve">. This study uses the Soil Conservation Service method exposed by </w:t>
      </w:r>
      <w:r w:rsidRPr="00B54C8F">
        <w:rPr>
          <w:rFonts w:eastAsiaTheme="minorEastAsia"/>
          <w:noProof/>
        </w:rPr>
        <w:t>Woli et al.</w:t>
      </w:r>
      <w:r>
        <w:rPr>
          <w:rFonts w:eastAsiaTheme="minorEastAsia"/>
        </w:rPr>
        <w:t xml:space="preserve"> </w:t>
      </w:r>
      <w:r>
        <w:rPr>
          <w:rFonts w:eastAsiaTheme="minorEastAsia"/>
        </w:rPr>
        <w:fldChar w:fldCharType="begin" w:fldLock="1"/>
      </w:r>
      <w:r w:rsidR="00087C3C">
        <w:rPr>
          <w:rFonts w:eastAsiaTheme="minorEastAsia"/>
        </w:rPr>
        <w:instrText>ADDIN CSL_CITATION {"citationItems":[{"id":"ITEM-1","itemData":{"DOI":"https://doi.org/10.2134/agronj2011.0286","abstract":"Several drought indices are available to compute the degree of drought to which crops are exposed. They vary in complexity, generality, and the adequacy with which they represent processes in the soil, plant, and atmosphere. Agricultural Reference Index for Drought (ARID) was developed as a reference index to approximate the water stress factor that is used to affect growth and other physiological processes in crop simulation models. Using RMSE, Willmott d index, and modeling efficiency (ME) as performance measures, ARID was evaluated using soil water contents in the root zone measured daily in two grass fields in Florida. The ability of ARID was assessed through comparison with the water deficit index (WSPD) of the Decision Support System for Agrotechnology Transfer (DSSAT) CERES-Maize model. Seven other drought indices were compared with WSPD to identify the most appropriate agricultural drought index. Values of each index were computed for full canopy cover periods of maize (Zea mays L.) crops for 16 locations in the U.S. Southeast. Using periodic values, the performance of each index was assessed in terms of its correlation (r) with and departure from WSPD. The ARID reasonably predicted soil water contents (RMSE = 0.01–0.019, d index = 0.92–0.94, ME = 0.66–0.73) and adequately approximated WSPD (r = 0.90, RMSE = 0.15). Among the indices compared, ARID mimicked WSPD the most closely (RMSE smaller by 1–83\\%, r larger by 1–630\\%) and captured weather fluctuation effects the most accurately. Results indicated that ARID may be used as a simple index for quantifying drought and its effects on crop yields.","author":[{"dropping-particle":"","family":"Woli","given":"Prem","non-dropping-particle":"","parse-names":false,"suffix":""},{"dropping-particle":"","family":"Jones","given":"James W","non-dropping-particle":"","parse-names":false,"suffix":""},{"dropping-particle":"","family":"Ingram","given":"Keith T","non-dropping-particle":"","parse-names":false,"suffix":""},{"dropping-particle":"","family":"Fraisse","given":"Clyde W","non-dropping-particle":"","parse-names":false,"suffix":""}],"container-title":"Agronomy Journal","id":"ITEM-1","issue":"2","issued":{"date-parts":[["2012"]]},"page":"287-300","title":"Agricultural Reference Index for Drought (ARID)","type":"article-journal","volume":"104"},"suppress-author":1,"uris":["http://www.mendeley.com/documents/?uuid=4faf0c22-5cf2-4a78-ba00-05cd5bddaeb5"]}],"mendeley":{"formattedCitation":"(2012)","plainTextFormattedCitation":"(2012)","previouslyFormattedCitation":"(2012)"},"properties":{"noteIndex":0},"schema":"https://github.com/citation-style-language/schema/raw/master/csl-citation.json"}</w:instrText>
      </w:r>
      <w:r>
        <w:rPr>
          <w:rFonts w:eastAsiaTheme="minorEastAsia"/>
        </w:rPr>
        <w:fldChar w:fldCharType="separate"/>
      </w:r>
      <w:r w:rsidR="00087C3C" w:rsidRPr="00087C3C">
        <w:rPr>
          <w:rFonts w:eastAsiaTheme="minorEastAsia"/>
          <w:noProof/>
        </w:rPr>
        <w:t>(2012)</w:t>
      </w:r>
      <w:r>
        <w:rPr>
          <w:rFonts w:eastAsiaTheme="minorEastAsia"/>
        </w:rPr>
        <w:fldChar w:fldCharType="end"/>
      </w:r>
      <w:r>
        <w:rPr>
          <w:rFonts w:eastAsiaTheme="minorEastAsia"/>
        </w:rPr>
        <w:t xml:space="preserve"> to determine the daily Runoff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eastAsiaTheme="minorEastAsia"/>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3F608E37" w14:textId="77777777" w:rsidTr="00655DC3">
        <w:trPr>
          <w:trHeight w:val="20"/>
        </w:trPr>
        <w:tc>
          <w:tcPr>
            <w:tcW w:w="4574" w:type="pct"/>
          </w:tcPr>
          <w:p w14:paraId="63CCB9D9" w14:textId="77777777" w:rsidR="00995023" w:rsidRPr="001B0A30" w:rsidRDefault="00000000" w:rsidP="00A71588">
            <w:pPr>
              <w:tabs>
                <w:tab w:val="left" w:pos="567"/>
              </w:tabs>
              <w:spacing w:after="40"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+S</m:t>
                    </m:r>
                  </m:den>
                </m:f>
              </m:oMath>
            </m:oMathPara>
          </w:p>
        </w:tc>
        <w:tc>
          <w:tcPr>
            <w:tcW w:w="426" w:type="pct"/>
            <w:vAlign w:val="center"/>
          </w:tcPr>
          <w:p w14:paraId="40029D7D" w14:textId="652FA589" w:rsidR="00995023" w:rsidRDefault="00995023" w:rsidP="00A71588">
            <w:pPr>
              <w:spacing w:line="480" w:lineRule="auto"/>
              <w:jc w:val="center"/>
            </w:pPr>
            <w:r>
              <w:t>[</w:t>
            </w:r>
            <w:fldSimple w:instr=" SEQ Equation \* ARABIC ">
              <w:r w:rsidR="00E154AE">
                <w:rPr>
                  <w:noProof/>
                </w:rPr>
                <w:t>2</w:t>
              </w:r>
            </w:fldSimple>
            <w:r>
              <w:t>]</w:t>
            </w:r>
          </w:p>
        </w:tc>
      </w:tr>
    </w:tbl>
    <w:p w14:paraId="763CAA98" w14:textId="77777777" w:rsidR="00995023" w:rsidRDefault="00995023" w:rsidP="00A71588">
      <w:pPr>
        <w:pStyle w:val="ListParagraph"/>
        <w:tabs>
          <w:tab w:val="left" w:pos="567"/>
        </w:tabs>
        <w:spacing w:line="480" w:lineRule="auto"/>
        <w:ind w:left="0"/>
        <w:contextualSpacing w:val="0"/>
        <w:rPr>
          <w:rFonts w:eastAsiaTheme="minorEastAsia"/>
        </w:rPr>
      </w:pPr>
      <w:r w:rsidRPr="00A24880">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is the daily precipitation </w:t>
      </w:r>
      <m:oMath>
        <m:r>
          <w:rPr>
            <w:rFonts w:ascii="Cambria Math" w:eastAsiaTheme="minorEastAsia" w:hAnsi="Cambria Math"/>
          </w:rPr>
          <m:t>[mm/day]</m:t>
        </m:r>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eastAsiaTheme="minorEastAsia"/>
        </w:rPr>
        <w:t xml:space="preserve"> is the initial abstraction (i.e., interception, retention and infiltration) </w:t>
      </w:r>
      <m:oMath>
        <m:r>
          <w:rPr>
            <w:rFonts w:ascii="Cambria Math" w:eastAsiaTheme="minorEastAsia" w:hAnsi="Cambria Math"/>
          </w:rPr>
          <m:t>[mm/day]</m:t>
        </m:r>
      </m:oMath>
      <w:r>
        <w:rPr>
          <w:rFonts w:eastAsiaTheme="minorEastAsia"/>
        </w:rPr>
        <w:t xml:space="preserve"> determined by </w:t>
      </w:r>
      <m:oMath>
        <m:r>
          <w:rPr>
            <w:rFonts w:ascii="Cambria Math" w:eastAsiaTheme="minorEastAsia" w:hAnsi="Cambria Math"/>
          </w:rPr>
          <m:t>0.2S</m:t>
        </m:r>
      </m:oMath>
      <w:r>
        <w:rPr>
          <w:rFonts w:eastAsiaTheme="minorEastAsia"/>
        </w:rPr>
        <w:t xml:space="preserve">, and </w:t>
      </w:r>
      <m:oMath>
        <m:r>
          <w:rPr>
            <w:rFonts w:ascii="Cambria Math" w:eastAsiaTheme="minorEastAsia" w:hAnsi="Cambria Math"/>
          </w:rPr>
          <m:t>S</m:t>
        </m:r>
      </m:oMath>
      <w:r>
        <w:rPr>
          <w:rFonts w:eastAsiaTheme="minorEastAsia"/>
        </w:rPr>
        <w:t xml:space="preserve"> represents the potential maximum retention </w:t>
      </w:r>
      <m:oMath>
        <m:r>
          <w:rPr>
            <w:rFonts w:ascii="Cambria Math" w:eastAsiaTheme="minorEastAsia" w:hAnsi="Cambria Math"/>
          </w:rPr>
          <m:t>[mm/day]</m:t>
        </m:r>
      </m:oMath>
      <w:r>
        <w:rPr>
          <w:rFonts w:eastAsiaTheme="minorEastAsia"/>
        </w:rPr>
        <w:t xml:space="preserve"> defined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1B7017DB" w14:textId="77777777" w:rsidTr="00655DC3">
        <w:trPr>
          <w:trHeight w:val="20"/>
        </w:trPr>
        <w:tc>
          <w:tcPr>
            <w:tcW w:w="4574" w:type="pct"/>
          </w:tcPr>
          <w:p w14:paraId="10698886" w14:textId="77777777" w:rsidR="00995023" w:rsidRPr="001B0A30" w:rsidRDefault="00995023" w:rsidP="00A71588">
            <w:pPr>
              <w:tabs>
                <w:tab w:val="left" w:pos="567"/>
              </w:tabs>
              <w:spacing w:after="40" w:line="480" w:lineRule="auto"/>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25400</m:t>
                    </m:r>
                  </m:num>
                  <m:den>
                    <m:r>
                      <w:rPr>
                        <w:rFonts w:ascii="Cambria Math" w:hAnsi="Cambria Math"/>
                      </w:rPr>
                      <m:t>τ</m:t>
                    </m:r>
                  </m:den>
                </m:f>
                <m:r>
                  <w:rPr>
                    <w:rFonts w:ascii="Cambria Math" w:hAnsi="Cambria Math"/>
                  </w:rPr>
                  <m:t>-254</m:t>
                </m:r>
              </m:oMath>
            </m:oMathPara>
          </w:p>
        </w:tc>
        <w:tc>
          <w:tcPr>
            <w:tcW w:w="426" w:type="pct"/>
            <w:vAlign w:val="center"/>
          </w:tcPr>
          <w:p w14:paraId="3BA74789" w14:textId="20B40819" w:rsidR="00995023" w:rsidRDefault="00995023" w:rsidP="00A71588">
            <w:pPr>
              <w:spacing w:line="480" w:lineRule="auto"/>
              <w:jc w:val="center"/>
            </w:pPr>
            <w:r>
              <w:t>[</w:t>
            </w:r>
            <w:fldSimple w:instr=" SEQ Equation \* ARABIC ">
              <w:r w:rsidR="00E154AE">
                <w:rPr>
                  <w:noProof/>
                </w:rPr>
                <w:t>3</w:t>
              </w:r>
            </w:fldSimple>
            <w:r>
              <w:t>]</w:t>
            </w:r>
          </w:p>
        </w:tc>
      </w:tr>
    </w:tbl>
    <w:p w14:paraId="364FF22B" w14:textId="6FBD6505" w:rsidR="00995023" w:rsidRPr="00A24880" w:rsidRDefault="00995023" w:rsidP="00A71588">
      <w:pPr>
        <w:pStyle w:val="ListParagraph"/>
        <w:tabs>
          <w:tab w:val="left" w:pos="567"/>
        </w:tabs>
        <w:spacing w:line="480" w:lineRule="auto"/>
        <w:ind w:left="0"/>
        <w:contextualSpacing w:val="0"/>
      </w:pPr>
      <w:r>
        <w:rPr>
          <w:rFonts w:eastAsiaTheme="minorEastAsia"/>
        </w:rPr>
        <w:t xml:space="preserve">where </w:t>
      </w:r>
      <m:oMath>
        <m:r>
          <w:rPr>
            <w:rFonts w:ascii="Cambria Math" w:hAnsi="Cambria Math"/>
          </w:rPr>
          <m:t>τ</m:t>
        </m:r>
      </m:oMath>
      <w:r>
        <w:rPr>
          <w:rFonts w:eastAsiaTheme="minorEastAsia"/>
        </w:rPr>
        <w:t xml:space="preserve"> is the runoff curve which relies on the hydrologic soil groups </w:t>
      </w:r>
      <w:r>
        <w:rPr>
          <w:rFonts w:eastAsiaTheme="minorEastAsia"/>
        </w:rPr>
        <w:fldChar w:fldCharType="begin" w:fldLock="1"/>
      </w:r>
      <w:r w:rsidR="00087C3C">
        <w:rPr>
          <w:rFonts w:eastAsiaTheme="minorEastAsia"/>
        </w:rPr>
        <w:instrText>ADDIN CSL_CITATION {"citationItems":[{"id":"ITEM-1","itemData":{"author":[{"dropping-particle":"","family":"Minnesota Stormwater Committee","given":"","non-dropping-particle":"","parse-names":false,"suffix":""}],"container-title":"Minnesota Pollution Control Agency","id":"ITEM-1","issued":{"date-parts":[["2008"]]},"number-of-pages":"885","title":"Minnesota Stormwater Manual","type":"book","volume":"2"},"uris":["http://www.mendeley.com/documents/?uuid=7711736b-9f74-423b-a07c-34d4d8076589"]}],"mendeley":{"formattedCitation":"(Minnesota Stormwater Committee, 2008)","plainTextFormattedCitation":"(Minnesota Stormwater Committee, 2008)","previouslyFormattedCitation":"(Minnesota Stormwater Committee, 2008)"},"properties":{"noteIndex":0},"schema":"https://github.com/citation-style-language/schema/raw/master/csl-citation.json"}</w:instrText>
      </w:r>
      <w:r>
        <w:rPr>
          <w:rFonts w:eastAsiaTheme="minorEastAsia"/>
        </w:rPr>
        <w:fldChar w:fldCharType="separate"/>
      </w:r>
      <w:r w:rsidR="00087C3C" w:rsidRPr="00087C3C">
        <w:rPr>
          <w:rFonts w:eastAsiaTheme="minorEastAsia"/>
          <w:noProof/>
        </w:rPr>
        <w:t>(Minnesota Stormwater Committee, 2008)</w:t>
      </w:r>
      <w:r>
        <w:rPr>
          <w:rFonts w:eastAsiaTheme="minorEastAsia"/>
        </w:rPr>
        <w:fldChar w:fldCharType="end"/>
      </w:r>
      <w:r>
        <w:rPr>
          <w:rFonts w:eastAsiaTheme="minorEastAsia"/>
        </w:rPr>
        <w:t>.</w:t>
      </w:r>
    </w:p>
    <w:p w14:paraId="4D6987E1"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lastRenderedPageBreak/>
        <w:t>Deep percolation</w:t>
      </w:r>
    </w:p>
    <w:p w14:paraId="340A2BA5" w14:textId="71C5D42C" w:rsidR="00995023" w:rsidRPr="00FE371A" w:rsidRDefault="00995023" w:rsidP="00A71588">
      <w:pPr>
        <w:pStyle w:val="ListParagraph"/>
        <w:tabs>
          <w:tab w:val="left" w:pos="284"/>
        </w:tabs>
        <w:spacing w:line="480" w:lineRule="auto"/>
        <w:ind w:left="0"/>
        <w:contextualSpacing w:val="0"/>
        <w:rPr>
          <w:b/>
          <w:bCs/>
        </w:rPr>
      </w:pPr>
      <w:r>
        <w:t xml:space="preserve">It is the amount of water transferred between the soil root zone and the water table when the field capacity is reached </w:t>
      </w:r>
      <w:r>
        <w:rPr>
          <w:rFonts w:eastAsiaTheme="minorEastAsia"/>
        </w:rPr>
        <w:fldChar w:fldCharType="begin" w:fldLock="1"/>
      </w:r>
      <w:r w:rsidR="00087C3C">
        <w:rPr>
          <w:rFonts w:eastAsiaTheme="minorEastAsia"/>
        </w:rPr>
        <w:instrText>ADDIN CSL_CITATION {"citationItems":[{"id":"ITEM-1","itemData":{"DOI":"https://doi.org/10.1029/2007WR006380","abstract":"A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model).","author":[{"dropping-particle":"","family":"Bethune","given":"M G","non-dropping-particle":"","parse-names":false,"suffix":""},{"dropping-particle":"","family":"Selle","given":"B","non-dropping-particle":"","parse-names":false,"suffix":""},{"dropping-particle":"","family":"Wang","given":"Q J","non-dropping-particle":"","parse-names":false,"suffix":""}],"container-title":"Water Resources Research","id":"ITEM-1","issue":"12","issued":{"date-parts":[["2008"]]},"title":"Understanding and predicting deep percolation under surface irrigation","type":"article-journal","volume":"44"},"uris":["http://www.mendeley.com/documents/?uuid=280db599-70ad-4ea3-8ffa-cdeb82591919"]}],"mendeley":{"formattedCitation":"(Bethune et al., 2008)","plainTextFormattedCitation":"(Bethune et al., 2008)","previouslyFormattedCitation":"(Bethune et al., 2008)"},"properties":{"noteIndex":0},"schema":"https://github.com/citation-style-language/schema/raw/master/csl-citation.json"}</w:instrText>
      </w:r>
      <w:r>
        <w:rPr>
          <w:rFonts w:eastAsiaTheme="minorEastAsia"/>
        </w:rPr>
        <w:fldChar w:fldCharType="separate"/>
      </w:r>
      <w:r w:rsidR="00087C3C" w:rsidRPr="00087C3C">
        <w:rPr>
          <w:rFonts w:eastAsiaTheme="minorEastAsia"/>
          <w:noProof/>
        </w:rPr>
        <w:t>(Bethune et al., 2008)</w:t>
      </w:r>
      <w:r>
        <w:rPr>
          <w:rFonts w:eastAsiaTheme="minorEastAsia"/>
        </w:rPr>
        <w:fldChar w:fldCharType="end"/>
      </w:r>
      <w:r>
        <w:t xml:space="preserve">. If in regular conditions the rainfall and controlled irrigation does not allow the water content to reach field capacity, no water will be </w:t>
      </w:r>
      <w:r w:rsidRPr="000D5A0D">
        <w:t>released</w:t>
      </w:r>
      <w:r>
        <w:t xml:space="preserve"> in the water table. </w:t>
      </w:r>
      <w:r w:rsidRPr="000D5A0D">
        <w:t>As long as this situation does not occur, the water will remain on the ground.</w:t>
      </w:r>
    </w:p>
    <w:p w14:paraId="2B211050" w14:textId="77777777" w:rsidR="00D070FD" w:rsidRDefault="00995023" w:rsidP="00643BDD">
      <w:pPr>
        <w:pStyle w:val="ListParagraph"/>
        <w:numPr>
          <w:ilvl w:val="2"/>
          <w:numId w:val="2"/>
        </w:numPr>
        <w:tabs>
          <w:tab w:val="left" w:pos="284"/>
        </w:tabs>
        <w:spacing w:after="0" w:line="480" w:lineRule="auto"/>
        <w:ind w:left="0" w:firstLine="0"/>
        <w:contextualSpacing w:val="0"/>
      </w:pPr>
      <w:r>
        <w:rPr>
          <w:b/>
          <w:bCs/>
        </w:rPr>
        <w:t xml:space="preserve">Evapotranspiration </w:t>
      </w:r>
      <m:oMath>
        <m:r>
          <m:rPr>
            <m:sty m:val="bi"/>
          </m:rPr>
          <w:rPr>
            <w:rFonts w:ascii="Cambria Math" w:hAnsi="Cambria Math"/>
          </w:rPr>
          <m:t>(E</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m:t>
        </m:r>
      </m:oMath>
    </w:p>
    <w:p w14:paraId="2F8810F0" w14:textId="08ADED8F" w:rsidR="00995023" w:rsidRDefault="00995023" w:rsidP="00A71588">
      <w:pPr>
        <w:pStyle w:val="ListParagraph"/>
        <w:tabs>
          <w:tab w:val="left" w:pos="284"/>
        </w:tabs>
        <w:spacing w:line="480" w:lineRule="auto"/>
        <w:ind w:left="0"/>
        <w:contextualSpacing w:val="0"/>
      </w:pPr>
      <w:r>
        <w:t xml:space="preserve">It is the evapotranspiration of a </w:t>
      </w:r>
      <w:r w:rsidRPr="00386F26">
        <w:t xml:space="preserve">hypothetical grass reference </w:t>
      </w:r>
      <w:r w:rsidRPr="004F1E42">
        <w:rPr>
          <w:szCs w:val="24"/>
        </w:rPr>
        <w:t xml:space="preserve">surface </w:t>
      </w:r>
      <w:r w:rsidRPr="004F1E42">
        <w:rPr>
          <w:szCs w:val="24"/>
        </w:rPr>
        <w:fldChar w:fldCharType="begin" w:fldLock="1"/>
      </w:r>
      <w:r w:rsidR="00087C3C">
        <w:rPr>
          <w:szCs w:val="24"/>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4F1E42">
        <w:rPr>
          <w:szCs w:val="24"/>
        </w:rPr>
        <w:fldChar w:fldCharType="separate"/>
      </w:r>
      <w:r w:rsidR="00087C3C" w:rsidRPr="00087C3C">
        <w:rPr>
          <w:noProof/>
          <w:szCs w:val="24"/>
        </w:rPr>
        <w:t>(Allen et al., 2006)</w:t>
      </w:r>
      <w:r w:rsidRPr="004F1E42">
        <w:rPr>
          <w:szCs w:val="24"/>
        </w:rPr>
        <w:fldChar w:fldCharType="end"/>
      </w:r>
      <w:r>
        <w:rPr>
          <w:szCs w:val="24"/>
        </w:rPr>
        <w:t xml:space="preserve"> and </w:t>
      </w:r>
      <w:r>
        <w:t xml:space="preserve">relies on certain climatic factors as temperature, humidity, wind speed and sunshine (hours). This study determines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w:r>
        <w:t xml:space="preserve"> using the Penman-Monteith formula</w:t>
      </w:r>
      <w:r w:rsidR="00154085">
        <w:t xml:space="preserve"> (</w:t>
      </w:r>
      <w:r w:rsidR="00154085" w:rsidRPr="006476A1">
        <w:t xml:space="preserve">for more details see Appendix </w:t>
      </w:r>
      <w:r w:rsidR="00BF7EA7">
        <w:t>E</w:t>
      </w:r>
      <w:r w:rsidR="00154085" w:rsidRPr="006476A1">
        <w:t>).</w:t>
      </w:r>
      <w:r w:rsidR="00154085">
        <w:t xml:space="preserve"> </w:t>
      </w:r>
      <w:r>
        <w:rPr>
          <w:rFonts w:eastAsiaTheme="minorEastAsia"/>
        </w:rPr>
        <w:t xml:space="preserve">It is important to determine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to calculate the crop evapotranspiration since is the </w:t>
      </w:r>
      <w:r w:rsidRPr="00221EDD">
        <w:rPr>
          <w:rFonts w:eastAsiaTheme="minorEastAsia"/>
        </w:rPr>
        <w:t>most accepted</w:t>
      </w:r>
      <w:r>
        <w:rPr>
          <w:rFonts w:eastAsiaTheme="minorEastAsia"/>
        </w:rPr>
        <w:t xml:space="preserve"> specific crop</w:t>
      </w:r>
      <w:r w:rsidRPr="00221EDD">
        <w:rPr>
          <w:rFonts w:eastAsiaTheme="minorEastAsia"/>
        </w:rPr>
        <w:t xml:space="preserve"> evapotranspiration calculation strategy</w:t>
      </w:r>
      <w:r>
        <w:rPr>
          <w:rFonts w:eastAsiaTheme="minorEastAsia"/>
        </w:rPr>
        <w:t xml:space="preserve">. The </w:t>
      </w:r>
      <w:r>
        <w:rPr>
          <w:rFonts w:eastAsiaTheme="minorEastAsia"/>
        </w:rPr>
        <w:fldChar w:fldCharType="begin"/>
      </w:r>
      <w:r>
        <w:rPr>
          <w:rFonts w:eastAsiaTheme="minorEastAsia"/>
        </w:rPr>
        <w:instrText xml:space="preserve"> REF _Ref102657249 \h  \* MERGEFORMAT </w:instrText>
      </w:r>
      <w:r>
        <w:rPr>
          <w:rFonts w:eastAsiaTheme="minorEastAsia"/>
        </w:rPr>
      </w:r>
      <w:r>
        <w:rPr>
          <w:rFonts w:eastAsiaTheme="minorEastAsia"/>
        </w:rPr>
        <w:fldChar w:fldCharType="separate"/>
      </w:r>
      <w:r w:rsidR="00E154AE" w:rsidRPr="00E154AE">
        <w:rPr>
          <w:rFonts w:eastAsiaTheme="minorEastAsia"/>
        </w:rPr>
        <w:t>Figure 2</w:t>
      </w:r>
      <w:r>
        <w:rPr>
          <w:rFonts w:eastAsiaTheme="minorEastAsia"/>
        </w:rPr>
        <w:fldChar w:fldCharType="end"/>
      </w:r>
      <w:r>
        <w:rPr>
          <w:rFonts w:eastAsiaTheme="minorEastAsia"/>
        </w:rPr>
        <w:t xml:space="preserve"> shows how to calculate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from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has a soil component (evaporation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Pr>
          <w:rFonts w:eastAsiaTheme="minorEastAsia"/>
        </w:rPr>
        <w:t xml:space="preserve">) and a crop component (transpiration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Pr>
          <w:rFonts w:eastAsiaTheme="minorEastAsia"/>
        </w:rPr>
        <w:t xml:space="preserve">), </w:t>
      </w:r>
      <w:r>
        <w:t>t</w:t>
      </w:r>
      <w:r w:rsidRPr="00F5093E">
        <w:t>he</w:t>
      </w:r>
      <w:r>
        <w:t>n</w:t>
      </w:r>
      <w:r w:rsidRPr="00F5093E">
        <w:t xml:space="preserve">, water from the root zone is lost </w:t>
      </w:r>
      <w:r>
        <w:t xml:space="preserve">(or depleted) </w:t>
      </w:r>
      <w:r w:rsidRPr="00F5093E">
        <w:t xml:space="preserve">throughout the crop </w:t>
      </w:r>
      <w:r>
        <w:t xml:space="preserve">transpiration </w:t>
      </w:r>
      <w:r w:rsidRPr="00F5093E">
        <w:t xml:space="preserve">and the </w:t>
      </w:r>
      <w:r>
        <w:t>soil by way of evaporation</w:t>
      </w:r>
      <w:bookmarkStart w:id="6" w:name="_Hlk102829184"/>
      <w:r w:rsidR="00154085">
        <w:t>.</w:t>
      </w:r>
    </w:p>
    <w:p w14:paraId="64231BE3" w14:textId="4EACEED9" w:rsidR="00995023" w:rsidRDefault="00995023" w:rsidP="00643BDD">
      <w:pPr>
        <w:spacing w:line="480" w:lineRule="auto"/>
        <w:ind w:firstLine="720"/>
      </w:pPr>
      <w:r>
        <w:t xml:space="preserve">Nevertheless, in agroforestry systems the water loss produced by evaporation it is usually negligible since there is no </w:t>
      </w:r>
      <w:r w:rsidRPr="000D5657">
        <w:t>fraction of soil exposed</w:t>
      </w:r>
      <w:r>
        <w:t xml:space="preserve">, then in the equation </w:t>
      </w:r>
      <w:r>
        <w:fldChar w:fldCharType="begin"/>
      </w:r>
      <w:r>
        <w:instrText xml:space="preserve"> REF _Ref102813376 \h </w:instrText>
      </w:r>
      <w:r w:rsidR="00A71588">
        <w:instrText xml:space="preserve"> \* MERGEFORMAT </w:instrText>
      </w:r>
      <w:r>
        <w:fldChar w:fldCharType="separate"/>
      </w:r>
      <w:r w:rsidR="00E154AE">
        <w:t>[</w:t>
      </w:r>
      <w:r w:rsidR="00E154AE">
        <w:rPr>
          <w:noProof/>
        </w:rPr>
        <w:t>4</w:t>
      </w:r>
      <w:r w:rsidR="00E154AE">
        <w:t>]</w:t>
      </w:r>
      <w:r>
        <w:fldChar w:fldCharType="end"/>
      </w:r>
      <w: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m:t>
        </m:r>
      </m:oMath>
      <w:r>
        <w:t xml:space="preserve">. </w:t>
      </w:r>
      <w:bookmarkEnd w:id="6"/>
      <w:r>
        <w:t xml:space="preserve">Then the water loss in the ground is only produced by way of crop transpiration.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3307B76E" w14:textId="77777777" w:rsidTr="00655DC3">
        <w:tc>
          <w:tcPr>
            <w:tcW w:w="4574" w:type="pct"/>
          </w:tcPr>
          <w:p w14:paraId="31F1B134"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sSub>
                  <m:sSubPr>
                    <m:ctrlPr>
                      <w:rPr>
                        <w:rFonts w:ascii="Cambria Math" w:hAnsi="Cambria Math"/>
                        <w:i/>
                        <w:strike/>
                      </w:rPr>
                    </m:ctrlPr>
                  </m:sSubPr>
                  <m:e>
                    <m:r>
                      <w:rPr>
                        <w:rFonts w:ascii="Cambria Math" w:hAnsi="Cambria Math"/>
                        <w:strike/>
                      </w:rPr>
                      <m:t>k</m:t>
                    </m:r>
                  </m:e>
                  <m:sub>
                    <m:r>
                      <w:rPr>
                        <w:rFonts w:ascii="Cambria Math" w:hAnsi="Cambria Math"/>
                        <w:strike/>
                      </w:rPr>
                      <m:t>e</m:t>
                    </m:r>
                  </m:sub>
                </m:sSub>
                <m:r>
                  <w:rPr>
                    <w:rFonts w:ascii="Cambria Math" w:hAnsi="Cambria Math"/>
                    <w:strike/>
                  </w:rPr>
                  <m:t>E</m:t>
                </m:r>
                <m:sSub>
                  <m:sSubPr>
                    <m:ctrlPr>
                      <w:rPr>
                        <w:rFonts w:ascii="Cambria Math" w:hAnsi="Cambria Math"/>
                        <w:i/>
                        <w:strike/>
                      </w:rPr>
                    </m:ctrlPr>
                  </m:sSubPr>
                  <m:e>
                    <m:r>
                      <w:rPr>
                        <w:rFonts w:ascii="Cambria Math" w:hAnsi="Cambria Math"/>
                        <w:strike/>
                      </w:rPr>
                      <m:t>T</m:t>
                    </m:r>
                  </m:e>
                  <m:sub>
                    <m:r>
                      <w:rPr>
                        <w:rFonts w:ascii="Cambria Math" w:hAnsi="Cambria Math"/>
                        <w:strike/>
                      </w:rPr>
                      <m:t>o</m:t>
                    </m:r>
                  </m:sub>
                </m:sSub>
              </m:oMath>
            </m:oMathPara>
          </w:p>
        </w:tc>
        <w:tc>
          <w:tcPr>
            <w:tcW w:w="426" w:type="pct"/>
          </w:tcPr>
          <w:p w14:paraId="2027D449" w14:textId="72994AAD" w:rsidR="00995023" w:rsidRDefault="00995023" w:rsidP="00A71588">
            <w:pPr>
              <w:spacing w:after="40" w:line="480" w:lineRule="auto"/>
            </w:pPr>
            <w:bookmarkStart w:id="7" w:name="_Ref102813376"/>
            <w:r>
              <w:t>[</w:t>
            </w:r>
            <w:fldSimple w:instr=" SEQ Equation \* ARABIC ">
              <w:r w:rsidR="00E154AE">
                <w:rPr>
                  <w:noProof/>
                </w:rPr>
                <w:t>4</w:t>
              </w:r>
            </w:fldSimple>
            <w:r>
              <w:t>]</w:t>
            </w:r>
            <w:bookmarkEnd w:id="7"/>
          </w:p>
        </w:tc>
      </w:tr>
      <w:tr w:rsidR="00995023" w14:paraId="63284559" w14:textId="77777777" w:rsidTr="00655DC3">
        <w:tc>
          <w:tcPr>
            <w:tcW w:w="4574" w:type="pct"/>
          </w:tcPr>
          <w:p w14:paraId="4A14D8AB"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m:oMathPara>
          </w:p>
        </w:tc>
        <w:tc>
          <w:tcPr>
            <w:tcW w:w="426" w:type="pct"/>
          </w:tcPr>
          <w:p w14:paraId="1CC8EC91" w14:textId="7CC42193" w:rsidR="00995023" w:rsidRDefault="00995023" w:rsidP="00A71588">
            <w:pPr>
              <w:spacing w:after="40" w:line="480" w:lineRule="auto"/>
            </w:pPr>
            <w:bookmarkStart w:id="8" w:name="_Ref102815436"/>
            <w:r>
              <w:t>[</w:t>
            </w:r>
            <w:fldSimple w:instr=" SEQ Equation \* ARABIC ">
              <w:r w:rsidR="00E154AE">
                <w:rPr>
                  <w:noProof/>
                </w:rPr>
                <w:t>5</w:t>
              </w:r>
            </w:fldSimple>
            <w:r>
              <w:t>]</w:t>
            </w:r>
            <w:bookmarkEnd w:id="8"/>
          </w:p>
        </w:tc>
      </w:tr>
    </w:tbl>
    <w:p w14:paraId="6DCFD924" w14:textId="77777777" w:rsidR="00643BDD" w:rsidRDefault="00643BDD" w:rsidP="00A71588">
      <w:pPr>
        <w:spacing w:before="120" w:after="40" w:line="480" w:lineRule="auto"/>
        <w:jc w:val="center"/>
        <w:rPr>
          <w:noProof/>
          <w:color w:val="FF0000"/>
        </w:rPr>
      </w:pPr>
    </w:p>
    <w:p w14:paraId="3B872C38" w14:textId="77777777" w:rsidR="00643BDD" w:rsidRDefault="00643BDD" w:rsidP="00A71588">
      <w:pPr>
        <w:spacing w:before="120" w:after="40" w:line="480" w:lineRule="auto"/>
        <w:jc w:val="center"/>
        <w:rPr>
          <w:noProof/>
          <w:color w:val="FF0000"/>
        </w:rPr>
      </w:pPr>
    </w:p>
    <w:p w14:paraId="24F2639A" w14:textId="77777777" w:rsidR="00BF7EA7" w:rsidRDefault="00BF7EA7" w:rsidP="00643BDD">
      <w:pPr>
        <w:pStyle w:val="Caption"/>
        <w:spacing w:after="0"/>
        <w:jc w:val="left"/>
        <w:rPr>
          <w:i w:val="0"/>
          <w:iCs w:val="0"/>
          <w:color w:val="auto"/>
          <w:sz w:val="20"/>
          <w:szCs w:val="20"/>
        </w:rPr>
      </w:pPr>
      <w:bookmarkStart w:id="9" w:name="_Ref102657249"/>
    </w:p>
    <w:p w14:paraId="633B27C3" w14:textId="1ACD7E3C" w:rsidR="00643BDD" w:rsidRDefault="00643BDD" w:rsidP="00643BDD">
      <w:pPr>
        <w:pStyle w:val="Caption"/>
        <w:spacing w:after="0"/>
        <w:jc w:val="left"/>
        <w:rPr>
          <w:i w:val="0"/>
          <w:iCs w:val="0"/>
          <w:color w:val="auto"/>
          <w:sz w:val="20"/>
          <w:szCs w:val="20"/>
        </w:rPr>
      </w:pPr>
      <w:r w:rsidRPr="00382AA6">
        <w:rPr>
          <w:i w:val="0"/>
          <w:iCs w:val="0"/>
          <w:color w:val="auto"/>
          <w:sz w:val="20"/>
          <w:szCs w:val="20"/>
        </w:rPr>
        <w:lastRenderedPageBreak/>
        <w:t xml:space="preserve">Figure </w:t>
      </w:r>
      <w:r w:rsidR="00BF7EA7">
        <w:rPr>
          <w:i w:val="0"/>
          <w:iCs w:val="0"/>
          <w:color w:val="auto"/>
          <w:sz w:val="20"/>
          <w:szCs w:val="20"/>
        </w:rPr>
        <w:t>B</w:t>
      </w:r>
      <w:r w:rsidRPr="00382AA6">
        <w:rPr>
          <w:i w:val="0"/>
          <w:iCs w:val="0"/>
          <w:color w:val="auto"/>
          <w:sz w:val="20"/>
          <w:szCs w:val="20"/>
        </w:rPr>
        <w:fldChar w:fldCharType="begin"/>
      </w:r>
      <w:r w:rsidRPr="00382AA6">
        <w:rPr>
          <w:i w:val="0"/>
          <w:iCs w:val="0"/>
          <w:color w:val="auto"/>
          <w:sz w:val="20"/>
          <w:szCs w:val="20"/>
        </w:rPr>
        <w:instrText xml:space="preserve"> SEQ Figure \* ARABIC </w:instrText>
      </w:r>
      <w:r w:rsidRPr="00382AA6">
        <w:rPr>
          <w:i w:val="0"/>
          <w:iCs w:val="0"/>
          <w:color w:val="auto"/>
          <w:sz w:val="20"/>
          <w:szCs w:val="20"/>
        </w:rPr>
        <w:fldChar w:fldCharType="separate"/>
      </w:r>
      <w:r>
        <w:rPr>
          <w:i w:val="0"/>
          <w:iCs w:val="0"/>
          <w:noProof/>
          <w:color w:val="auto"/>
          <w:sz w:val="20"/>
          <w:szCs w:val="20"/>
        </w:rPr>
        <w:t>2</w:t>
      </w:r>
      <w:r w:rsidRPr="00382AA6">
        <w:rPr>
          <w:i w:val="0"/>
          <w:iCs w:val="0"/>
          <w:color w:val="auto"/>
          <w:sz w:val="20"/>
          <w:szCs w:val="20"/>
        </w:rPr>
        <w:fldChar w:fldCharType="end"/>
      </w:r>
      <w:bookmarkEnd w:id="9"/>
      <w:r w:rsidRPr="00643BDD">
        <w:rPr>
          <w:i w:val="0"/>
          <w:iCs w:val="0"/>
          <w:color w:val="FFFFFF" w:themeColor="background1"/>
          <w:sz w:val="20"/>
          <w:szCs w:val="20"/>
        </w:rPr>
        <w:t xml:space="preserve">: </w:t>
      </w:r>
      <m:oMath>
        <m:r>
          <w:rPr>
            <w:rFonts w:ascii="Cambria Math" w:hAnsi="Cambria Math"/>
            <w:color w:val="FFFFFF" w:themeColor="background1"/>
            <w:sz w:val="20"/>
            <w:szCs w:val="20"/>
          </w:rPr>
          <m:t>E</m:t>
        </m:r>
        <m:sSub>
          <m:sSubPr>
            <m:ctrlPr>
              <w:rPr>
                <w:rFonts w:ascii="Cambria Math" w:hAnsi="Cambria Math"/>
                <w:iCs w:val="0"/>
                <w:color w:val="FFFFFF" w:themeColor="background1"/>
                <w:sz w:val="20"/>
                <w:szCs w:val="20"/>
              </w:rPr>
            </m:ctrlPr>
          </m:sSubPr>
          <m:e>
            <m:r>
              <w:rPr>
                <w:rFonts w:ascii="Cambria Math" w:hAnsi="Cambria Math"/>
                <w:color w:val="FFFFFF" w:themeColor="background1"/>
                <w:sz w:val="20"/>
                <w:szCs w:val="20"/>
              </w:rPr>
              <m:t>T</m:t>
            </m:r>
          </m:e>
          <m:sub>
            <m:r>
              <w:rPr>
                <w:rFonts w:ascii="Cambria Math" w:hAnsi="Cambria Math"/>
                <w:color w:val="FFFFFF" w:themeColor="background1"/>
                <w:sz w:val="20"/>
                <w:szCs w:val="20"/>
              </w:rPr>
              <m:t>c</m:t>
            </m:r>
          </m:sub>
        </m:sSub>
      </m:oMath>
      <w:r w:rsidRPr="00643BDD">
        <w:rPr>
          <w:rFonts w:eastAsiaTheme="minorEastAsia"/>
          <w:i w:val="0"/>
          <w:iCs w:val="0"/>
          <w:color w:val="FFFFFF" w:themeColor="background1"/>
          <w:sz w:val="20"/>
          <w:szCs w:val="20"/>
        </w:rPr>
        <w:t xml:space="preserve"> calculation in cocoa crop</w:t>
      </w:r>
      <w:r w:rsidRPr="00643BDD">
        <w:rPr>
          <w:i w:val="0"/>
          <w:iCs w:val="0"/>
          <w:color w:val="FFFFFF" w:themeColor="background1"/>
          <w:sz w:val="20"/>
          <w:szCs w:val="20"/>
        </w:rPr>
        <w:t xml:space="preserve">. Adapted from Allen et al. </w:t>
      </w:r>
      <w:r w:rsidRPr="00643BDD">
        <w:rPr>
          <w:i w:val="0"/>
          <w:iCs w:val="0"/>
          <w:color w:val="FFFFFF" w:themeColor="background1"/>
          <w:sz w:val="20"/>
          <w:szCs w:val="20"/>
        </w:rPr>
        <w:fldChar w:fldCharType="begin" w:fldLock="1"/>
      </w:r>
      <w:r w:rsidRPr="00643BDD">
        <w:rPr>
          <w:i w:val="0"/>
          <w:iCs w:val="0"/>
          <w:color w:val="FFFFFF" w:themeColor="background1"/>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643BDD">
        <w:rPr>
          <w:i w:val="0"/>
          <w:iCs w:val="0"/>
          <w:color w:val="FFFFFF" w:themeColor="background1"/>
          <w:sz w:val="20"/>
          <w:szCs w:val="20"/>
        </w:rPr>
        <w:fldChar w:fldCharType="separate"/>
      </w:r>
      <w:r w:rsidRPr="00643BDD">
        <w:rPr>
          <w:i w:val="0"/>
          <w:iCs w:val="0"/>
          <w:noProof/>
          <w:color w:val="FFFFFF" w:themeColor="background1"/>
          <w:sz w:val="20"/>
          <w:szCs w:val="20"/>
        </w:rPr>
        <w:t>(2006)</w:t>
      </w:r>
      <w:r w:rsidRPr="00643BDD">
        <w:rPr>
          <w:i w:val="0"/>
          <w:iCs w:val="0"/>
          <w:color w:val="FFFFFF" w:themeColor="background1"/>
          <w:sz w:val="20"/>
          <w:szCs w:val="20"/>
        </w:rPr>
        <w:fldChar w:fldCharType="end"/>
      </w:r>
      <w:r w:rsidRPr="00643BDD">
        <w:rPr>
          <w:i w:val="0"/>
          <w:iCs w:val="0"/>
          <w:color w:val="FFFFFF" w:themeColor="background1"/>
          <w:sz w:val="20"/>
          <w:szCs w:val="20"/>
        </w:rPr>
        <w:t>.</w:t>
      </w:r>
    </w:p>
    <w:p w14:paraId="4C0F1C9E" w14:textId="7AC9AAD8" w:rsidR="00643BDD" w:rsidRPr="00643BDD" w:rsidRDefault="00643BDD" w:rsidP="00643BDD">
      <w:pPr>
        <w:jc w:val="left"/>
      </w:pPr>
      <m:oMath>
        <m:r>
          <w:rPr>
            <w:rFonts w:ascii="Cambria Math" w:hAnsi="Cambria Math"/>
            <w:sz w:val="20"/>
            <w:szCs w:val="20"/>
          </w:rPr>
          <m:t>E</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m:t>
            </m:r>
          </m:sub>
        </m:sSub>
      </m:oMath>
      <w:r>
        <w:rPr>
          <w:rFonts w:eastAsiaTheme="minorEastAsia"/>
          <w:sz w:val="20"/>
          <w:szCs w:val="20"/>
        </w:rPr>
        <w:t xml:space="preserve"> calculation in cocoa crop</w:t>
      </w:r>
      <w:r w:rsidRPr="00382AA6">
        <w:rPr>
          <w:sz w:val="20"/>
          <w:szCs w:val="20"/>
        </w:rPr>
        <w:t>. Adapted from</w:t>
      </w:r>
      <w:r>
        <w:rPr>
          <w:sz w:val="20"/>
          <w:szCs w:val="20"/>
        </w:rPr>
        <w:t xml:space="preserve"> Allen </w:t>
      </w:r>
      <w:r w:rsidRPr="00563622">
        <w:rPr>
          <w:sz w:val="20"/>
          <w:szCs w:val="20"/>
        </w:rPr>
        <w:t xml:space="preserve">et al. </w:t>
      </w:r>
      <w:r w:rsidRPr="00563622">
        <w:rPr>
          <w:i/>
          <w:iCs/>
          <w:sz w:val="20"/>
          <w:szCs w:val="20"/>
        </w:rPr>
        <w:fldChar w:fldCharType="begin" w:fldLock="1"/>
      </w:r>
      <w:r>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563622">
        <w:rPr>
          <w:i/>
          <w:iCs/>
          <w:sz w:val="20"/>
          <w:szCs w:val="20"/>
        </w:rPr>
        <w:fldChar w:fldCharType="separate"/>
      </w:r>
      <w:r w:rsidRPr="00087C3C">
        <w:rPr>
          <w:noProof/>
          <w:sz w:val="20"/>
          <w:szCs w:val="20"/>
        </w:rPr>
        <w:t>(2006)</w:t>
      </w:r>
      <w:r w:rsidRPr="00563622">
        <w:rPr>
          <w:i/>
          <w:iCs/>
          <w:sz w:val="20"/>
          <w:szCs w:val="20"/>
        </w:rPr>
        <w:fldChar w:fldCharType="end"/>
      </w:r>
      <w:r w:rsidRPr="00563622">
        <w:rPr>
          <w:sz w:val="20"/>
          <w:szCs w:val="20"/>
        </w:rPr>
        <w:t>.</w:t>
      </w:r>
    </w:p>
    <w:p w14:paraId="062C874E" w14:textId="69EE1606" w:rsidR="008E432E" w:rsidRDefault="008E432E" w:rsidP="00A71588">
      <w:pPr>
        <w:spacing w:before="120" w:after="40" w:line="480" w:lineRule="auto"/>
        <w:jc w:val="center"/>
        <w:rPr>
          <w:color w:val="FF0000"/>
        </w:rPr>
      </w:pPr>
      <w:r>
        <w:rPr>
          <w:noProof/>
          <w:color w:val="FF0000"/>
        </w:rPr>
        <w:drawing>
          <wp:inline distT="0" distB="0" distL="0" distR="0" wp14:anchorId="0452281E" wp14:editId="4FE2C796">
            <wp:extent cx="3217384" cy="252374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8864" cy="2571969"/>
                    </a:xfrm>
                    <a:prstGeom prst="rect">
                      <a:avLst/>
                    </a:prstGeom>
                    <a:noFill/>
                  </pic:spPr>
                </pic:pic>
              </a:graphicData>
            </a:graphic>
          </wp:inline>
        </w:drawing>
      </w:r>
    </w:p>
    <w:p w14:paraId="1AF95CE6" w14:textId="5B53CD1A" w:rsidR="00995023" w:rsidRDefault="00995023" w:rsidP="00643BDD">
      <w:pPr>
        <w:autoSpaceDE w:val="0"/>
        <w:autoSpaceDN w:val="0"/>
        <w:adjustRightInd w:val="0"/>
        <w:spacing w:before="120" w:after="120" w:line="480" w:lineRule="auto"/>
        <w:ind w:firstLine="720"/>
        <w:rPr>
          <w:rFonts w:ascii="TimesNewRoman" w:hAnsi="TimesNewRoman" w:cs="TimesNewRoman"/>
          <w:szCs w:val="24"/>
        </w:rPr>
      </w:pPr>
      <w:r>
        <w:rPr>
          <w:rFonts w:ascii="TimesNewRoman" w:hAnsi="TimesNewRoman" w:cs="TimesNewRoman"/>
          <w:szCs w:val="24"/>
        </w:rPr>
        <w:t xml:space="preserve">Although, the crop evapotranspiration may vary regarding water stress situations, since once the crop reached a threshold (i.e., critical point) the amount of water losses by way of transpiration starts becoming lower. The </w:t>
      </w:r>
      <w:r w:rsidRPr="009762C1">
        <w:rPr>
          <w:rFonts w:ascii="TimesNewRoman" w:hAnsi="TimesNewRoman" w:cs="TimesNewRoman"/>
          <w:szCs w:val="24"/>
        </w:rPr>
        <w:t xml:space="preserve">Readily </w:t>
      </w:r>
      <w:r>
        <w:rPr>
          <w:rFonts w:ascii="TimesNewRoman" w:hAnsi="TimesNewRoman" w:cs="TimesNewRoman"/>
          <w:szCs w:val="24"/>
        </w:rPr>
        <w:t>A</w:t>
      </w:r>
      <w:r w:rsidRPr="009762C1">
        <w:rPr>
          <w:rFonts w:ascii="TimesNewRoman" w:hAnsi="TimesNewRoman" w:cs="TimesNewRoman"/>
          <w:szCs w:val="24"/>
        </w:rPr>
        <w:t xml:space="preserve">vailable </w:t>
      </w:r>
      <w:r>
        <w:rPr>
          <w:rFonts w:ascii="TimesNewRoman" w:hAnsi="TimesNewRoman" w:cs="TimesNewRoman"/>
          <w:szCs w:val="24"/>
        </w:rPr>
        <w:t>W</w:t>
      </w:r>
      <w:r w:rsidRPr="009762C1">
        <w:rPr>
          <w:rFonts w:ascii="TimesNewRoman" w:hAnsi="TimesNewRoman" w:cs="TimesNewRoman"/>
          <w:szCs w:val="24"/>
        </w:rPr>
        <w:t>ater</w:t>
      </w:r>
      <w:r>
        <w:rPr>
          <w:rFonts w:ascii="TimesNewRoman" w:hAnsi="TimesNewRoman" w:cs="TimesNewRoman"/>
          <w:szCs w:val="24"/>
        </w:rPr>
        <w:t xml:space="preserve"> (RAW) is the amount of water a specific crop can extract from the root zone just before start suffering water stress. It is a function of TAW regarding the average proportion of water can be depleted before moisture stress – </w:t>
      </w:r>
      <m:oMath>
        <m:r>
          <w:rPr>
            <w:rFonts w:ascii="Cambria Math" w:hAnsi="Cambria Math" w:cs="TimesNewRoman"/>
            <w:szCs w:val="24"/>
          </w:rPr>
          <m:t>cd</m:t>
        </m:r>
      </m:oMath>
      <w:r>
        <w:rPr>
          <w:rFonts w:ascii="TimesNewRoman" w:eastAsiaTheme="minorEastAsia" w:hAnsi="TimesNewRoman" w:cs="TimesNewRoman"/>
          <w:szCs w:val="24"/>
        </w:rPr>
        <w:t xml:space="preserve"> [0-1]</w:t>
      </w:r>
      <w:r>
        <w:rPr>
          <w:rFonts w:ascii="TimesNewRoman" w:hAnsi="TimesNewRoman" w:cs="TimesNewRoman"/>
          <w:szCs w:val="24"/>
        </w:rPr>
        <w:t xml:space="preserve"> (equation </w:t>
      </w:r>
      <w:r>
        <w:rPr>
          <w:rFonts w:ascii="TimesNewRoman" w:hAnsi="TimesNewRoman" w:cs="TimesNewRoman"/>
          <w:szCs w:val="24"/>
          <w:highlight w:val="yellow"/>
        </w:rPr>
        <w:fldChar w:fldCharType="begin"/>
      </w:r>
      <w:r>
        <w:rPr>
          <w:rFonts w:ascii="TimesNewRoman" w:hAnsi="TimesNewRoman" w:cs="TimesNewRoman"/>
          <w:szCs w:val="24"/>
        </w:rPr>
        <w:instrText xml:space="preserve"> REF _Ref102820379 \h </w:instrText>
      </w:r>
      <w:r w:rsidR="00A71588">
        <w:rPr>
          <w:rFonts w:ascii="TimesNewRoman" w:hAnsi="TimesNewRoman" w:cs="TimesNewRoman"/>
          <w:szCs w:val="24"/>
          <w:highlight w:val="yellow"/>
        </w:rPr>
        <w:instrText xml:space="preserve"> \* MERGEFORMAT </w:instrText>
      </w:r>
      <w:r>
        <w:rPr>
          <w:rFonts w:ascii="TimesNewRoman" w:hAnsi="TimesNewRoman" w:cs="TimesNewRoman"/>
          <w:szCs w:val="24"/>
          <w:highlight w:val="yellow"/>
        </w:rPr>
      </w:r>
      <w:r>
        <w:rPr>
          <w:rFonts w:ascii="TimesNewRoman" w:hAnsi="TimesNewRoman" w:cs="TimesNewRoman"/>
          <w:szCs w:val="24"/>
          <w:highlight w:val="yellow"/>
        </w:rPr>
        <w:fldChar w:fldCharType="separate"/>
      </w:r>
      <w:r w:rsidR="00E154AE">
        <w:t>[</w:t>
      </w:r>
      <w:r w:rsidR="00E154AE">
        <w:rPr>
          <w:noProof/>
        </w:rPr>
        <w:t>6</w:t>
      </w:r>
      <w:r w:rsidR="00E154AE">
        <w:t>]</w:t>
      </w:r>
      <w:r>
        <w:rPr>
          <w:rFonts w:ascii="TimesNewRoman" w:hAnsi="TimesNewRoman" w:cs="TimesNewRoman"/>
          <w:szCs w:val="24"/>
          <w:highlight w:val="yellow"/>
        </w:rPr>
        <w:fldChar w:fldCharType="end"/>
      </w:r>
      <w:r>
        <w:rPr>
          <w:rFonts w:ascii="TimesNewRoman" w:hAnsi="TimesNewRoman" w:cs="TimesNewRoman"/>
          <w:szCs w:val="24"/>
        </w:rPr>
        <w:t xml:space="preserve">):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34"/>
        <w:gridCol w:w="516"/>
      </w:tblGrid>
      <w:tr w:rsidR="00995023" w14:paraId="2385CC8F" w14:textId="77777777" w:rsidTr="00655DC3">
        <w:tc>
          <w:tcPr>
            <w:tcW w:w="4724" w:type="pct"/>
          </w:tcPr>
          <w:p w14:paraId="6B6D96CE" w14:textId="77777777" w:rsidR="00995023" w:rsidRDefault="00995023" w:rsidP="00A71588">
            <w:pPr>
              <w:pStyle w:val="ListParagraph"/>
              <w:tabs>
                <w:tab w:val="left" w:pos="567"/>
              </w:tabs>
              <w:spacing w:after="40" w:line="480" w:lineRule="auto"/>
              <w:ind w:left="0"/>
              <w:contextualSpacing w:val="0"/>
            </w:pPr>
            <m:oMathPara>
              <m:oMath>
                <m:r>
                  <w:rPr>
                    <w:rFonts w:ascii="Cambria Math" w:hAnsi="Cambria Math"/>
                  </w:rPr>
                  <m:t>RAW=p*TAW</m:t>
                </m:r>
              </m:oMath>
            </m:oMathPara>
          </w:p>
        </w:tc>
        <w:tc>
          <w:tcPr>
            <w:tcW w:w="276" w:type="pct"/>
            <w:vAlign w:val="center"/>
          </w:tcPr>
          <w:p w14:paraId="663F3FF7" w14:textId="49DF1241" w:rsidR="00995023" w:rsidRDefault="00995023" w:rsidP="00A71588">
            <w:pPr>
              <w:pStyle w:val="ListParagraph"/>
              <w:tabs>
                <w:tab w:val="left" w:pos="567"/>
              </w:tabs>
              <w:spacing w:after="40" w:line="480" w:lineRule="auto"/>
              <w:ind w:left="0"/>
              <w:contextualSpacing w:val="0"/>
              <w:jc w:val="center"/>
            </w:pPr>
            <w:bookmarkStart w:id="10" w:name="_Ref102820379"/>
            <w:r>
              <w:t>[</w:t>
            </w:r>
            <w:fldSimple w:instr=" SEQ Equation \* ARABIC ">
              <w:r w:rsidR="00E154AE">
                <w:rPr>
                  <w:noProof/>
                </w:rPr>
                <w:t>6</w:t>
              </w:r>
            </w:fldSimple>
            <w:r>
              <w:t>]</w:t>
            </w:r>
            <w:bookmarkEnd w:id="10"/>
          </w:p>
        </w:tc>
      </w:tr>
    </w:tbl>
    <w:p w14:paraId="5F055E04" w14:textId="77777777" w:rsidR="00995023" w:rsidRDefault="00995023" w:rsidP="00A71588">
      <w:pPr>
        <w:autoSpaceDE w:val="0"/>
        <w:autoSpaceDN w:val="0"/>
        <w:adjustRightInd w:val="0"/>
        <w:spacing w:before="120" w:after="0" w:line="480" w:lineRule="auto"/>
        <w:rPr>
          <w:rFonts w:ascii="TimesNewRoman" w:hAnsi="TimesNewRoman" w:cs="TimesNewRoman"/>
          <w:szCs w:val="24"/>
        </w:rPr>
      </w:pPr>
      <w:r>
        <w:rPr>
          <w:rFonts w:ascii="TimesNewRoman" w:hAnsi="TimesNewRoman" w:cs="TimesNewRoman"/>
          <w:szCs w:val="24"/>
        </w:rPr>
        <w:t>where: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697"/>
        <w:gridCol w:w="653"/>
      </w:tblGrid>
      <w:tr w:rsidR="00995023" w14:paraId="20C7DEEF" w14:textId="77777777" w:rsidTr="00655DC3">
        <w:tc>
          <w:tcPr>
            <w:tcW w:w="4651" w:type="pct"/>
          </w:tcPr>
          <w:p w14:paraId="6BF4B803" w14:textId="77777777" w:rsidR="00995023" w:rsidRPr="00731EED" w:rsidRDefault="00995023" w:rsidP="00A71588">
            <w:pPr>
              <w:pStyle w:val="ListParagraph"/>
              <w:tabs>
                <w:tab w:val="left" w:pos="567"/>
              </w:tabs>
              <w:spacing w:after="40" w:line="480" w:lineRule="auto"/>
              <w:ind w:left="0"/>
              <w:contextualSpacing w:val="0"/>
              <w:rPr>
                <w:i/>
                <w:lang w:val="es-ES"/>
              </w:rPr>
            </w:pPr>
            <m:oMathPara>
              <m:oMath>
                <m:r>
                  <w:rPr>
                    <w:rFonts w:ascii="Cambria Math" w:hAnsi="Cambria Math"/>
                  </w:rPr>
                  <m:t>cd=</m:t>
                </m:r>
                <m:sSub>
                  <m:sSubPr>
                    <m:ctrlPr>
                      <w:rPr>
                        <w:rFonts w:ascii="Cambria Math" w:hAnsi="Cambria Math"/>
                        <w:i/>
                      </w:rPr>
                    </m:ctrlPr>
                  </m:sSubPr>
                  <m:e>
                    <m:r>
                      <w:rPr>
                        <w:rFonts w:ascii="Cambria Math" w:hAnsi="Cambria Math"/>
                      </w:rPr>
                      <m:t>p</m:t>
                    </m:r>
                  </m:e>
                  <m:sub>
                    <m:r>
                      <w:rPr>
                        <w:rFonts w:ascii="Cambria Math" w:hAnsi="Cambria Math"/>
                      </w:rPr>
                      <m:t>table</m:t>
                    </m:r>
                  </m:sub>
                </m:sSub>
                <m:r>
                  <w:rPr>
                    <w:rFonts w:ascii="Cambria Math" w:hAnsi="Cambria Math"/>
                  </w:rPr>
                  <m:t>+0.04(5-</m:t>
                </m:r>
                <m:r>
                  <w:rPr>
                    <w:rFonts w:ascii="Cambria Math" w:eastAsiaTheme="minorEastAsia" w:hAnsi="Cambria Math"/>
                    <w:lang w:val="es-ES"/>
                  </w:rPr>
                  <m:t>E</m:t>
                </m:r>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c</m:t>
                    </m:r>
                  </m:sub>
                </m:sSub>
                <m:r>
                  <w:rPr>
                    <w:rFonts w:ascii="Cambria Math" w:eastAsiaTheme="minorEastAsia" w:hAnsi="Cambria Math"/>
                    <w:lang w:val="es-ES"/>
                  </w:rPr>
                  <m:t>)</m:t>
                </m:r>
              </m:oMath>
            </m:oMathPara>
          </w:p>
        </w:tc>
        <w:tc>
          <w:tcPr>
            <w:tcW w:w="349" w:type="pct"/>
            <w:vAlign w:val="center"/>
          </w:tcPr>
          <w:p w14:paraId="26442EE5" w14:textId="6934F9BA" w:rsidR="00995023" w:rsidRDefault="00995023" w:rsidP="00A71588">
            <w:pPr>
              <w:pStyle w:val="ListParagraph"/>
              <w:tabs>
                <w:tab w:val="left" w:pos="567"/>
              </w:tabs>
              <w:spacing w:after="40" w:line="480" w:lineRule="auto"/>
              <w:ind w:left="0"/>
              <w:contextualSpacing w:val="0"/>
              <w:jc w:val="center"/>
            </w:pPr>
            <w:r>
              <w:t>[</w:t>
            </w:r>
            <w:fldSimple w:instr=" SEQ Equation \* ARABIC ">
              <w:r w:rsidR="00E154AE">
                <w:rPr>
                  <w:noProof/>
                </w:rPr>
                <w:t>7</w:t>
              </w:r>
            </w:fldSimple>
            <w:r>
              <w:t>]</w:t>
            </w:r>
          </w:p>
        </w:tc>
      </w:tr>
    </w:tbl>
    <w:p w14:paraId="2EC04533" w14:textId="38F04938" w:rsidR="00995023" w:rsidRDefault="00995023" w:rsidP="00A71588">
      <w:pPr>
        <w:autoSpaceDE w:val="0"/>
        <w:autoSpaceDN w:val="0"/>
        <w:adjustRightInd w:val="0"/>
        <w:spacing w:before="120" w:after="0" w:line="480" w:lineRule="auto"/>
        <w:rPr>
          <w:rFonts w:ascii="TimesNewRoman" w:eastAsiaTheme="minorEastAsia" w:hAnsi="TimesNewRoman" w:cs="TimesNewRoman"/>
          <w:szCs w:val="24"/>
        </w:rPr>
      </w:pPr>
      <w:r>
        <w:rPr>
          <w:rFonts w:ascii="TimesNewRoman" w:hAnsi="TimesNewRoman" w:cs="TimesNewRoman"/>
          <w:szCs w:val="24"/>
        </w:rPr>
        <w:t xml:space="preserve">being </w:t>
      </w:r>
      <m:oMath>
        <m:sSub>
          <m:sSubPr>
            <m:ctrlPr>
              <w:rPr>
                <w:rFonts w:ascii="Cambria Math" w:hAnsi="Cambria Math" w:cs="TimesNewRoman"/>
                <w:i/>
                <w:szCs w:val="24"/>
              </w:rPr>
            </m:ctrlPr>
          </m:sSubPr>
          <m:e>
            <m:r>
              <w:rPr>
                <w:rFonts w:ascii="Cambria Math" w:hAnsi="Cambria Math" w:cs="TimesNewRoman"/>
                <w:szCs w:val="24"/>
              </w:rPr>
              <m:t>p</m:t>
            </m:r>
          </m:e>
          <m:sub>
            <m:r>
              <w:rPr>
                <w:rFonts w:ascii="Cambria Math" w:hAnsi="Cambria Math" w:cs="TimesNewRoman"/>
                <w:szCs w:val="24"/>
              </w:rPr>
              <m:t>table</m:t>
            </m:r>
          </m:sub>
        </m:sSub>
      </m:oMath>
      <w:r w:rsidRPr="00B47E75">
        <w:rPr>
          <w:rFonts w:ascii="TimesNewRoman" w:eastAsiaTheme="minorEastAsia" w:hAnsi="TimesNewRoman" w:cs="TimesNewRoman"/>
          <w:szCs w:val="24"/>
        </w:rPr>
        <w:t xml:space="preserve"> </w:t>
      </w:r>
      <w:r>
        <w:rPr>
          <w:rFonts w:ascii="TimesNewRoman" w:eastAsiaTheme="minorEastAsia" w:hAnsi="TimesNewRoman" w:cs="TimesNewRoman"/>
          <w:szCs w:val="24"/>
        </w:rPr>
        <w:t xml:space="preserve">the </w:t>
      </w:r>
      <w:r w:rsidRPr="00B47E75">
        <w:rPr>
          <w:rFonts w:ascii="TimesNewRoman" w:eastAsiaTheme="minorEastAsia" w:hAnsi="TimesNewRoman" w:cs="TimesNewRoman"/>
          <w:szCs w:val="24"/>
        </w:rPr>
        <w:t>average water depletion fraction for no water stress periods. Therefore, if the water content is over RAW</w:t>
      </w:r>
      <w:r>
        <w:rPr>
          <w:rFonts w:ascii="TimesNewRoman" w:eastAsiaTheme="minorEastAsia" w:hAnsi="TimesNewRoman" w:cs="TimesNewRoman"/>
          <w:szCs w:val="24"/>
        </w:rPr>
        <w:t xml:space="preserve">, there is a depletion rate by transpiration according to equation </w:t>
      </w:r>
      <w:r>
        <w:rPr>
          <w:rFonts w:ascii="TimesNewRoman" w:eastAsiaTheme="minorEastAsia" w:hAnsi="TimesNewRoman" w:cs="TimesNewRoman"/>
          <w:szCs w:val="24"/>
        </w:rPr>
        <w:fldChar w:fldCharType="begin"/>
      </w:r>
      <w:r>
        <w:rPr>
          <w:rFonts w:ascii="TimesNewRoman" w:eastAsiaTheme="minorEastAsia" w:hAnsi="TimesNewRoman" w:cs="TimesNewRoman"/>
          <w:szCs w:val="24"/>
        </w:rPr>
        <w:instrText xml:space="preserve"> REF _Ref102815436 \h </w:instrText>
      </w:r>
      <w:r w:rsidR="00A71588">
        <w:rPr>
          <w:rFonts w:ascii="TimesNewRoman" w:eastAsiaTheme="minorEastAsia" w:hAnsi="TimesNewRoman" w:cs="TimesNewRoman"/>
          <w:szCs w:val="24"/>
        </w:rPr>
        <w:instrText xml:space="preserve"> \* MERGEFORMAT </w:instrText>
      </w:r>
      <w:r>
        <w:rPr>
          <w:rFonts w:ascii="TimesNewRoman" w:eastAsiaTheme="minorEastAsia" w:hAnsi="TimesNewRoman" w:cs="TimesNewRoman"/>
          <w:szCs w:val="24"/>
        </w:rPr>
      </w:r>
      <w:r>
        <w:rPr>
          <w:rFonts w:ascii="TimesNewRoman" w:eastAsiaTheme="minorEastAsia" w:hAnsi="TimesNewRoman" w:cs="TimesNewRoman"/>
          <w:szCs w:val="24"/>
        </w:rPr>
        <w:fldChar w:fldCharType="separate"/>
      </w:r>
      <w:r w:rsidR="00E154AE">
        <w:t>[</w:t>
      </w:r>
      <w:r w:rsidR="00E154AE">
        <w:rPr>
          <w:noProof/>
        </w:rPr>
        <w:t>5</w:t>
      </w:r>
      <w:r w:rsidR="00E154AE">
        <w:t>]</w:t>
      </w:r>
      <w:r>
        <w:rPr>
          <w:rFonts w:ascii="TimesNewRoman" w:eastAsiaTheme="minorEastAsia" w:hAnsi="TimesNewRoman" w:cs="TimesNewRoman"/>
          <w:szCs w:val="24"/>
        </w:rPr>
        <w:fldChar w:fldCharType="end"/>
      </w:r>
      <w:r>
        <w:rPr>
          <w:rFonts w:ascii="TimesNewRoman" w:eastAsiaTheme="minorEastAsia" w:hAnsi="TimesNewRoman" w:cs="TimesNewRoman"/>
          <w:szCs w:val="24"/>
        </w:rPr>
        <w:t>, on the contrary, if the water it’s been depleted over RAW, there is a reduced depletion rate according to:</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7A75AFE5" w14:textId="77777777" w:rsidTr="00655DC3">
        <w:tc>
          <w:tcPr>
            <w:tcW w:w="4574" w:type="pct"/>
          </w:tcPr>
          <w:p w14:paraId="212B8F38"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ET</m:t>
                    </m:r>
                  </m:e>
                  <m:sub>
                    <m:r>
                      <w:rPr>
                        <w:rFonts w:ascii="Cambria Math" w:hAnsi="Cambria Math"/>
                      </w:rPr>
                      <m:t>c-adj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m:oMathPara>
          </w:p>
        </w:tc>
        <w:tc>
          <w:tcPr>
            <w:tcW w:w="426" w:type="pct"/>
          </w:tcPr>
          <w:p w14:paraId="1F221B15" w14:textId="510A854B" w:rsidR="00995023" w:rsidRDefault="00995023" w:rsidP="00A71588">
            <w:pPr>
              <w:spacing w:after="40" w:line="480" w:lineRule="auto"/>
            </w:pPr>
            <w:r>
              <w:t>[</w:t>
            </w:r>
            <w:fldSimple w:instr=" SEQ Equation \* ARABIC ">
              <w:r w:rsidR="00E154AE">
                <w:rPr>
                  <w:noProof/>
                </w:rPr>
                <w:t>8</w:t>
              </w:r>
            </w:fldSimple>
            <w:r>
              <w:t>]</w:t>
            </w:r>
          </w:p>
        </w:tc>
      </w:tr>
    </w:tbl>
    <w:p w14:paraId="0FE9D809" w14:textId="7535BCF6" w:rsidR="00995023" w:rsidRDefault="00995023" w:rsidP="00A71588">
      <w:pPr>
        <w:autoSpaceDE w:val="0"/>
        <w:autoSpaceDN w:val="0"/>
        <w:adjustRightInd w:val="0"/>
        <w:spacing w:before="120" w:after="0" w:line="480" w:lineRule="auto"/>
        <w:rPr>
          <w:rFonts w:ascii="TimesNewRoman" w:eastAsiaTheme="minorEastAsia" w:hAnsi="TimesNewRoman" w:cs="TimesNewRoman"/>
          <w:szCs w:val="24"/>
        </w:rPr>
      </w:pPr>
      <w:r>
        <w:rPr>
          <w:rFonts w:ascii="TimesNewRoman" w:eastAsiaTheme="minorEastAsia" w:hAnsi="TimesNewRoman" w:cs="TimesNewRoman"/>
          <w:szCs w:val="24"/>
        </w:rPr>
        <w:lastRenderedPageBreak/>
        <w:t xml:space="preserve">where </w:t>
      </w:r>
      <m:oMath>
        <m:sSub>
          <m:sSubPr>
            <m:ctrlPr>
              <w:rPr>
                <w:rFonts w:ascii="Cambria Math" w:eastAsiaTheme="minorEastAsia" w:hAnsi="Cambria Math" w:cs="TimesNewRoman"/>
                <w:i/>
                <w:szCs w:val="24"/>
              </w:rPr>
            </m:ctrlPr>
          </m:sSubPr>
          <m:e>
            <m:r>
              <w:rPr>
                <w:rFonts w:ascii="Cambria Math" w:eastAsiaTheme="minorEastAsia" w:hAnsi="Cambria Math" w:cs="TimesNewRoman"/>
                <w:szCs w:val="24"/>
              </w:rPr>
              <m:t>k</m:t>
            </m:r>
          </m:e>
          <m:sub>
            <m:r>
              <w:rPr>
                <w:rFonts w:ascii="Cambria Math" w:eastAsiaTheme="minorEastAsia" w:hAnsi="Cambria Math" w:cs="TimesNewRoman"/>
                <w:szCs w:val="24"/>
              </w:rPr>
              <m:t>s</m:t>
            </m:r>
          </m:sub>
        </m:sSub>
      </m:oMath>
      <w:r>
        <w:rPr>
          <w:rFonts w:ascii="TimesNewRoman" w:eastAsiaTheme="minorEastAsia" w:hAnsi="TimesNewRoman" w:cs="TimesNewRoman"/>
          <w:szCs w:val="24"/>
        </w:rPr>
        <w:t xml:space="preserve"> represents the water stress coefficient and it’s determined by equation </w:t>
      </w:r>
      <w:r>
        <w:rPr>
          <w:rFonts w:ascii="TimesNewRoman" w:eastAsiaTheme="minorEastAsia" w:hAnsi="TimesNewRoman" w:cs="TimesNewRoman"/>
          <w:szCs w:val="24"/>
          <w:highlight w:val="yellow"/>
        </w:rPr>
        <w:fldChar w:fldCharType="begin"/>
      </w:r>
      <w:r>
        <w:rPr>
          <w:rFonts w:ascii="TimesNewRoman" w:eastAsiaTheme="minorEastAsia" w:hAnsi="TimesNewRoman" w:cs="TimesNewRoman"/>
          <w:szCs w:val="24"/>
        </w:rPr>
        <w:instrText xml:space="preserve"> REF _Ref102820370 \h </w:instrText>
      </w:r>
      <w:r w:rsidR="00A71588">
        <w:rPr>
          <w:rFonts w:ascii="TimesNewRoman" w:eastAsiaTheme="minorEastAsia" w:hAnsi="TimesNewRoman" w:cs="TimesNewRoman"/>
          <w:szCs w:val="24"/>
          <w:highlight w:val="yellow"/>
        </w:rPr>
        <w:instrText xml:space="preserve"> \* MERGEFORMAT </w:instrText>
      </w:r>
      <w:r>
        <w:rPr>
          <w:rFonts w:ascii="TimesNewRoman" w:eastAsiaTheme="minorEastAsia" w:hAnsi="TimesNewRoman" w:cs="TimesNewRoman"/>
          <w:szCs w:val="24"/>
          <w:highlight w:val="yellow"/>
        </w:rPr>
      </w:r>
      <w:r>
        <w:rPr>
          <w:rFonts w:ascii="TimesNewRoman" w:eastAsiaTheme="minorEastAsia" w:hAnsi="TimesNewRoman" w:cs="TimesNewRoman"/>
          <w:szCs w:val="24"/>
          <w:highlight w:val="yellow"/>
        </w:rPr>
        <w:fldChar w:fldCharType="separate"/>
      </w:r>
      <w:r w:rsidR="00E154AE">
        <w:t>[</w:t>
      </w:r>
      <w:r w:rsidR="00E154AE">
        <w:rPr>
          <w:noProof/>
        </w:rPr>
        <w:t>9</w:t>
      </w:r>
      <w:r w:rsidR="00E154AE">
        <w:t>]</w:t>
      </w:r>
      <w:r>
        <w:rPr>
          <w:rFonts w:ascii="TimesNewRoman" w:eastAsiaTheme="minorEastAsia" w:hAnsi="TimesNewRoman" w:cs="TimesNewRoman"/>
          <w:szCs w:val="24"/>
          <w:highlight w:val="yellow"/>
        </w:rPr>
        <w:fldChar w:fldCharType="end"/>
      </w:r>
      <w:r>
        <w:rPr>
          <w:rFonts w:ascii="TimesNewRoman" w:eastAsiaTheme="minorEastAsia" w:hAnsi="TimesNewRoman" w:cs="TimesNewRoman"/>
          <w:szCs w:val="24"/>
        </w:rPr>
        <w:t xml:space="preserve">, where </w:t>
      </w:r>
      <m:oMath>
        <m:sSub>
          <m:sSubPr>
            <m:ctrlPr>
              <w:rPr>
                <w:rFonts w:ascii="Cambria Math" w:eastAsiaTheme="minorEastAsia" w:hAnsi="Cambria Math" w:cs="TimesNewRoman"/>
                <w:i/>
                <w:szCs w:val="24"/>
              </w:rPr>
            </m:ctrlPr>
          </m:sSubPr>
          <m:e>
            <m:r>
              <w:rPr>
                <w:rFonts w:ascii="Cambria Math" w:eastAsiaTheme="minorEastAsia" w:hAnsi="Cambria Math" w:cs="TimesNewRoman"/>
                <w:szCs w:val="24"/>
              </w:rPr>
              <m:t>D</m:t>
            </m:r>
          </m:e>
          <m:sub>
            <m:r>
              <w:rPr>
                <w:rFonts w:ascii="Cambria Math" w:eastAsiaTheme="minorEastAsia" w:hAnsi="Cambria Math" w:cs="TimesNewRoman"/>
                <w:szCs w:val="24"/>
              </w:rPr>
              <m:t>r,i</m:t>
            </m:r>
          </m:sub>
        </m:sSub>
      </m:oMath>
      <w:r>
        <w:rPr>
          <w:rFonts w:ascii="TimesNewRoman" w:eastAsiaTheme="minorEastAsia" w:hAnsi="TimesNewRoman" w:cs="TimesNewRoman"/>
          <w:szCs w:val="24"/>
        </w:rPr>
        <w:t xml:space="preserve"> represents the water root zone depletion </w:t>
      </w:r>
      <m:oMath>
        <m:d>
          <m:dPr>
            <m:begChr m:val="["/>
            <m:endChr m:val="]"/>
            <m:ctrlPr>
              <w:rPr>
                <w:rFonts w:ascii="Cambria Math" w:eastAsiaTheme="minorEastAsia" w:hAnsi="Cambria Math" w:cs="TimesNewRoman"/>
                <w:i/>
                <w:szCs w:val="24"/>
              </w:rPr>
            </m:ctrlPr>
          </m:dPr>
          <m:e>
            <m:r>
              <w:rPr>
                <w:rFonts w:ascii="Cambria Math" w:eastAsiaTheme="minorEastAsia" w:hAnsi="Cambria Math" w:cs="TimesNewRoman"/>
                <w:szCs w:val="24"/>
              </w:rPr>
              <m:t>mm</m:t>
            </m:r>
          </m:e>
        </m:d>
      </m:oMath>
      <w:r>
        <w:rPr>
          <w:rFonts w:ascii="TimesNewRoman" w:eastAsiaTheme="minorEastAsia" w:hAnsi="TimesNewRoman" w:cs="TimesNewRoman"/>
          <w:szCs w:val="24"/>
        </w:rPr>
        <w:t xml:space="preserve">. The </w:t>
      </w:r>
      <m:oMath>
        <m:sSub>
          <m:sSubPr>
            <m:ctrlPr>
              <w:rPr>
                <w:rFonts w:ascii="Cambria Math" w:eastAsiaTheme="minorEastAsia" w:hAnsi="Cambria Math" w:cs="TimesNewRoman"/>
                <w:i/>
                <w:szCs w:val="24"/>
              </w:rPr>
            </m:ctrlPr>
          </m:sSubPr>
          <m:e>
            <m:r>
              <w:rPr>
                <w:rFonts w:ascii="Cambria Math" w:eastAsiaTheme="minorEastAsia" w:hAnsi="Cambria Math" w:cs="TimesNewRoman"/>
                <w:szCs w:val="24"/>
              </w:rPr>
              <m:t>k</m:t>
            </m:r>
          </m:e>
          <m:sub>
            <m:r>
              <w:rPr>
                <w:rFonts w:ascii="Cambria Math" w:eastAsiaTheme="minorEastAsia" w:hAnsi="Cambria Math" w:cs="TimesNewRoman"/>
                <w:szCs w:val="24"/>
              </w:rPr>
              <m:t>s</m:t>
            </m:r>
          </m:sub>
        </m:sSub>
      </m:oMath>
      <w:r>
        <w:rPr>
          <w:rFonts w:ascii="TimesNewRoman" w:eastAsiaTheme="minorEastAsia" w:hAnsi="TimesNewRoman" w:cs="TimesNewRoman"/>
          <w:szCs w:val="24"/>
        </w:rPr>
        <w:t xml:space="preserve"> has a behavior showed in the figure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17C9BBE7" w14:textId="77777777" w:rsidTr="00655DC3">
        <w:tc>
          <w:tcPr>
            <w:tcW w:w="4574" w:type="pct"/>
          </w:tcPr>
          <w:bookmarkStart w:id="11" w:name="_Hlk135836188"/>
          <w:p w14:paraId="19117DDB"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TAW-</m:t>
                    </m:r>
                    <m:sSub>
                      <m:sSubPr>
                        <m:ctrlPr>
                          <w:rPr>
                            <w:rFonts w:ascii="Cambria Math" w:hAnsi="Cambria Math"/>
                            <w:i/>
                          </w:rPr>
                        </m:ctrlPr>
                      </m:sSubPr>
                      <m:e>
                        <m:r>
                          <w:rPr>
                            <w:rFonts w:ascii="Cambria Math" w:hAnsi="Cambria Math"/>
                          </w:rPr>
                          <m:t>D</m:t>
                        </m:r>
                      </m:e>
                      <m:sub>
                        <m:r>
                          <w:rPr>
                            <w:rFonts w:ascii="Cambria Math" w:hAnsi="Cambria Math"/>
                          </w:rPr>
                          <m:t>r,i</m:t>
                        </m:r>
                      </m:sub>
                    </m:sSub>
                  </m:num>
                  <m:den>
                    <m:r>
                      <w:rPr>
                        <w:rFonts w:ascii="Cambria Math" w:hAnsi="Cambria Math"/>
                      </w:rPr>
                      <m:t>TAW-RAW</m:t>
                    </m:r>
                  </m:den>
                </m:f>
              </m:oMath>
            </m:oMathPara>
            <w:bookmarkEnd w:id="11"/>
          </w:p>
        </w:tc>
        <w:tc>
          <w:tcPr>
            <w:tcW w:w="426" w:type="pct"/>
          </w:tcPr>
          <w:p w14:paraId="4F15F0F5" w14:textId="69471D69" w:rsidR="00995023" w:rsidRDefault="00995023" w:rsidP="00A71588">
            <w:pPr>
              <w:spacing w:after="40" w:line="480" w:lineRule="auto"/>
            </w:pPr>
            <w:bookmarkStart w:id="12" w:name="_Ref102820370"/>
            <w:r>
              <w:t>[</w:t>
            </w:r>
            <w:fldSimple w:instr=" SEQ Equation \* ARABIC ">
              <w:r w:rsidR="00E154AE">
                <w:rPr>
                  <w:noProof/>
                </w:rPr>
                <w:t>9</w:t>
              </w:r>
            </w:fldSimple>
            <w:r>
              <w:t>]</w:t>
            </w:r>
            <w:bookmarkEnd w:id="12"/>
          </w:p>
        </w:tc>
      </w:tr>
    </w:tbl>
    <w:p w14:paraId="7987B9F6" w14:textId="0FA015DB" w:rsidR="00BF7EA7" w:rsidRPr="00BF7EA7" w:rsidRDefault="00BF7EA7" w:rsidP="00BF7EA7">
      <w:pPr>
        <w:autoSpaceDE w:val="0"/>
        <w:autoSpaceDN w:val="0"/>
        <w:adjustRightInd w:val="0"/>
        <w:spacing w:after="40" w:line="240" w:lineRule="auto"/>
        <w:jc w:val="left"/>
        <w:rPr>
          <w:rFonts w:ascii="TimesNewRoman" w:eastAsiaTheme="minorEastAsia" w:hAnsi="TimesNewRoman" w:cs="TimesNewRoman"/>
          <w:color w:val="FFFFFF" w:themeColor="background1"/>
          <w:sz w:val="20"/>
          <w:szCs w:val="20"/>
        </w:rPr>
      </w:pPr>
      <w:r w:rsidRPr="00C608A4">
        <w:rPr>
          <w:rFonts w:ascii="TimesNewRoman" w:eastAsiaTheme="minorEastAsia" w:hAnsi="TimesNewRoman" w:cs="TimesNewRoman"/>
          <w:sz w:val="20"/>
          <w:szCs w:val="20"/>
        </w:rPr>
        <w:t xml:space="preserve">Figure </w:t>
      </w:r>
      <w:r w:rsidR="00DF6D08">
        <w:rPr>
          <w:rFonts w:ascii="TimesNewRoman" w:eastAsiaTheme="minorEastAsia" w:hAnsi="TimesNewRoman" w:cs="TimesNewRoman"/>
          <w:sz w:val="20"/>
          <w:szCs w:val="20"/>
        </w:rPr>
        <w:t>B</w:t>
      </w:r>
      <w:r w:rsidRPr="00C608A4">
        <w:rPr>
          <w:rFonts w:ascii="TimesNewRoman" w:eastAsiaTheme="minorEastAsia" w:hAnsi="TimesNewRoman" w:cs="TimesNewRoman"/>
          <w:sz w:val="20"/>
          <w:szCs w:val="20"/>
        </w:rPr>
        <w:fldChar w:fldCharType="begin"/>
      </w:r>
      <w:r w:rsidRPr="00C608A4">
        <w:rPr>
          <w:rFonts w:ascii="TimesNewRoman" w:eastAsiaTheme="minorEastAsia" w:hAnsi="TimesNewRoman" w:cs="TimesNewRoman"/>
          <w:sz w:val="20"/>
          <w:szCs w:val="20"/>
        </w:rPr>
        <w:instrText xml:space="preserve"> SEQ Figure \* ARABIC </w:instrText>
      </w:r>
      <w:r w:rsidRPr="00C608A4">
        <w:rPr>
          <w:rFonts w:ascii="TimesNewRoman" w:eastAsiaTheme="minorEastAsia" w:hAnsi="TimesNewRoman" w:cs="TimesNewRoman"/>
          <w:sz w:val="20"/>
          <w:szCs w:val="20"/>
        </w:rPr>
        <w:fldChar w:fldCharType="separate"/>
      </w:r>
      <w:r>
        <w:rPr>
          <w:rFonts w:ascii="TimesNewRoman" w:eastAsiaTheme="minorEastAsia" w:hAnsi="TimesNewRoman" w:cs="TimesNewRoman"/>
          <w:noProof/>
          <w:sz w:val="20"/>
          <w:szCs w:val="20"/>
        </w:rPr>
        <w:t>3</w:t>
      </w:r>
      <w:r w:rsidRPr="00C608A4">
        <w:rPr>
          <w:rFonts w:ascii="TimesNewRoman" w:eastAsiaTheme="minorEastAsia" w:hAnsi="TimesNewRoman" w:cs="TimesNewRoman"/>
          <w:sz w:val="20"/>
          <w:szCs w:val="20"/>
        </w:rPr>
        <w:fldChar w:fldCharType="end"/>
      </w:r>
      <w:r w:rsidRPr="00BF7EA7">
        <w:rPr>
          <w:rFonts w:ascii="TimesNewRoman" w:eastAsiaTheme="minorEastAsia" w:hAnsi="TimesNewRoman" w:cs="TimesNewRoman"/>
          <w:color w:val="FFFFFF" w:themeColor="background1"/>
          <w:sz w:val="20"/>
          <w:szCs w:val="20"/>
        </w:rPr>
        <w:t xml:space="preserve">: Water stress coefficient. Adapted from </w:t>
      </w:r>
      <w:r w:rsidRPr="00BF7EA7">
        <w:rPr>
          <w:rFonts w:ascii="TimesNewRoman" w:eastAsiaTheme="minorEastAsia" w:hAnsi="TimesNewRoman" w:cs="TimesNewRoman"/>
          <w:color w:val="FFFFFF" w:themeColor="background1"/>
          <w:sz w:val="20"/>
          <w:szCs w:val="20"/>
        </w:rPr>
        <w:fldChar w:fldCharType="begin" w:fldLock="1"/>
      </w:r>
      <w:r w:rsidRPr="00BF7EA7">
        <w:rPr>
          <w:rFonts w:ascii="TimesNewRoman" w:eastAsiaTheme="minorEastAsia" w:hAnsi="TimesNewRoman" w:cs="TimesNewRoman"/>
          <w:color w:val="FFFFFF" w:themeColor="background1"/>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BF7EA7">
        <w:rPr>
          <w:rFonts w:ascii="TimesNewRoman" w:eastAsiaTheme="minorEastAsia" w:hAnsi="TimesNewRoman" w:cs="TimesNewRoman"/>
          <w:color w:val="FFFFFF" w:themeColor="background1"/>
          <w:sz w:val="20"/>
          <w:szCs w:val="20"/>
        </w:rPr>
        <w:fldChar w:fldCharType="separate"/>
      </w:r>
      <w:r w:rsidRPr="00BF7EA7">
        <w:rPr>
          <w:rFonts w:ascii="TimesNewRoman" w:eastAsiaTheme="minorEastAsia" w:hAnsi="TimesNewRoman" w:cs="TimesNewRoman"/>
          <w:noProof/>
          <w:color w:val="FFFFFF" w:themeColor="background1"/>
          <w:sz w:val="20"/>
          <w:szCs w:val="20"/>
        </w:rPr>
        <w:t>(Allen et al., 2006)</w:t>
      </w:r>
      <w:r w:rsidRPr="00BF7EA7">
        <w:rPr>
          <w:rFonts w:ascii="TimesNewRoman" w:eastAsiaTheme="minorEastAsia" w:hAnsi="TimesNewRoman" w:cs="TimesNewRoman"/>
          <w:color w:val="FFFFFF" w:themeColor="background1"/>
          <w:sz w:val="20"/>
          <w:szCs w:val="20"/>
        </w:rPr>
        <w:fldChar w:fldCharType="end"/>
      </w:r>
      <w:r w:rsidRPr="00BF7EA7">
        <w:rPr>
          <w:rFonts w:ascii="TimesNewRoman" w:eastAsiaTheme="minorEastAsia" w:hAnsi="TimesNewRoman" w:cs="TimesNewRoman"/>
          <w:color w:val="FFFFFF" w:themeColor="background1"/>
          <w:sz w:val="20"/>
          <w:szCs w:val="20"/>
        </w:rPr>
        <w:t>.</w:t>
      </w:r>
    </w:p>
    <w:p w14:paraId="0CA6E40F" w14:textId="7BB97816" w:rsidR="00BF7EA7" w:rsidRDefault="00BF7EA7" w:rsidP="00BF7EA7">
      <w:pPr>
        <w:autoSpaceDE w:val="0"/>
        <w:autoSpaceDN w:val="0"/>
        <w:adjustRightInd w:val="0"/>
        <w:spacing w:after="40" w:line="480" w:lineRule="auto"/>
        <w:jc w:val="left"/>
      </w:pPr>
      <w:r w:rsidRPr="00C608A4">
        <w:rPr>
          <w:rFonts w:ascii="TimesNewRoman" w:eastAsiaTheme="minorEastAsia" w:hAnsi="TimesNewRoman" w:cs="TimesNewRoman"/>
          <w:sz w:val="20"/>
          <w:szCs w:val="20"/>
        </w:rPr>
        <w:t xml:space="preserve">Water stress coefficient. Adapted </w:t>
      </w:r>
      <w:r w:rsidRPr="00A8385F">
        <w:rPr>
          <w:rFonts w:ascii="TimesNewRoman" w:eastAsiaTheme="minorEastAsia" w:hAnsi="TimesNewRoman" w:cs="TimesNewRoman"/>
          <w:sz w:val="20"/>
          <w:szCs w:val="20"/>
        </w:rPr>
        <w:t xml:space="preserve">from </w:t>
      </w:r>
      <w:r w:rsidRPr="00A8385F">
        <w:rPr>
          <w:rFonts w:ascii="TimesNewRoman" w:eastAsiaTheme="minorEastAsia" w:hAnsi="TimesNewRoman" w:cs="TimesNewRoman"/>
          <w:sz w:val="20"/>
          <w:szCs w:val="20"/>
        </w:rPr>
        <w:fldChar w:fldCharType="begin" w:fldLock="1"/>
      </w:r>
      <w:r>
        <w:rPr>
          <w:rFonts w:ascii="TimesNewRoman" w:eastAsiaTheme="minorEastAsia" w:hAnsi="TimesNewRoman" w:cs="TimesNewRoman"/>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A8385F">
        <w:rPr>
          <w:rFonts w:ascii="TimesNewRoman" w:eastAsiaTheme="minorEastAsia" w:hAnsi="TimesNewRoman" w:cs="TimesNewRoman"/>
          <w:sz w:val="20"/>
          <w:szCs w:val="20"/>
        </w:rPr>
        <w:fldChar w:fldCharType="separate"/>
      </w:r>
      <w:r w:rsidRPr="00087C3C">
        <w:rPr>
          <w:rFonts w:ascii="TimesNewRoman" w:eastAsiaTheme="minorEastAsia" w:hAnsi="TimesNewRoman" w:cs="TimesNewRoman"/>
          <w:noProof/>
          <w:sz w:val="20"/>
          <w:szCs w:val="20"/>
        </w:rPr>
        <w:t>(Allen et al., 2006)</w:t>
      </w:r>
      <w:r w:rsidRPr="00A8385F">
        <w:rPr>
          <w:rFonts w:ascii="TimesNewRoman" w:eastAsiaTheme="minorEastAsia" w:hAnsi="TimesNewRoman" w:cs="TimesNewRoman"/>
          <w:sz w:val="20"/>
          <w:szCs w:val="20"/>
        </w:rPr>
        <w:fldChar w:fldCharType="end"/>
      </w:r>
      <w:r w:rsidRPr="00A8385F">
        <w:rPr>
          <w:rFonts w:ascii="TimesNewRoman" w:eastAsiaTheme="minorEastAsia" w:hAnsi="TimesNewRoman" w:cs="TimesNewRoman"/>
          <w:sz w:val="20"/>
          <w:szCs w:val="20"/>
        </w:rPr>
        <w:t>.</w:t>
      </w:r>
    </w:p>
    <w:p w14:paraId="313A38AD" w14:textId="381805E5" w:rsidR="00995023" w:rsidRDefault="00995023" w:rsidP="00A71588">
      <w:pPr>
        <w:autoSpaceDE w:val="0"/>
        <w:autoSpaceDN w:val="0"/>
        <w:adjustRightInd w:val="0"/>
        <w:spacing w:before="120" w:after="40" w:line="480" w:lineRule="auto"/>
        <w:jc w:val="center"/>
      </w:pPr>
      <w:r>
        <w:rPr>
          <w:noProof/>
        </w:rPr>
        <w:drawing>
          <wp:inline distT="0" distB="0" distL="0" distR="0" wp14:anchorId="08B523C6" wp14:editId="1AD59056">
            <wp:extent cx="4424459" cy="24359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969" cy="2476985"/>
                    </a:xfrm>
                    <a:prstGeom prst="rect">
                      <a:avLst/>
                    </a:prstGeom>
                    <a:noFill/>
                  </pic:spPr>
                </pic:pic>
              </a:graphicData>
            </a:graphic>
          </wp:inline>
        </w:drawing>
      </w:r>
    </w:p>
    <w:p w14:paraId="1A58314E"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t xml:space="preserve">Water root zone depletion -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r,i</m:t>
            </m:r>
          </m:sub>
        </m:sSub>
      </m:oMath>
      <w:r w:rsidRPr="0057074E">
        <w:rPr>
          <w:b/>
          <w:bCs/>
        </w:rPr>
        <w:t xml:space="preserve"> </w:t>
      </w:r>
      <m:oMath>
        <m:r>
          <m:rPr>
            <m:sty m:val="b"/>
          </m:rPr>
          <w:rPr>
            <w:rFonts w:ascii="Cambria Math" w:hAnsi="Cambria Math"/>
          </w:rPr>
          <m:t>(</m:t>
        </m:r>
        <m:r>
          <m:rPr>
            <m:sty m:val="bi"/>
          </m:rPr>
          <w:rPr>
            <w:rFonts w:ascii="Cambria Math" w:hAnsi="Cambria Math"/>
          </w:rPr>
          <m:t>mm</m:t>
        </m:r>
        <m:r>
          <m:rPr>
            <m:sty m:val="b"/>
          </m:rPr>
          <w:rPr>
            <w:rFonts w:ascii="Cambria Math" w:hAnsi="Cambria Math"/>
          </w:rPr>
          <m:t>)</m:t>
        </m:r>
      </m:oMath>
      <w:bookmarkStart w:id="13" w:name="_Hlk135836211"/>
    </w:p>
    <w:p w14:paraId="24221270" w14:textId="53EBDBB2" w:rsidR="00995023" w:rsidRPr="0057074E" w:rsidRDefault="00995023" w:rsidP="00A71588">
      <w:pPr>
        <w:pStyle w:val="ListParagraph"/>
        <w:tabs>
          <w:tab w:val="left" w:pos="284"/>
        </w:tabs>
        <w:spacing w:line="480" w:lineRule="auto"/>
        <w:ind w:left="0"/>
        <w:contextualSpacing w:val="0"/>
        <w:rPr>
          <w:b/>
          <w:bCs/>
        </w:rPr>
      </w:pPr>
      <w:r>
        <w:t xml:space="preserve">It represents the daily water balance between inflow and outflow parameters, relating </w:t>
      </w:r>
      <w:r>
        <w:rPr>
          <w:rFonts w:eastAsiaTheme="minorEastAsia"/>
        </w:rPr>
        <w:t>the amount of water loss by the crop every day in the root zone, and allows obtaining the amount of water left in the root zone through</w:t>
      </w:r>
      <w:r w:rsidR="00154085">
        <w:rPr>
          <w:rFonts w:eastAsiaTheme="minorEastAsia"/>
        </w:rPr>
        <w:t xml:space="preserve"> the following equation</w:t>
      </w:r>
      <w:r>
        <w:rPr>
          <w:rFonts w:eastAsiaTheme="minorEastAsia"/>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09"/>
        <w:gridCol w:w="641"/>
      </w:tblGrid>
      <w:tr w:rsidR="00995023" w14:paraId="0014D326" w14:textId="77777777" w:rsidTr="00655DC3">
        <w:tc>
          <w:tcPr>
            <w:tcW w:w="4657" w:type="pct"/>
          </w:tcPr>
          <w:bookmarkStart w:id="14" w:name="_Hlk135836243"/>
          <w:p w14:paraId="4A2A20B0" w14:textId="77777777" w:rsidR="00995023" w:rsidRDefault="00000000" w:rsidP="00A71588">
            <w:pPr>
              <w:pStyle w:val="ListParagraph"/>
              <w:tabs>
                <w:tab w:val="left" w:pos="567"/>
              </w:tabs>
              <w:spacing w:line="480" w:lineRule="auto"/>
              <w:ind w:left="0"/>
              <w:contextualSpacing w:val="0"/>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c,i</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bookmarkEnd w:id="14"/>
          </w:p>
        </w:tc>
        <w:tc>
          <w:tcPr>
            <w:tcW w:w="343" w:type="pct"/>
          </w:tcPr>
          <w:p w14:paraId="4D34DD26" w14:textId="249237EC" w:rsidR="00995023" w:rsidRDefault="00995023" w:rsidP="00A71588">
            <w:pPr>
              <w:pStyle w:val="ListParagraph"/>
              <w:tabs>
                <w:tab w:val="left" w:pos="567"/>
              </w:tabs>
              <w:spacing w:line="480" w:lineRule="auto"/>
              <w:ind w:left="0"/>
              <w:contextualSpacing w:val="0"/>
            </w:pPr>
            <w:bookmarkStart w:id="15" w:name="_Ref102726050"/>
            <w:r>
              <w:t>[</w:t>
            </w:r>
            <w:fldSimple w:instr=" SEQ Equation \* ARABIC ">
              <w:r w:rsidR="00E154AE">
                <w:rPr>
                  <w:noProof/>
                </w:rPr>
                <w:t>10</w:t>
              </w:r>
            </w:fldSimple>
            <w:r>
              <w:t>]</w:t>
            </w:r>
            <w:bookmarkEnd w:id="15"/>
          </w:p>
        </w:tc>
      </w:tr>
    </w:tbl>
    <w:p w14:paraId="39F51233" w14:textId="77777777" w:rsidR="00995023" w:rsidRDefault="00995023" w:rsidP="00A71588">
      <w:pPr>
        <w:pStyle w:val="ListParagraph"/>
        <w:tabs>
          <w:tab w:val="left" w:pos="567"/>
        </w:tabs>
        <w:spacing w:after="120" w:line="480" w:lineRule="auto"/>
        <w:ind w:left="0"/>
        <w:contextualSpacing w:val="0"/>
        <w:rPr>
          <w:rFonts w:eastAsiaTheme="minorEastAsia"/>
        </w:rPr>
      </w:pPr>
      <w:r>
        <w:rPr>
          <w:rFonts w:eastAsiaTheme="minorEastAsia"/>
        </w:rPr>
        <w:t>where:</w:t>
      </w:r>
    </w:p>
    <w:bookmarkStart w:id="16" w:name="_Hlk135836268"/>
    <w:p w14:paraId="09C80D9E"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D</m:t>
            </m:r>
          </m:e>
          <m:sub>
            <m:r>
              <w:rPr>
                <w:rFonts w:ascii="Cambria Math" w:hAnsi="Cambria Math"/>
              </w:rPr>
              <m:t>r</m:t>
            </m:r>
            <m:r>
              <m:rPr>
                <m:sty m:val="p"/>
              </m:rPr>
              <w:rPr>
                <w:rFonts w:ascii="Cambria Math" w:hAnsi="Cambria Math"/>
              </w:rPr>
              <m:t>,</m:t>
            </m:r>
            <m:r>
              <w:rPr>
                <w:rFonts w:ascii="Cambria Math" w:hAnsi="Cambria Math"/>
              </w:rPr>
              <m:t>i</m:t>
            </m:r>
          </m:sub>
        </m:sSub>
      </m:oMath>
      <w:r w:rsidR="00995023" w:rsidRPr="00B43E6C">
        <w:t xml:space="preserve"> is the root depletion at the end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00995023"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rsidR="00995023">
        <w:t>.</w:t>
      </w:r>
    </w:p>
    <w:p w14:paraId="5ABF1467"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D</m:t>
            </m:r>
          </m:e>
          <m:sub>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-1</m:t>
            </m:r>
          </m:sub>
        </m:sSub>
      </m:oMath>
      <w:r w:rsidR="00995023" w:rsidRPr="00B43E6C">
        <w:t xml:space="preserve"> represents the water content in the root zone in the previous day </w:t>
      </w:r>
      <m:oMath>
        <m:r>
          <m:rPr>
            <m:sty m:val="p"/>
          </m:rPr>
          <w:rPr>
            <w:rFonts w:ascii="Cambria Math" w:hAnsi="Cambria Math"/>
          </w:rPr>
          <m:t>[</m:t>
        </m:r>
        <m:r>
          <w:rPr>
            <w:rFonts w:ascii="Cambria Math" w:hAnsi="Cambria Math"/>
          </w:rPr>
          <m:t>mm</m:t>
        </m:r>
        <m:r>
          <m:rPr>
            <m:sty m:val="p"/>
          </m:rPr>
          <w:rPr>
            <w:rFonts w:ascii="Cambria Math" w:hAnsi="Cambria Math"/>
          </w:rPr>
          <m:t>]</m:t>
        </m:r>
      </m:oMath>
    </w:p>
    <w:p w14:paraId="6F7EA17C"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995023" w:rsidRPr="00B43E6C">
        <w:t xml:space="preserve"> is the daily precipitation </w:t>
      </w:r>
      <m:oMath>
        <m:r>
          <m:rPr>
            <m:sty m:val="p"/>
          </m:rPr>
          <w:rPr>
            <w:rFonts w:ascii="Cambria Math" w:hAnsi="Cambria Math"/>
          </w:rPr>
          <m:t>[</m:t>
        </m:r>
        <m:r>
          <w:rPr>
            <w:rFonts w:ascii="Cambria Math" w:hAnsi="Cambria Math"/>
          </w:rPr>
          <m:t>mm</m:t>
        </m:r>
        <m:r>
          <m:rPr>
            <m:sty m:val="p"/>
          </m:rPr>
          <w:rPr>
            <w:rFonts w:ascii="Cambria Math" w:hAnsi="Cambria Math"/>
          </w:rPr>
          <m:t>]</m:t>
        </m:r>
      </m:oMath>
      <w:r w:rsidR="00995023" w:rsidRPr="00B43E6C">
        <w:t>.</w:t>
      </w:r>
    </w:p>
    <w:p w14:paraId="68060BBA" w14:textId="77777777" w:rsidR="00995023" w:rsidRPr="00B43E6C" w:rsidRDefault="00995023" w:rsidP="00A71588">
      <w:pPr>
        <w:pStyle w:val="ListParagraph"/>
        <w:numPr>
          <w:ilvl w:val="0"/>
          <w:numId w:val="1"/>
        </w:numPr>
        <w:spacing w:line="480" w:lineRule="auto"/>
      </w:pP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oMath>
      <w:r w:rsidRPr="00B43E6C">
        <w:t xml:space="preserve"> represents the runoff from the soil surface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p>
    <w:p w14:paraId="4AFCDE2C"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I</m:t>
            </m:r>
          </m:e>
          <m:sub>
            <m:r>
              <w:rPr>
                <w:rFonts w:ascii="Cambria Math" w:hAnsi="Cambria Math"/>
              </w:rPr>
              <m:t>i</m:t>
            </m:r>
          </m:sub>
        </m:sSub>
      </m:oMath>
      <w:r w:rsidR="00995023" w:rsidRPr="00B43E6C">
        <w:t xml:space="preserve"> is the net irrigation </w:t>
      </w:r>
      <m:oMath>
        <m:r>
          <m:rPr>
            <m:sty m:val="p"/>
          </m:rPr>
          <w:rPr>
            <w:rFonts w:ascii="Cambria Math" w:hAnsi="Cambria Math"/>
          </w:rPr>
          <m:t>[</m:t>
        </m:r>
        <m:r>
          <w:rPr>
            <w:rFonts w:ascii="Cambria Math" w:hAnsi="Cambria Math"/>
          </w:rPr>
          <m:t>mm</m:t>
        </m:r>
        <m:r>
          <m:rPr>
            <m:sty m:val="p"/>
          </m:rPr>
          <w:rPr>
            <w:rFonts w:ascii="Cambria Math" w:hAnsi="Cambria Math"/>
          </w:rPr>
          <m:t>]</m:t>
        </m:r>
      </m:oMath>
      <w:r w:rsidR="00995023" w:rsidRPr="00B43E6C">
        <w:t>.</w:t>
      </w:r>
    </w:p>
    <w:p w14:paraId="61E424A2" w14:textId="77777777" w:rsidR="00995023" w:rsidRPr="00B43E6C" w:rsidRDefault="00995023" w:rsidP="00A71588">
      <w:pPr>
        <w:pStyle w:val="ListParagraph"/>
        <w:numPr>
          <w:ilvl w:val="0"/>
          <w:numId w:val="1"/>
        </w:numPr>
        <w:spacing w:line="480" w:lineRule="auto"/>
      </w:pPr>
      <m:oMath>
        <m:r>
          <w:rPr>
            <w:rFonts w:ascii="Cambria Math" w:hAnsi="Cambria Math"/>
          </w:rPr>
          <m:t>C</m:t>
        </m:r>
        <m:sSub>
          <m:sSubPr>
            <m:ctrlPr>
              <w:rPr>
                <w:rFonts w:ascii="Cambria Math" w:hAnsi="Cambria Math"/>
              </w:rPr>
            </m:ctrlPr>
          </m:sSubPr>
          <m:e>
            <m:r>
              <w:rPr>
                <w:rFonts w:ascii="Cambria Math" w:hAnsi="Cambria Math"/>
              </w:rPr>
              <m:t>R</m:t>
            </m:r>
          </m:e>
          <m:sub>
            <m:r>
              <w:rPr>
                <w:rFonts w:ascii="Cambria Math" w:hAnsi="Cambria Math"/>
              </w:rPr>
              <m:t>i</m:t>
            </m:r>
          </m:sub>
        </m:sSub>
      </m:oMath>
      <w:r w:rsidRPr="00B43E6C">
        <w:t xml:space="preserve">represents the water content transported upwards by capillary rise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rsidRPr="00B43E6C">
        <w:t>.</w:t>
      </w:r>
    </w:p>
    <w:p w14:paraId="085E5537" w14:textId="77777777" w:rsidR="00995023" w:rsidRPr="004B1135" w:rsidRDefault="00995023" w:rsidP="00A71588">
      <w:pPr>
        <w:pStyle w:val="ListParagraph"/>
        <w:numPr>
          <w:ilvl w:val="0"/>
          <w:numId w:val="1"/>
        </w:numPr>
        <w:spacing w:line="480" w:lineRule="auto"/>
      </w:p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c</m:t>
            </m:r>
            <m:r>
              <m:rPr>
                <m:sty m:val="p"/>
              </m:rPr>
              <w:rPr>
                <w:rFonts w:ascii="Cambria Math" w:hAnsi="Cambria Math"/>
              </w:rPr>
              <m:t>,</m:t>
            </m:r>
            <m:r>
              <w:rPr>
                <w:rFonts w:ascii="Cambria Math" w:hAnsi="Cambria Math"/>
              </w:rPr>
              <m:t>i</m:t>
            </m:r>
          </m:sub>
        </m:sSub>
      </m:oMath>
      <w:r w:rsidRPr="00B43E6C">
        <w:t xml:space="preserve"> is the crop evapotranspiration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rPr>
          <w:rFonts w:eastAsiaTheme="minorEastAsia"/>
        </w:rPr>
        <w:t>.</w:t>
      </w:r>
    </w:p>
    <w:p w14:paraId="25F7C3D9" w14:textId="77777777" w:rsidR="00995023" w:rsidRPr="00B43E6C" w:rsidRDefault="00995023" w:rsidP="00A71588">
      <w:pPr>
        <w:pStyle w:val="ListParagraph"/>
        <w:numPr>
          <w:ilvl w:val="0"/>
          <w:numId w:val="1"/>
        </w:numPr>
        <w:spacing w:line="480" w:lineRule="auto"/>
      </w:pPr>
      <m:oMath>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oMath>
      <w:r w:rsidRPr="00B43E6C">
        <w:t xml:space="preserve"> the water loss of the root zone by deep percolation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t>.</w:t>
      </w:r>
    </w:p>
    <w:bookmarkEnd w:id="13"/>
    <w:bookmarkEnd w:id="16"/>
    <w:p w14:paraId="2D211D65" w14:textId="77777777" w:rsidR="00995023" w:rsidRDefault="00995023" w:rsidP="00A71588">
      <w:pPr>
        <w:spacing w:line="480" w:lineRule="auto"/>
      </w:pPr>
      <w:r>
        <w:t>Then, it is important to note that the amount of water depleted never can be higher than the amount of water storage in the root zone: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18"/>
        <w:gridCol w:w="632"/>
      </w:tblGrid>
      <w:tr w:rsidR="00995023" w14:paraId="49F02643" w14:textId="77777777" w:rsidTr="00655DC3">
        <w:tc>
          <w:tcPr>
            <w:tcW w:w="4662" w:type="pct"/>
          </w:tcPr>
          <w:p w14:paraId="6A71830E" w14:textId="77777777" w:rsidR="00995023" w:rsidRDefault="00995023" w:rsidP="00A71588">
            <w:pPr>
              <w:spacing w:line="480" w:lineRule="auto"/>
            </w:pPr>
            <w:bookmarkStart w:id="17" w:name="_Hlk135836324"/>
            <m:oMathPara>
              <m:oMath>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r,i</m:t>
                    </m:r>
                  </m:sub>
                </m:sSub>
                <m:r>
                  <w:rPr>
                    <w:rFonts w:ascii="Cambria Math" w:hAnsi="Cambria Math"/>
                  </w:rPr>
                  <m:t xml:space="preserve">≤TAW </m:t>
                </m:r>
              </m:oMath>
            </m:oMathPara>
            <w:bookmarkEnd w:id="17"/>
          </w:p>
        </w:tc>
        <w:tc>
          <w:tcPr>
            <w:tcW w:w="338" w:type="pct"/>
          </w:tcPr>
          <w:p w14:paraId="1FBDA859" w14:textId="5DEBD56D" w:rsidR="00995023" w:rsidRDefault="00995023" w:rsidP="00A71588">
            <w:pPr>
              <w:spacing w:line="480" w:lineRule="auto"/>
            </w:pPr>
            <w:r>
              <w:t>[</w:t>
            </w:r>
            <w:fldSimple w:instr=" SEQ Equation \* ARABIC ">
              <w:r w:rsidR="00E154AE">
                <w:rPr>
                  <w:noProof/>
                </w:rPr>
                <w:t>11</w:t>
              </w:r>
            </w:fldSimple>
            <w:r>
              <w:t>]</w:t>
            </w:r>
          </w:p>
        </w:tc>
      </w:tr>
    </w:tbl>
    <w:p w14:paraId="3C1FAEA5" w14:textId="1F213AF8" w:rsidR="00E0503B" w:rsidRDefault="00E0503B" w:rsidP="00A71588">
      <w:pPr>
        <w:spacing w:before="240" w:after="120" w:line="480" w:lineRule="auto"/>
      </w:pPr>
      <w:bookmarkStart w:id="18" w:name="_Hlk135836332"/>
      <w:r>
        <w:t xml:space="preserve">And </w:t>
      </w:r>
      <m:oMath>
        <m:sSub>
          <m:sSubPr>
            <m:ctrlPr>
              <w:rPr>
                <w:rFonts w:ascii="Cambria Math" w:hAnsi="Cambria Math"/>
                <w:i/>
              </w:rPr>
            </m:ctrlPr>
          </m:sSubPr>
          <m:e>
            <m:r>
              <w:rPr>
                <w:rFonts w:ascii="Cambria Math" w:hAnsi="Cambria Math"/>
              </w:rPr>
              <m:t>D</m:t>
            </m:r>
          </m:e>
          <m:sub>
            <m:r>
              <w:rPr>
                <w:rFonts w:ascii="Cambria Math" w:hAnsi="Cambria Math"/>
              </w:rPr>
              <m:t>r,i</m:t>
            </m:r>
          </m:sub>
        </m:sSub>
      </m:oMath>
      <w:r>
        <w:t xml:space="preserve"> is also related to the Plant Available Water (</w:t>
      </w:r>
      <m:oMath>
        <m:r>
          <w:rPr>
            <w:rFonts w:ascii="Cambria Math" w:hAnsi="Cambria Math"/>
          </w:rPr>
          <m:t>PAW</m:t>
        </m:r>
      </m:oMath>
      <w:r>
        <w:t>) since: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18"/>
        <w:gridCol w:w="632"/>
      </w:tblGrid>
      <w:tr w:rsidR="00855807" w14:paraId="62BF19E4" w14:textId="77777777" w:rsidTr="00655DC3">
        <w:tc>
          <w:tcPr>
            <w:tcW w:w="4662" w:type="pct"/>
          </w:tcPr>
          <w:p w14:paraId="23C27105" w14:textId="15893672" w:rsidR="00855807" w:rsidRDefault="00855807" w:rsidP="00A71588">
            <w:pPr>
              <w:spacing w:line="480" w:lineRule="auto"/>
            </w:pPr>
            <m:oMathPara>
              <m:oMath>
                <m:r>
                  <w:rPr>
                    <w:rFonts w:ascii="Cambria Math" w:hAnsi="Cambria Math"/>
                  </w:rPr>
                  <m:t>PAW=TAW-</m:t>
                </m:r>
                <m:sSub>
                  <m:sSubPr>
                    <m:ctrlPr>
                      <w:rPr>
                        <w:rFonts w:ascii="Cambria Math" w:hAnsi="Cambria Math"/>
                        <w:i/>
                      </w:rPr>
                    </m:ctrlPr>
                  </m:sSubPr>
                  <m:e>
                    <m:r>
                      <w:rPr>
                        <w:rFonts w:ascii="Cambria Math" w:hAnsi="Cambria Math"/>
                      </w:rPr>
                      <m:t>D</m:t>
                    </m:r>
                  </m:e>
                  <m:sub>
                    <m:r>
                      <w:rPr>
                        <w:rFonts w:ascii="Cambria Math" w:hAnsi="Cambria Math"/>
                      </w:rPr>
                      <m:t>r,i</m:t>
                    </m:r>
                  </m:sub>
                </m:sSub>
                <m:r>
                  <w:rPr>
                    <w:rFonts w:ascii="Cambria Math" w:hAnsi="Cambria Math"/>
                  </w:rPr>
                  <m:t xml:space="preserve"> </m:t>
                </m:r>
              </m:oMath>
            </m:oMathPara>
          </w:p>
        </w:tc>
        <w:tc>
          <w:tcPr>
            <w:tcW w:w="338" w:type="pct"/>
          </w:tcPr>
          <w:p w14:paraId="75769F03" w14:textId="5876C75B" w:rsidR="00855807" w:rsidRDefault="00855807" w:rsidP="00A71588">
            <w:pPr>
              <w:spacing w:line="480" w:lineRule="auto"/>
            </w:pPr>
            <w:r>
              <w:t>[</w:t>
            </w:r>
            <w:fldSimple w:instr=" SEQ Equation \* ARABIC ">
              <w:r w:rsidR="00E154AE">
                <w:rPr>
                  <w:noProof/>
                </w:rPr>
                <w:t>12</w:t>
              </w:r>
            </w:fldSimple>
            <w:r>
              <w:t>]</w:t>
            </w:r>
          </w:p>
        </w:tc>
      </w:tr>
    </w:tbl>
    <w:bookmarkEnd w:id="18"/>
    <w:p w14:paraId="1CF8C091" w14:textId="7DD7F8D9" w:rsidR="00995023" w:rsidRPr="00D070FD" w:rsidRDefault="00995023" w:rsidP="00643BDD">
      <w:pPr>
        <w:pStyle w:val="ListParagraph"/>
        <w:numPr>
          <w:ilvl w:val="2"/>
          <w:numId w:val="2"/>
        </w:numPr>
        <w:tabs>
          <w:tab w:val="left" w:pos="284"/>
        </w:tabs>
        <w:spacing w:after="0" w:line="480" w:lineRule="auto"/>
        <w:ind w:left="0" w:firstLine="0"/>
        <w:contextualSpacing w:val="0"/>
        <w:rPr>
          <w:b/>
          <w:bCs/>
        </w:rPr>
      </w:pPr>
      <w:r w:rsidRPr="00D070FD">
        <w:rPr>
          <w:b/>
          <w:bCs/>
        </w:rPr>
        <w:t>Crop characteristics</w:t>
      </w:r>
    </w:p>
    <w:p w14:paraId="0E00478E" w14:textId="77777777" w:rsidR="00995023" w:rsidRDefault="00995023" w:rsidP="00643BDD">
      <w:pPr>
        <w:spacing w:after="0" w:line="480" w:lineRule="auto"/>
      </w:pPr>
      <w:r>
        <w:t>The crop characteristics represents specific crop properties that affects the inflow and outflow parameters.</w:t>
      </w:r>
    </w:p>
    <w:p w14:paraId="23FAB809" w14:textId="4896AEF3" w:rsidR="00D070FD" w:rsidRPr="00D070FD" w:rsidRDefault="00995023" w:rsidP="00643BDD">
      <w:pPr>
        <w:pStyle w:val="ListParagraph"/>
        <w:numPr>
          <w:ilvl w:val="1"/>
          <w:numId w:val="4"/>
        </w:numPr>
        <w:spacing w:after="0" w:line="480" w:lineRule="auto"/>
        <w:ind w:left="425" w:hanging="425"/>
        <w:contextualSpacing w:val="0"/>
        <w:rPr>
          <w:b/>
          <w:bCs/>
        </w:rPr>
      </w:pPr>
      <w:r w:rsidRPr="00D070FD">
        <w:rPr>
          <w:b/>
          <w:bCs/>
        </w:rPr>
        <w:t>Stages (</w:t>
      </w:r>
      <m:oMath>
        <m:r>
          <m:rPr>
            <m:sty m:val="bi"/>
          </m:rPr>
          <w:rPr>
            <w:rFonts w:ascii="Cambria Math" w:hAnsi="Cambria Math"/>
          </w:rPr>
          <m:t>days</m:t>
        </m:r>
      </m:oMath>
      <w:r w:rsidRPr="00D070FD">
        <w:rPr>
          <w:b/>
          <w:bCs/>
        </w:rPr>
        <w:t>)</w:t>
      </w:r>
    </w:p>
    <w:p w14:paraId="3BC5D400" w14:textId="5D731BB4" w:rsidR="00995023" w:rsidRPr="00B06DB1" w:rsidRDefault="00995023" w:rsidP="00643BDD">
      <w:pPr>
        <w:spacing w:after="0" w:line="480" w:lineRule="auto"/>
        <w:rPr>
          <w:b/>
          <w:bCs/>
        </w:rPr>
      </w:pPr>
      <w:r w:rsidRPr="00865203">
        <w:t>It corresponds to the initial, development, mid-season, and last</w:t>
      </w:r>
      <w:r>
        <w:t>-</w:t>
      </w:r>
      <w:r w:rsidRPr="00865203">
        <w:t>season crop production stages</w:t>
      </w:r>
      <w:r>
        <w:t xml:space="preserve"> relating the fruit (or pod) development. </w:t>
      </w:r>
    </w:p>
    <w:p w14:paraId="3CB8D13A" w14:textId="77777777" w:rsidR="00D070FD" w:rsidRPr="00D070FD" w:rsidRDefault="00995023" w:rsidP="00643BDD">
      <w:pPr>
        <w:pStyle w:val="ListParagraph"/>
        <w:numPr>
          <w:ilvl w:val="1"/>
          <w:numId w:val="4"/>
        </w:numPr>
        <w:spacing w:after="0" w:line="480" w:lineRule="auto"/>
        <w:ind w:left="425" w:hanging="425"/>
        <w:contextualSpacing w:val="0"/>
      </w:pPr>
      <w:r w:rsidRPr="00A77C4E">
        <w:rPr>
          <w:b/>
          <w:bCs/>
        </w:rPr>
        <w:t>Rooting depth (</w:t>
      </w:r>
      <m:oMath>
        <m:r>
          <m:rPr>
            <m:sty m:val="bi"/>
          </m:rPr>
          <w:rPr>
            <w:rFonts w:ascii="Cambria Math" w:hAnsi="Cambria Math"/>
          </w:rPr>
          <m:t>m</m:t>
        </m:r>
      </m:oMath>
      <w:r w:rsidRPr="00A77C4E">
        <w:rPr>
          <w:b/>
          <w:bCs/>
        </w:rPr>
        <w:t>)</w:t>
      </w:r>
    </w:p>
    <w:p w14:paraId="2F62CD6E" w14:textId="514A8B8F" w:rsidR="00643BDD" w:rsidRDefault="00995023" w:rsidP="00643BDD">
      <w:pPr>
        <w:spacing w:after="0" w:line="480" w:lineRule="auto"/>
      </w:pPr>
      <w:r>
        <w:t>It refers to the crop root depth.</w:t>
      </w:r>
    </w:p>
    <w:p w14:paraId="2AAF5C3E" w14:textId="1247B2D1" w:rsidR="00D070FD" w:rsidRDefault="00995023" w:rsidP="00643BDD">
      <w:pPr>
        <w:pStyle w:val="ListParagraph"/>
        <w:numPr>
          <w:ilvl w:val="1"/>
          <w:numId w:val="4"/>
        </w:numPr>
        <w:spacing w:after="0" w:line="480" w:lineRule="auto"/>
        <w:ind w:left="425" w:hanging="425"/>
        <w:contextualSpacing w:val="0"/>
      </w:pPr>
      <w:r w:rsidRPr="00D070FD">
        <w:rPr>
          <w:b/>
          <w:bCs/>
        </w:rPr>
        <w:t xml:space="preserve">Yield response factor - </w:t>
      </w:r>
      <m:oMath>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y</m:t>
            </m:r>
          </m:sub>
        </m:sSub>
      </m:oMath>
    </w:p>
    <w:p w14:paraId="7C6FCF19" w14:textId="2053FE0F" w:rsidR="00995023" w:rsidRDefault="00995023" w:rsidP="00A71588">
      <w:pPr>
        <w:pStyle w:val="ListParagraph"/>
        <w:tabs>
          <w:tab w:val="left" w:pos="426"/>
        </w:tabs>
        <w:spacing w:line="480" w:lineRule="auto"/>
        <w:ind w:left="0"/>
        <w:contextualSpacing w:val="0"/>
      </w:pPr>
      <w:r w:rsidRPr="00C53A4E">
        <w:t>I</w:t>
      </w:r>
      <w:r>
        <w:t xml:space="preserve">t represents the factor related to the yield reduction considering an evapotranspiration reduction. </w:t>
      </w:r>
      <w:r w:rsidRPr="00C53A4E">
        <w:t xml:space="preserve">See </w:t>
      </w:r>
      <w:r w:rsidRPr="006476A1">
        <w:t xml:space="preserve">the </w:t>
      </w:r>
      <w:r w:rsidR="00154085" w:rsidRPr="006476A1">
        <w:t xml:space="preserve">Appendix </w:t>
      </w:r>
      <w:r w:rsidR="006476A1" w:rsidRPr="006476A1">
        <w:t>C</w:t>
      </w:r>
      <w:r w:rsidR="00154085">
        <w:t xml:space="preserve"> </w:t>
      </w:r>
      <w:r w:rsidRPr="00C53A4E">
        <w:t xml:space="preserve">to follow the </w:t>
      </w:r>
      <w:r w:rsidR="00FF5C60">
        <w:t xml:space="preserve">strategy used for the </w:t>
      </w:r>
      <w:r w:rsidR="007B65E9">
        <w:t>parameter</w:t>
      </w:r>
      <w:r w:rsidRPr="00C53A4E">
        <w:t xml:space="preserve"> </w:t>
      </w:r>
      <w:r w:rsidR="00A43699">
        <w:t>calculation</w:t>
      </w:r>
      <w:r w:rsidRPr="00C53A4E">
        <w:t>.</w:t>
      </w:r>
    </w:p>
    <w:p w14:paraId="2CBD4D8B" w14:textId="77777777" w:rsidR="00DF6D08" w:rsidRPr="00C53A4E" w:rsidRDefault="00DF6D08" w:rsidP="00A71588">
      <w:pPr>
        <w:pStyle w:val="ListParagraph"/>
        <w:tabs>
          <w:tab w:val="left" w:pos="426"/>
        </w:tabs>
        <w:spacing w:line="480" w:lineRule="auto"/>
        <w:ind w:left="0"/>
        <w:contextualSpacing w:val="0"/>
      </w:pPr>
    </w:p>
    <w:p w14:paraId="4061F6C9" w14:textId="3D9C2C7B" w:rsidR="00D070FD" w:rsidRPr="00D070FD" w:rsidRDefault="00995023" w:rsidP="00643BDD">
      <w:pPr>
        <w:pStyle w:val="ListParagraph"/>
        <w:numPr>
          <w:ilvl w:val="1"/>
          <w:numId w:val="4"/>
        </w:numPr>
        <w:spacing w:after="0" w:line="480" w:lineRule="auto"/>
        <w:ind w:left="425" w:hanging="425"/>
        <w:contextualSpacing w:val="0"/>
      </w:pPr>
      <w:r w:rsidRPr="00D070FD">
        <w:rPr>
          <w:b/>
          <w:bCs/>
        </w:rPr>
        <w:lastRenderedPageBreak/>
        <w:t>Crop height (</w:t>
      </w:r>
      <m:oMath>
        <m:r>
          <m:rPr>
            <m:sty m:val="bi"/>
          </m:rPr>
          <w:rPr>
            <w:rFonts w:ascii="Cambria Math" w:hAnsi="Cambria Math"/>
          </w:rPr>
          <m:t>m</m:t>
        </m:r>
      </m:oMath>
      <w:r w:rsidRPr="00D070FD">
        <w:rPr>
          <w:b/>
          <w:bCs/>
        </w:rPr>
        <w:t>)</w:t>
      </w:r>
    </w:p>
    <w:p w14:paraId="6868DFA0" w14:textId="6CDB9EA4" w:rsidR="00995023" w:rsidRDefault="00995023" w:rsidP="00A71588">
      <w:pPr>
        <w:pStyle w:val="ListParagraph"/>
        <w:tabs>
          <w:tab w:val="left" w:pos="567"/>
        </w:tabs>
        <w:spacing w:line="480" w:lineRule="auto"/>
        <w:ind w:left="0"/>
        <w:contextualSpacing w:val="0"/>
      </w:pPr>
      <w:r w:rsidRPr="00C53A4E">
        <w:t>It is the actual crop height.</w:t>
      </w:r>
    </w:p>
    <w:p w14:paraId="1A57EC8C" w14:textId="66E156B5" w:rsidR="00995023" w:rsidRPr="00D070FD" w:rsidRDefault="00995023" w:rsidP="00643BDD">
      <w:pPr>
        <w:pStyle w:val="ListParagraph"/>
        <w:numPr>
          <w:ilvl w:val="2"/>
          <w:numId w:val="2"/>
        </w:numPr>
        <w:tabs>
          <w:tab w:val="left" w:pos="284"/>
        </w:tabs>
        <w:spacing w:after="0" w:line="480" w:lineRule="auto"/>
        <w:ind w:left="0" w:firstLine="0"/>
        <w:contextualSpacing w:val="0"/>
        <w:rPr>
          <w:b/>
          <w:bCs/>
        </w:rPr>
      </w:pPr>
      <w:r w:rsidRPr="00D070FD">
        <w:rPr>
          <w:b/>
          <w:bCs/>
        </w:rPr>
        <w:t>Soil characteristics</w:t>
      </w:r>
    </w:p>
    <w:p w14:paraId="433E30EA" w14:textId="4055D5B5" w:rsidR="00D070FD" w:rsidRPr="00643BDD" w:rsidRDefault="00995023" w:rsidP="00643BDD">
      <w:pPr>
        <w:pStyle w:val="ListParagraph"/>
        <w:numPr>
          <w:ilvl w:val="1"/>
          <w:numId w:val="6"/>
        </w:numPr>
        <w:spacing w:after="0" w:line="480" w:lineRule="auto"/>
        <w:ind w:left="426" w:hanging="426"/>
        <w:rPr>
          <w:b/>
          <w:bCs/>
        </w:rPr>
      </w:pPr>
      <w:r w:rsidRPr="00643BDD">
        <w:rPr>
          <w:b/>
          <w:bCs/>
        </w:rPr>
        <w:t>Maximum rain infiltration rate (</w:t>
      </w:r>
      <m:oMath>
        <m:r>
          <m:rPr>
            <m:sty m:val="bi"/>
          </m:rPr>
          <w:rPr>
            <w:rFonts w:ascii="Cambria Math" w:hAnsi="Cambria Math"/>
          </w:rPr>
          <m:t>mm/day</m:t>
        </m:r>
      </m:oMath>
      <w:r w:rsidRPr="00643BDD">
        <w:rPr>
          <w:b/>
          <w:bCs/>
        </w:rPr>
        <w:t>)</w:t>
      </w:r>
    </w:p>
    <w:p w14:paraId="3A1A6E28" w14:textId="52708F81" w:rsidR="00995023" w:rsidRDefault="00995023" w:rsidP="00A71588">
      <w:pPr>
        <w:tabs>
          <w:tab w:val="left" w:pos="567"/>
        </w:tabs>
        <w:spacing w:line="480" w:lineRule="auto"/>
      </w:pPr>
      <w:r>
        <w:t>It refers to the maximum amount of water that enters the soil per time. It depends on the soil type considering that every soil allows different amounts of water infiltration. The textural triangle supported by the United States Department of Agriculture allows determining the soil type according to the percent of clay, silt, and sand the land possesses.</w:t>
      </w:r>
    </w:p>
    <w:p w14:paraId="33F709D9" w14:textId="77777777" w:rsidR="00DF6D08" w:rsidRDefault="00DF6D08" w:rsidP="00DF6D08">
      <w:pPr>
        <w:pStyle w:val="Caption"/>
        <w:spacing w:after="0"/>
        <w:rPr>
          <w:i w:val="0"/>
          <w:iCs w:val="0"/>
          <w:color w:val="auto"/>
          <w:sz w:val="20"/>
          <w:szCs w:val="20"/>
        </w:rPr>
      </w:pPr>
      <w:r w:rsidRPr="007D4817">
        <w:rPr>
          <w:i w:val="0"/>
          <w:iCs w:val="0"/>
          <w:color w:val="auto"/>
          <w:sz w:val="20"/>
          <w:szCs w:val="20"/>
        </w:rPr>
        <w:t>Figure</w:t>
      </w:r>
      <w:r>
        <w:rPr>
          <w:i w:val="0"/>
          <w:iCs w:val="0"/>
          <w:color w:val="auto"/>
          <w:sz w:val="20"/>
          <w:szCs w:val="20"/>
        </w:rPr>
        <w:t xml:space="preserve"> B</w:t>
      </w:r>
      <w:r w:rsidRPr="007D4817">
        <w:rPr>
          <w:i w:val="0"/>
          <w:iCs w:val="0"/>
          <w:color w:val="auto"/>
          <w:sz w:val="20"/>
          <w:szCs w:val="20"/>
        </w:rPr>
        <w:fldChar w:fldCharType="begin"/>
      </w:r>
      <w:r w:rsidRPr="007D4817">
        <w:rPr>
          <w:i w:val="0"/>
          <w:iCs w:val="0"/>
          <w:color w:val="auto"/>
          <w:sz w:val="20"/>
          <w:szCs w:val="20"/>
        </w:rPr>
        <w:instrText xml:space="preserve"> SEQ Figure \* ARABIC </w:instrText>
      </w:r>
      <w:r w:rsidRPr="007D4817">
        <w:rPr>
          <w:i w:val="0"/>
          <w:iCs w:val="0"/>
          <w:color w:val="auto"/>
          <w:sz w:val="20"/>
          <w:szCs w:val="20"/>
        </w:rPr>
        <w:fldChar w:fldCharType="separate"/>
      </w:r>
      <w:r>
        <w:rPr>
          <w:i w:val="0"/>
          <w:iCs w:val="0"/>
          <w:noProof/>
          <w:color w:val="auto"/>
          <w:sz w:val="20"/>
          <w:szCs w:val="20"/>
        </w:rPr>
        <w:t>4</w:t>
      </w:r>
      <w:r w:rsidRPr="007D4817">
        <w:rPr>
          <w:i w:val="0"/>
          <w:iCs w:val="0"/>
          <w:color w:val="auto"/>
          <w:sz w:val="20"/>
          <w:szCs w:val="20"/>
        </w:rPr>
        <w:fldChar w:fldCharType="end"/>
      </w:r>
      <w:r w:rsidRPr="00DF6D08">
        <w:rPr>
          <w:i w:val="0"/>
          <w:iCs w:val="0"/>
          <w:color w:val="FFFFFF" w:themeColor="background1"/>
          <w:sz w:val="20"/>
          <w:szCs w:val="20"/>
        </w:rPr>
        <w:t xml:space="preserve">: Textural triangle. Retrieved from Soil Science Division Staff </w:t>
      </w:r>
      <w:r w:rsidRPr="00DF6D08">
        <w:rPr>
          <w:i w:val="0"/>
          <w:iCs w:val="0"/>
          <w:color w:val="FFFFFF" w:themeColor="background1"/>
          <w:sz w:val="20"/>
          <w:szCs w:val="20"/>
        </w:rPr>
        <w:fldChar w:fldCharType="begin" w:fldLock="1"/>
      </w:r>
      <w:r w:rsidRPr="00DF6D08">
        <w:rPr>
          <w:i w:val="0"/>
          <w:iCs w:val="0"/>
          <w:color w:val="FFFFFF" w:themeColor="background1"/>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suppress-author":1,"uris":["http://www.mendeley.com/documents/?uuid=7af0f411-d91b-48e6-ace8-a38523774551"]}],"mendeley":{"formattedCitation":"(2017)","plainTextFormattedCitation":"(2017)","previouslyFormattedCitation":"(2017)"},"properties":{"noteIndex":0},"schema":"https://github.com/citation-style-language/schema/raw/master/csl-citation.json"}</w:instrText>
      </w:r>
      <w:r w:rsidRPr="00DF6D08">
        <w:rPr>
          <w:i w:val="0"/>
          <w:iCs w:val="0"/>
          <w:color w:val="FFFFFF" w:themeColor="background1"/>
          <w:sz w:val="20"/>
          <w:szCs w:val="20"/>
        </w:rPr>
        <w:fldChar w:fldCharType="separate"/>
      </w:r>
      <w:r w:rsidRPr="00DF6D08">
        <w:rPr>
          <w:i w:val="0"/>
          <w:iCs w:val="0"/>
          <w:noProof/>
          <w:color w:val="FFFFFF" w:themeColor="background1"/>
          <w:sz w:val="20"/>
          <w:szCs w:val="20"/>
        </w:rPr>
        <w:t>(2017)</w:t>
      </w:r>
      <w:r w:rsidRPr="00DF6D08">
        <w:rPr>
          <w:i w:val="0"/>
          <w:iCs w:val="0"/>
          <w:color w:val="FFFFFF" w:themeColor="background1"/>
          <w:sz w:val="20"/>
          <w:szCs w:val="20"/>
        </w:rPr>
        <w:fldChar w:fldCharType="end"/>
      </w:r>
      <w:r w:rsidRPr="00DF6D08">
        <w:rPr>
          <w:i w:val="0"/>
          <w:iCs w:val="0"/>
          <w:color w:val="FFFFFF" w:themeColor="background1"/>
          <w:sz w:val="20"/>
          <w:szCs w:val="20"/>
        </w:rPr>
        <w:t>.</w:t>
      </w:r>
    </w:p>
    <w:p w14:paraId="229D4070" w14:textId="05BDCBFA" w:rsidR="00DF6D08" w:rsidRPr="00DF6D08" w:rsidRDefault="00DF6D08" w:rsidP="00DF6D08">
      <w:r w:rsidRPr="007D4817">
        <w:rPr>
          <w:sz w:val="20"/>
          <w:szCs w:val="20"/>
        </w:rPr>
        <w:t>Textural triangle. Retrieved from</w:t>
      </w:r>
      <w:r>
        <w:rPr>
          <w:sz w:val="20"/>
          <w:szCs w:val="20"/>
        </w:rPr>
        <w:t xml:space="preserve"> </w:t>
      </w:r>
      <w:r w:rsidRPr="00865203">
        <w:rPr>
          <w:sz w:val="20"/>
          <w:szCs w:val="20"/>
        </w:rPr>
        <w:t xml:space="preserve">Soil Science Division Staff </w:t>
      </w:r>
      <w:r w:rsidRPr="00865203">
        <w:rPr>
          <w:i/>
          <w:iCs/>
          <w:sz w:val="20"/>
          <w:szCs w:val="20"/>
        </w:rPr>
        <w:fldChar w:fldCharType="begin" w:fldLock="1"/>
      </w:r>
      <w:r>
        <w:rPr>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suppress-author":1,"uris":["http://www.mendeley.com/documents/?uuid=7af0f411-d91b-48e6-ace8-a38523774551"]}],"mendeley":{"formattedCitation":"(2017)","plainTextFormattedCitation":"(2017)","previouslyFormattedCitation":"(2017)"},"properties":{"noteIndex":0},"schema":"https://github.com/citation-style-language/schema/raw/master/csl-citation.json"}</w:instrText>
      </w:r>
      <w:r w:rsidRPr="00865203">
        <w:rPr>
          <w:i/>
          <w:iCs/>
          <w:sz w:val="20"/>
          <w:szCs w:val="20"/>
        </w:rPr>
        <w:fldChar w:fldCharType="separate"/>
      </w:r>
      <w:r w:rsidRPr="00087C3C">
        <w:rPr>
          <w:noProof/>
          <w:sz w:val="20"/>
          <w:szCs w:val="20"/>
        </w:rPr>
        <w:t>(2017)</w:t>
      </w:r>
      <w:r w:rsidRPr="00865203">
        <w:rPr>
          <w:i/>
          <w:iCs/>
          <w:sz w:val="20"/>
          <w:szCs w:val="20"/>
        </w:rPr>
        <w:fldChar w:fldCharType="end"/>
      </w:r>
      <w:r>
        <w:rPr>
          <w:sz w:val="20"/>
          <w:szCs w:val="20"/>
        </w:rPr>
        <w:t>.</w:t>
      </w:r>
    </w:p>
    <w:p w14:paraId="2300D052" w14:textId="77777777" w:rsidR="00995023" w:rsidRDefault="00995023" w:rsidP="00A71588">
      <w:pPr>
        <w:pStyle w:val="ListParagraph"/>
        <w:keepNext/>
        <w:spacing w:after="40" w:line="480" w:lineRule="auto"/>
        <w:ind w:left="0"/>
        <w:contextualSpacing w:val="0"/>
        <w:jc w:val="center"/>
      </w:pPr>
      <w:r w:rsidRPr="007D4817">
        <w:rPr>
          <w:noProof/>
        </w:rPr>
        <w:drawing>
          <wp:inline distT="0" distB="0" distL="0" distR="0" wp14:anchorId="742E487B" wp14:editId="2853697C">
            <wp:extent cx="3641798" cy="3299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422" cy="3416336"/>
                    </a:xfrm>
                    <a:prstGeom prst="rect">
                      <a:avLst/>
                    </a:prstGeom>
                  </pic:spPr>
                </pic:pic>
              </a:graphicData>
            </a:graphic>
          </wp:inline>
        </w:drawing>
      </w:r>
    </w:p>
    <w:p w14:paraId="581C0325" w14:textId="4AF3F13F" w:rsidR="00D070FD" w:rsidRPr="00D070FD" w:rsidRDefault="00995023" w:rsidP="00643BDD">
      <w:pPr>
        <w:pStyle w:val="ListParagraph"/>
        <w:numPr>
          <w:ilvl w:val="1"/>
          <w:numId w:val="6"/>
        </w:numPr>
        <w:spacing w:after="0" w:line="480" w:lineRule="auto"/>
        <w:ind w:left="426" w:hanging="426"/>
      </w:pPr>
      <w:r w:rsidRPr="00D070FD">
        <w:rPr>
          <w:b/>
          <w:bCs/>
        </w:rPr>
        <w:t>Maximum rooting depth (</w:t>
      </w:r>
      <m:oMath>
        <m:r>
          <m:rPr>
            <m:sty m:val="bi"/>
          </m:rPr>
          <w:rPr>
            <w:rFonts w:ascii="Cambria Math" w:hAnsi="Cambria Math"/>
          </w:rPr>
          <m:t>cm</m:t>
        </m:r>
      </m:oMath>
      <w:r w:rsidRPr="00D070FD">
        <w:rPr>
          <w:b/>
          <w:bCs/>
        </w:rPr>
        <w:t>)</w:t>
      </w:r>
    </w:p>
    <w:p w14:paraId="41F597F9" w14:textId="6BD980A5" w:rsidR="00DF6D08" w:rsidRDefault="00995023" w:rsidP="00A71588">
      <w:pPr>
        <w:pStyle w:val="ListParagraph"/>
        <w:tabs>
          <w:tab w:val="left" w:pos="567"/>
        </w:tabs>
        <w:spacing w:line="480" w:lineRule="auto"/>
        <w:ind w:left="0"/>
        <w:contextualSpacing w:val="0"/>
      </w:pPr>
      <w:r>
        <w:t>It refers to the crop's maximum rooting depth.</w:t>
      </w:r>
    </w:p>
    <w:p w14:paraId="12293427" w14:textId="77777777" w:rsidR="00DF6D08" w:rsidRDefault="00DF6D08">
      <w:pPr>
        <w:spacing w:line="259" w:lineRule="auto"/>
        <w:jc w:val="left"/>
      </w:pPr>
      <w:r>
        <w:br w:type="page"/>
      </w:r>
    </w:p>
    <w:p w14:paraId="2DF4646C" w14:textId="77777777" w:rsidR="00607D02" w:rsidRPr="00D070FD" w:rsidRDefault="00607D02" w:rsidP="00343DB3">
      <w:pPr>
        <w:spacing w:after="360" w:line="480" w:lineRule="auto"/>
        <w:jc w:val="center"/>
        <w:rPr>
          <w:b/>
          <w:bCs/>
        </w:rPr>
      </w:pPr>
      <w:r w:rsidRPr="00D070FD">
        <w:rPr>
          <w:b/>
          <w:bCs/>
        </w:rPr>
        <w:lastRenderedPageBreak/>
        <w:t>Parameters related to the water content in the root zone</w:t>
      </w:r>
    </w:p>
    <w:p w14:paraId="13BD49A0" w14:textId="12BD7B9A" w:rsidR="00607D02" w:rsidRDefault="00327FCE" w:rsidP="00643BDD">
      <w:pPr>
        <w:pStyle w:val="Caption"/>
        <w:spacing w:after="0"/>
        <w:rPr>
          <w:i w:val="0"/>
          <w:iCs w:val="0"/>
          <w:color w:val="auto"/>
          <w:sz w:val="20"/>
          <w:szCs w:val="20"/>
        </w:rPr>
      </w:pPr>
      <w:bookmarkStart w:id="19" w:name="_Hlk135835835"/>
      <w:r w:rsidRPr="00327FCE">
        <w:rPr>
          <w:i w:val="0"/>
          <w:iCs w:val="0"/>
          <w:color w:val="auto"/>
          <w:sz w:val="20"/>
          <w:szCs w:val="20"/>
        </w:rPr>
        <w:t xml:space="preserve">Table </w:t>
      </w:r>
      <w:r w:rsidR="00BF7EA7">
        <w:rPr>
          <w:i w:val="0"/>
          <w:iCs w:val="0"/>
          <w:color w:val="auto"/>
          <w:sz w:val="20"/>
          <w:szCs w:val="20"/>
        </w:rPr>
        <w:t>B</w:t>
      </w:r>
      <w:r w:rsidRPr="00327FCE">
        <w:rPr>
          <w:i w:val="0"/>
          <w:iCs w:val="0"/>
          <w:color w:val="auto"/>
          <w:sz w:val="20"/>
          <w:szCs w:val="20"/>
        </w:rPr>
        <w:fldChar w:fldCharType="begin"/>
      </w:r>
      <w:r w:rsidRPr="00327FCE">
        <w:rPr>
          <w:i w:val="0"/>
          <w:iCs w:val="0"/>
          <w:color w:val="auto"/>
          <w:sz w:val="20"/>
          <w:szCs w:val="20"/>
        </w:rPr>
        <w:instrText xml:space="preserve"> SEQ Table_A \* ARABIC </w:instrText>
      </w:r>
      <w:r w:rsidRPr="00327FCE">
        <w:rPr>
          <w:i w:val="0"/>
          <w:iCs w:val="0"/>
          <w:color w:val="auto"/>
          <w:sz w:val="20"/>
          <w:szCs w:val="20"/>
        </w:rPr>
        <w:fldChar w:fldCharType="separate"/>
      </w:r>
      <w:r w:rsidR="00E154AE">
        <w:rPr>
          <w:i w:val="0"/>
          <w:iCs w:val="0"/>
          <w:noProof/>
          <w:color w:val="auto"/>
          <w:sz w:val="20"/>
          <w:szCs w:val="20"/>
        </w:rPr>
        <w:t>1</w:t>
      </w:r>
      <w:r w:rsidRPr="00327FCE">
        <w:rPr>
          <w:i w:val="0"/>
          <w:iCs w:val="0"/>
          <w:color w:val="auto"/>
          <w:sz w:val="20"/>
          <w:szCs w:val="20"/>
        </w:rPr>
        <w:fldChar w:fldCharType="end"/>
      </w:r>
      <w:r w:rsidR="00607D02" w:rsidRPr="00327FCE">
        <w:rPr>
          <w:i w:val="0"/>
          <w:iCs w:val="0"/>
          <w:color w:val="FFFFFF" w:themeColor="background1"/>
          <w:sz w:val="24"/>
          <w:szCs w:val="24"/>
        </w:rPr>
        <w:t>:</w:t>
      </w:r>
      <w:r w:rsidR="00607D02" w:rsidRPr="00801BE2">
        <w:rPr>
          <w:i w:val="0"/>
          <w:iCs w:val="0"/>
          <w:color w:val="FFFFFF" w:themeColor="background1"/>
          <w:sz w:val="20"/>
          <w:szCs w:val="20"/>
        </w:rPr>
        <w:t xml:space="preserve"> Water content parameters</w:t>
      </w:r>
    </w:p>
    <w:p w14:paraId="5FBE2928" w14:textId="77777777" w:rsidR="00607D02" w:rsidRPr="00607D02" w:rsidRDefault="00607D02" w:rsidP="00643BDD">
      <w:pPr>
        <w:spacing w:after="40" w:line="240" w:lineRule="auto"/>
        <w:rPr>
          <w:sz w:val="20"/>
          <w:szCs w:val="18"/>
        </w:rPr>
      </w:pPr>
      <w:r w:rsidRPr="00607D02">
        <w:rPr>
          <w:sz w:val="20"/>
          <w:szCs w:val="18"/>
        </w:rPr>
        <w:t>Crop water balance parameters</w:t>
      </w:r>
    </w:p>
    <w:tbl>
      <w:tblPr>
        <w:tblStyle w:val="PlainTable4"/>
        <w:tblW w:w="5080" w:type="pct"/>
        <w:tblLayout w:type="fixed"/>
        <w:tblLook w:val="04A0" w:firstRow="1" w:lastRow="0" w:firstColumn="1" w:lastColumn="0" w:noHBand="0" w:noVBand="1"/>
      </w:tblPr>
      <w:tblGrid>
        <w:gridCol w:w="1351"/>
        <w:gridCol w:w="1951"/>
        <w:gridCol w:w="1202"/>
        <w:gridCol w:w="2256"/>
        <w:gridCol w:w="2750"/>
      </w:tblGrid>
      <w:tr w:rsidR="00607D02" w:rsidRPr="008A1C91" w14:paraId="7C4E85D2" w14:textId="77777777" w:rsidTr="00A762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tcBorders>
              <w:top w:val="single" w:sz="4" w:space="0" w:color="auto"/>
              <w:bottom w:val="single" w:sz="4" w:space="0" w:color="auto"/>
            </w:tcBorders>
          </w:tcPr>
          <w:p w14:paraId="1D3DDFEA" w14:textId="77777777" w:rsidR="00607D02" w:rsidRPr="008A1C91" w:rsidRDefault="00607D02" w:rsidP="00643BDD">
            <w:pPr>
              <w:spacing w:line="240" w:lineRule="auto"/>
              <w:jc w:val="center"/>
              <w:rPr>
                <w:b w:val="0"/>
                <w:bCs w:val="0"/>
                <w:sz w:val="20"/>
                <w:szCs w:val="20"/>
              </w:rPr>
            </w:pPr>
            <w:r w:rsidRPr="008A1C91">
              <w:rPr>
                <w:b w:val="0"/>
                <w:bCs w:val="0"/>
                <w:sz w:val="20"/>
                <w:szCs w:val="20"/>
              </w:rPr>
              <w:t>Component</w:t>
            </w:r>
          </w:p>
        </w:tc>
        <w:tc>
          <w:tcPr>
            <w:tcW w:w="1026" w:type="pct"/>
            <w:tcBorders>
              <w:top w:val="single" w:sz="4" w:space="0" w:color="auto"/>
              <w:bottom w:val="single" w:sz="4" w:space="0" w:color="auto"/>
            </w:tcBorders>
          </w:tcPr>
          <w:p w14:paraId="69C3DB90"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Input Parameters</w:t>
            </w:r>
          </w:p>
        </w:tc>
        <w:tc>
          <w:tcPr>
            <w:tcW w:w="632" w:type="pct"/>
            <w:tcBorders>
              <w:top w:val="single" w:sz="4" w:space="0" w:color="auto"/>
              <w:bottom w:val="single" w:sz="4" w:space="0" w:color="auto"/>
            </w:tcBorders>
          </w:tcPr>
          <w:p w14:paraId="19CB0F10"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Unit</w:t>
            </w:r>
          </w:p>
        </w:tc>
        <w:tc>
          <w:tcPr>
            <w:tcW w:w="1186" w:type="pct"/>
            <w:tcBorders>
              <w:top w:val="single" w:sz="4" w:space="0" w:color="auto"/>
              <w:bottom w:val="single" w:sz="4" w:space="0" w:color="auto"/>
            </w:tcBorders>
          </w:tcPr>
          <w:p w14:paraId="1E0D93EF"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Independent Parameter</w:t>
            </w:r>
          </w:p>
        </w:tc>
        <w:tc>
          <w:tcPr>
            <w:tcW w:w="1446" w:type="pct"/>
            <w:tcBorders>
              <w:top w:val="single" w:sz="4" w:space="0" w:color="auto"/>
              <w:bottom w:val="single" w:sz="4" w:space="0" w:color="auto"/>
            </w:tcBorders>
          </w:tcPr>
          <w:p w14:paraId="09F0F75E"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Source</w:t>
            </w:r>
          </w:p>
        </w:tc>
      </w:tr>
      <w:tr w:rsidR="00607D02" w:rsidRPr="008A1C91" w14:paraId="4439FD48"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val="restart"/>
            <w:tcBorders>
              <w:top w:val="single" w:sz="4" w:space="0" w:color="auto"/>
            </w:tcBorders>
          </w:tcPr>
          <w:p w14:paraId="6B70BDBA" w14:textId="77777777" w:rsidR="00607D02" w:rsidRPr="008A1C91" w:rsidRDefault="00607D02" w:rsidP="00643BDD">
            <w:pPr>
              <w:spacing w:line="240" w:lineRule="auto"/>
              <w:jc w:val="left"/>
              <w:rPr>
                <w:rFonts w:eastAsiaTheme="minorEastAsia"/>
                <w:b w:val="0"/>
                <w:bCs w:val="0"/>
                <w:sz w:val="20"/>
                <w:szCs w:val="20"/>
              </w:rPr>
            </w:pPr>
            <w:r w:rsidRPr="008A1C91">
              <w:rPr>
                <w:rFonts w:eastAsiaTheme="minorEastAsia"/>
                <w:b w:val="0"/>
                <w:bCs w:val="0"/>
                <w:sz w:val="20"/>
                <w:szCs w:val="20"/>
              </w:rPr>
              <w:t>Water content</w:t>
            </w:r>
          </w:p>
        </w:tc>
        <w:tc>
          <w:tcPr>
            <w:tcW w:w="1026" w:type="pct"/>
            <w:tcBorders>
              <w:top w:val="single" w:sz="4" w:space="0" w:color="auto"/>
            </w:tcBorders>
          </w:tcPr>
          <w:p w14:paraId="5F2B6CE6"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Irrigation</w:t>
            </w:r>
          </w:p>
        </w:tc>
        <w:tc>
          <w:tcPr>
            <w:tcW w:w="632" w:type="pct"/>
            <w:tcBorders>
              <w:top w:val="single" w:sz="4" w:space="0" w:color="auto"/>
            </w:tcBorders>
          </w:tcPr>
          <w:p w14:paraId="1FFD95CA" w14:textId="3084FDFB"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Borders>
              <w:top w:val="single" w:sz="4" w:space="0" w:color="auto"/>
            </w:tcBorders>
          </w:tcPr>
          <w:p w14:paraId="5E681EE1"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Borders>
              <w:top w:val="single" w:sz="4" w:space="0" w:color="auto"/>
            </w:tcBorders>
          </w:tcPr>
          <w:p w14:paraId="5B7575ED"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Decision-maker control</w:t>
            </w:r>
          </w:p>
        </w:tc>
      </w:tr>
      <w:tr w:rsidR="00607D02" w:rsidRPr="008A1C91" w14:paraId="2BB96CB8"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7FB69A7B"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1B514D08"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Precipitation</w:t>
            </w:r>
          </w:p>
        </w:tc>
        <w:tc>
          <w:tcPr>
            <w:tcW w:w="632" w:type="pct"/>
          </w:tcPr>
          <w:p w14:paraId="1904F890" w14:textId="55D4CFFC"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6EC058D1"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641C4615" w14:textId="5E526B7C"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4A68B76B"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38CA790"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4604F530"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Capillary rise</w:t>
            </w:r>
          </w:p>
        </w:tc>
        <w:tc>
          <w:tcPr>
            <w:tcW w:w="632" w:type="pct"/>
          </w:tcPr>
          <w:p w14:paraId="473EFCEB" w14:textId="04A03837"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56798BFA"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0FFBD00A" w14:textId="5F8AE61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Negligible</w:t>
            </w:r>
            <w:r w:rsidR="005339E2" w:rsidRPr="008A1C91">
              <w:rPr>
                <w:sz w:val="20"/>
                <w:szCs w:val="20"/>
              </w:rPr>
              <w:t xml:space="preserve"> </w:t>
            </w:r>
            <w:r w:rsidR="005339E2"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005339E2" w:rsidRPr="008A1C91">
              <w:rPr>
                <w:sz w:val="20"/>
                <w:szCs w:val="20"/>
              </w:rPr>
              <w:fldChar w:fldCharType="separate"/>
            </w:r>
            <w:r w:rsidR="00087C3C" w:rsidRPr="008A1C91">
              <w:rPr>
                <w:noProof/>
                <w:sz w:val="20"/>
                <w:szCs w:val="20"/>
              </w:rPr>
              <w:t>(Allen et al., 2006)</w:t>
            </w:r>
            <w:r w:rsidR="005339E2" w:rsidRPr="008A1C91">
              <w:rPr>
                <w:sz w:val="20"/>
                <w:szCs w:val="20"/>
              </w:rPr>
              <w:fldChar w:fldCharType="end"/>
            </w:r>
          </w:p>
        </w:tc>
      </w:tr>
      <w:tr w:rsidR="00607D02" w:rsidRPr="008A1C91" w14:paraId="3B7BBDE3"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2E516F05"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051CE2EB"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Deep percolation</w:t>
            </w:r>
          </w:p>
        </w:tc>
        <w:tc>
          <w:tcPr>
            <w:tcW w:w="632" w:type="pct"/>
          </w:tcPr>
          <w:p w14:paraId="403A0B84" w14:textId="246742A5"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0DD89EFF"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4A586085" w14:textId="2033378F" w:rsidR="00607D02" w:rsidRPr="008A1C91" w:rsidRDefault="004C378E"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Negligible</w:t>
            </w:r>
          </w:p>
        </w:tc>
      </w:tr>
      <w:tr w:rsidR="00607D02" w:rsidRPr="008A1C91" w14:paraId="7A5D74B9"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153072B4"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7EAD1092"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Runoff</w:t>
            </w:r>
          </w:p>
        </w:tc>
        <w:tc>
          <w:tcPr>
            <w:tcW w:w="632" w:type="pct"/>
          </w:tcPr>
          <w:p w14:paraId="50619F2F" w14:textId="231F20E0"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4C24A883"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35618CA5"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Negligible</w:t>
            </w:r>
          </w:p>
        </w:tc>
      </w:tr>
      <w:tr w:rsidR="00607D02" w:rsidRPr="008A1C91" w14:paraId="3B534D40"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6E53D4CA" w14:textId="77777777" w:rsidR="00607D02" w:rsidRPr="008A1C91" w:rsidRDefault="00607D02" w:rsidP="00643BDD">
            <w:pPr>
              <w:spacing w:line="240" w:lineRule="auto"/>
              <w:jc w:val="left"/>
              <w:rPr>
                <w:b w:val="0"/>
                <w:bCs w:val="0"/>
                <w:sz w:val="20"/>
                <w:szCs w:val="20"/>
              </w:rPr>
            </w:pPr>
          </w:p>
        </w:tc>
        <w:tc>
          <w:tcPr>
            <w:tcW w:w="1026" w:type="pct"/>
            <w:vMerge w:val="restart"/>
          </w:tcPr>
          <w:p w14:paraId="211745B1" w14:textId="693F60C0" w:rsidR="00607D02" w:rsidRPr="008A1C91" w:rsidRDefault="00A762B9"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oMath>
            </m:oMathPara>
          </w:p>
        </w:tc>
        <w:tc>
          <w:tcPr>
            <w:tcW w:w="632" w:type="pct"/>
            <w:vMerge w:val="restart"/>
          </w:tcPr>
          <w:p w14:paraId="14D957F8" w14:textId="7CB11F6F"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18"/>
                  </w:rPr>
                  <m:t>mm/day</m:t>
                </m:r>
              </m:oMath>
            </m:oMathPara>
          </w:p>
        </w:tc>
        <w:tc>
          <w:tcPr>
            <w:tcW w:w="1186" w:type="pct"/>
          </w:tcPr>
          <w:p w14:paraId="71106F33" w14:textId="3905AAA3"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Minimum temperature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min</m:t>
                  </m:r>
                </m:sub>
              </m:sSub>
            </m:oMath>
            <w:r w:rsidRPr="008A1C91">
              <w:rPr>
                <w:rFonts w:eastAsiaTheme="minorEastAsia"/>
                <w:sz w:val="20"/>
                <w:szCs w:val="20"/>
              </w:rPr>
              <w:t xml:space="preserve"> (</w:t>
            </w:r>
            <m:oMath>
              <m:r>
                <w:rPr>
                  <w:rFonts w:ascii="Cambria Math" w:hAnsi="Cambria Math"/>
                  <w:sz w:val="20"/>
                  <w:szCs w:val="20"/>
                </w:rPr>
                <m:t>°C</m:t>
              </m:r>
            </m:oMath>
            <w:r w:rsidRPr="008A1C91">
              <w:rPr>
                <w:rFonts w:eastAsiaTheme="minorEastAsia"/>
                <w:sz w:val="20"/>
                <w:szCs w:val="20"/>
              </w:rPr>
              <w:t>)</w:t>
            </w:r>
          </w:p>
        </w:tc>
        <w:tc>
          <w:tcPr>
            <w:tcW w:w="1446" w:type="pct"/>
          </w:tcPr>
          <w:p w14:paraId="1E86FAE1" w14:textId="6B5B7878"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1D9C53AD"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5C75CFB" w14:textId="77777777" w:rsidR="00607D02" w:rsidRPr="008A1C91" w:rsidRDefault="00607D02" w:rsidP="00643BDD">
            <w:pPr>
              <w:spacing w:line="240" w:lineRule="auto"/>
              <w:jc w:val="left"/>
              <w:rPr>
                <w:b w:val="0"/>
                <w:bCs w:val="0"/>
                <w:sz w:val="20"/>
                <w:szCs w:val="20"/>
              </w:rPr>
            </w:pPr>
          </w:p>
        </w:tc>
        <w:tc>
          <w:tcPr>
            <w:tcW w:w="1026" w:type="pct"/>
            <w:vMerge/>
          </w:tcPr>
          <w:p w14:paraId="4C46BCA9"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50C07111"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86" w:type="pct"/>
          </w:tcPr>
          <w:p w14:paraId="01BE7292" w14:textId="5325D93F"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Maximum temperature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max</m:t>
                  </m:r>
                </m:sub>
              </m:sSub>
            </m:oMath>
            <w:r w:rsidRPr="008A1C91">
              <w:rPr>
                <w:rFonts w:eastAsiaTheme="minorEastAsia"/>
                <w:sz w:val="20"/>
                <w:szCs w:val="20"/>
              </w:rPr>
              <w:t xml:space="preserve"> (</w:t>
            </w:r>
            <m:oMath>
              <m:r>
                <w:rPr>
                  <w:rFonts w:ascii="Cambria Math" w:hAnsi="Cambria Math"/>
                  <w:sz w:val="20"/>
                  <w:szCs w:val="20"/>
                </w:rPr>
                <m:t>°C</m:t>
              </m:r>
            </m:oMath>
            <w:r w:rsidRPr="008A1C91">
              <w:rPr>
                <w:rFonts w:eastAsiaTheme="minorEastAsia"/>
                <w:sz w:val="20"/>
                <w:szCs w:val="20"/>
              </w:rPr>
              <w:t>)</w:t>
            </w:r>
          </w:p>
        </w:tc>
        <w:tc>
          <w:tcPr>
            <w:tcW w:w="1446" w:type="pct"/>
          </w:tcPr>
          <w:p w14:paraId="023DF2E8" w14:textId="6374CD3D"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0AF0C6DF"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1142D077" w14:textId="77777777" w:rsidR="00607D02" w:rsidRPr="008A1C91" w:rsidRDefault="00607D02" w:rsidP="00643BDD">
            <w:pPr>
              <w:spacing w:line="240" w:lineRule="auto"/>
              <w:jc w:val="left"/>
              <w:rPr>
                <w:b w:val="0"/>
                <w:bCs w:val="0"/>
                <w:sz w:val="20"/>
                <w:szCs w:val="20"/>
              </w:rPr>
            </w:pPr>
          </w:p>
        </w:tc>
        <w:tc>
          <w:tcPr>
            <w:tcW w:w="1026" w:type="pct"/>
            <w:vMerge/>
          </w:tcPr>
          <w:p w14:paraId="4B440F0A"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0D01DA1D"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86" w:type="pct"/>
          </w:tcPr>
          <w:p w14:paraId="1B193818" w14:textId="658B2D50"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Humidity - </w:t>
            </w:r>
            <m:oMath>
              <m:r>
                <w:rPr>
                  <w:rFonts w:ascii="Cambria Math" w:hAnsi="Cambria Math"/>
                  <w:sz w:val="20"/>
                  <w:szCs w:val="20"/>
                </w:rPr>
                <m:t>H</m:t>
              </m:r>
            </m:oMath>
            <w:r w:rsidRPr="008A1C91">
              <w:rPr>
                <w:rFonts w:eastAsiaTheme="minorEastAsia"/>
                <w:sz w:val="20"/>
                <w:szCs w:val="20"/>
              </w:rPr>
              <w:t xml:space="preserve"> (%)</w:t>
            </w:r>
          </w:p>
        </w:tc>
        <w:tc>
          <w:tcPr>
            <w:tcW w:w="1446" w:type="pct"/>
          </w:tcPr>
          <w:p w14:paraId="3189B4FB" w14:textId="1BF616FF"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2C9D625C"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520A09A4" w14:textId="77777777" w:rsidR="00607D02" w:rsidRPr="008A1C91" w:rsidRDefault="00607D02" w:rsidP="00643BDD">
            <w:pPr>
              <w:spacing w:line="240" w:lineRule="auto"/>
              <w:jc w:val="left"/>
              <w:rPr>
                <w:b w:val="0"/>
                <w:bCs w:val="0"/>
                <w:sz w:val="20"/>
                <w:szCs w:val="20"/>
              </w:rPr>
            </w:pPr>
          </w:p>
        </w:tc>
        <w:tc>
          <w:tcPr>
            <w:tcW w:w="1026" w:type="pct"/>
            <w:vMerge/>
          </w:tcPr>
          <w:p w14:paraId="6620ADFF"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0EBFEC2D"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86" w:type="pct"/>
          </w:tcPr>
          <w:p w14:paraId="73D43A55" w14:textId="6CF1EF14"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Wind speed -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w:r w:rsidRPr="008A1C91">
              <w:rPr>
                <w:rFonts w:eastAsiaTheme="minorEastAsia"/>
                <w:sz w:val="20"/>
                <w:szCs w:val="20"/>
              </w:rPr>
              <w:t xml:space="preserve"> (</w:t>
            </w:r>
            <m:oMath>
              <m:r>
                <w:rPr>
                  <w:rFonts w:ascii="Cambria Math" w:eastAsiaTheme="minorEastAsia" w:hAnsi="Cambria Math"/>
                  <w:sz w:val="20"/>
                  <w:szCs w:val="20"/>
                </w:rPr>
                <m:t>m/s)</m:t>
              </m:r>
            </m:oMath>
          </w:p>
        </w:tc>
        <w:tc>
          <w:tcPr>
            <w:tcW w:w="1446" w:type="pct"/>
          </w:tcPr>
          <w:p w14:paraId="2FCED3BA" w14:textId="2289A32C"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282F4684"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2CD32A75" w14:textId="77777777" w:rsidR="00607D02" w:rsidRPr="008A1C91" w:rsidRDefault="00607D02" w:rsidP="00643BDD">
            <w:pPr>
              <w:spacing w:line="240" w:lineRule="auto"/>
              <w:jc w:val="left"/>
              <w:rPr>
                <w:b w:val="0"/>
                <w:bCs w:val="0"/>
                <w:sz w:val="20"/>
                <w:szCs w:val="20"/>
              </w:rPr>
            </w:pPr>
          </w:p>
        </w:tc>
        <w:tc>
          <w:tcPr>
            <w:tcW w:w="1026" w:type="pct"/>
            <w:vMerge/>
          </w:tcPr>
          <w:p w14:paraId="3C108579"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60DD4AEC"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86" w:type="pct"/>
          </w:tcPr>
          <w:p w14:paraId="24902304" w14:textId="393D36CA"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ascii="Cambria Math" w:hAnsi="Cambria Math"/>
                <w:i/>
                <w:sz w:val="20"/>
                <w:szCs w:val="20"/>
              </w:rPr>
            </w:pPr>
            <w:r w:rsidRPr="008A1C91">
              <w:rPr>
                <w:sz w:val="20"/>
                <w:szCs w:val="20"/>
              </w:rPr>
              <w:t xml:space="preserve">Radiation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A1C91">
              <w:rPr>
                <w:rFonts w:eastAsiaTheme="minorEastAsia"/>
                <w:sz w:val="20"/>
                <w:szCs w:val="20"/>
              </w:rPr>
              <w:t xml:space="preserve"> (</w:t>
            </w:r>
            <w:r w:rsidRPr="008A1C91">
              <w:rPr>
                <w:rFonts w:ascii="Cambria Math" w:hAnsi="Cambria Math"/>
                <w:i/>
                <w:iCs/>
                <w:sz w:val="20"/>
                <w:szCs w:val="20"/>
              </w:rPr>
              <w:br/>
            </w:r>
            <m:oMath>
              <m:r>
                <w:rPr>
                  <w:rFonts w:ascii="Cambria Math" w:hAnsi="Cambria Math"/>
                  <w:sz w:val="20"/>
                  <w:szCs w:val="20"/>
                </w:rPr>
                <m:t>MJ</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m</m:t>
                  </m:r>
                </m:e>
                <m:sup>
                  <m:r>
                    <m:rPr>
                      <m:sty m:val="p"/>
                    </m:rPr>
                    <w:rPr>
                      <w:rFonts w:ascii="Cambria Math" w:hAnsi="Cambria Math"/>
                      <w:sz w:val="20"/>
                      <w:szCs w:val="20"/>
                    </w:rPr>
                    <m:t>2</m:t>
                  </m:r>
                </m:sup>
              </m:sSup>
              <m:r>
                <w:rPr>
                  <w:rFonts w:ascii="Cambria Math" w:hAnsi="Cambria Math"/>
                  <w:sz w:val="20"/>
                  <w:szCs w:val="20"/>
                </w:rPr>
                <m:t>day</m:t>
              </m:r>
            </m:oMath>
            <w:r w:rsidRPr="008A1C91">
              <w:rPr>
                <w:rFonts w:ascii="Cambria Math" w:eastAsiaTheme="minorEastAsia" w:hAnsi="Cambria Math"/>
                <w:i/>
                <w:iCs/>
                <w:sz w:val="20"/>
                <w:szCs w:val="20"/>
              </w:rPr>
              <w:t>)</w:t>
            </w:r>
          </w:p>
        </w:tc>
        <w:tc>
          <w:tcPr>
            <w:tcW w:w="1446" w:type="pct"/>
          </w:tcPr>
          <w:p w14:paraId="489C1DC7" w14:textId="763E06D9"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3112FC67"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38B10D05" w14:textId="77777777" w:rsidR="00607D02" w:rsidRPr="008A1C91" w:rsidRDefault="00607D02" w:rsidP="00643BDD">
            <w:pPr>
              <w:spacing w:line="240" w:lineRule="auto"/>
              <w:jc w:val="left"/>
              <w:rPr>
                <w:b w:val="0"/>
                <w:bCs w:val="0"/>
                <w:sz w:val="20"/>
                <w:szCs w:val="20"/>
              </w:rPr>
            </w:pPr>
          </w:p>
        </w:tc>
        <w:tc>
          <w:tcPr>
            <w:tcW w:w="1026" w:type="pct"/>
            <w:vMerge/>
          </w:tcPr>
          <w:p w14:paraId="7B4D5533"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60CA844E"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86" w:type="pct"/>
          </w:tcPr>
          <w:p w14:paraId="54428B10" w14:textId="06C9BC80"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Crop coefficient -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oMath>
          </w:p>
        </w:tc>
        <w:tc>
          <w:tcPr>
            <w:tcW w:w="1446" w:type="pct"/>
          </w:tcPr>
          <w:p w14:paraId="17DDBFC7" w14:textId="0812ADC0"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{"citationItems":[{"id":"ITEM-1","itemData":{"DOI":"10.3390/su10010038","ISSN":"20711050","abstract":"Cocoa is an important commercial crop in the tropics, and estimating the water footprint to target areas of improvement is a worthwhile effort. The main goal of this paper was to assess the regional green and blue water footprints (WF) of cocoa (Theobroma cacao L.) production in the department of Norte de Santander, Colombia. Water footprint assessment was based on the Water Footprint Assessment Manual. The results show that the green water footprint was about 13,189 m3/ton, and the blue water footprint was 5687 m3/ton. The WF proposed method can be a good approximation for the uses of water for different crops, but weather conditions and hydrological modeling must be considered in extreme conditions, which would permit a much more detailed analysis for a region. This study allowed us to provide data on the cocoa water footprint, principally concentrating on elevated grain production in the department of Norte de Santander, Colombia. In addition, some of these results may positively contribute to water resource management improvement, especially regarding food security and water scarcity, both at the local and national levels. Therefore, the cocoa production process was analyzed from agronomic practices in settled crops, through the primary processing of the grain, to the procedures of grain selection and packaging. Thus, taking into consideration that most cocoa crops produced in Colombia are not irrigated, it is possible to implement productivity enhancement programs.","author":[{"dropping-particle":"","family":"Naranjo-Merino","given":"Carlos Andrés","non-dropping-particle":"","parse-names":false,"suffix":""},{"dropping-particle":"","family":"Ortíz-Rodriguez","given":"Oscar Orlando","non-dropping-particle":"","parse-names":false,"suffix":""},{"dropping-particle":"","family":"Villamizar-G","given":"Raquel A.","non-dropping-particle":"","parse-names":false,"suffix":""}],"container-title":"Sustainability (Switzerland)","id":"ITEM-1","issue":"1","issued":{"date-parts":[["2017"]]},"title":"Assessing green and blue water footprints in the supply chain of cocoa production: A case study in the Northeast of Colombia","type":"article-journal","volume":"10"},"uris":["http://www.mendeley.com/documents/?uuid=10e14053-da28-4a5a-a31f-b012be03153d"]}],"mendeley":{"formattedCitation":"(Naranjo-Merino et al., 2017)","plainTextFormattedCitation":"(Naranjo-Merino et al., 2017)","previouslyFormattedCitation":"(Naranjo-Merino et al., 2017)"},"properties":{"noteIndex":0},"schema":"https://github.com/citation-style-language/schema/raw/master/csl-citation.json"}</w:instrText>
            </w:r>
            <w:r w:rsidRPr="008A1C91">
              <w:rPr>
                <w:sz w:val="20"/>
                <w:szCs w:val="20"/>
              </w:rPr>
              <w:fldChar w:fldCharType="separate"/>
            </w:r>
            <w:r w:rsidR="00087C3C" w:rsidRPr="008A1C91">
              <w:rPr>
                <w:noProof/>
                <w:sz w:val="20"/>
                <w:szCs w:val="20"/>
              </w:rPr>
              <w:t>(Naranjo-Merino et al., 2017)</w:t>
            </w:r>
            <w:r w:rsidRPr="008A1C91">
              <w:rPr>
                <w:sz w:val="20"/>
                <w:szCs w:val="20"/>
              </w:rPr>
              <w:fldChar w:fldCharType="end"/>
            </w:r>
          </w:p>
        </w:tc>
      </w:tr>
      <w:tr w:rsidR="00607D02" w:rsidRPr="008A1C91" w14:paraId="35617BF4"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4069BD5B" w14:textId="77777777" w:rsidR="00607D02" w:rsidRPr="008A1C91" w:rsidRDefault="00607D02" w:rsidP="00643BDD">
            <w:pPr>
              <w:spacing w:line="240" w:lineRule="auto"/>
              <w:jc w:val="left"/>
              <w:rPr>
                <w:b w:val="0"/>
                <w:bCs w:val="0"/>
                <w:sz w:val="20"/>
                <w:szCs w:val="20"/>
              </w:rPr>
            </w:pPr>
          </w:p>
        </w:tc>
        <w:tc>
          <w:tcPr>
            <w:tcW w:w="1026" w:type="pct"/>
          </w:tcPr>
          <w:p w14:paraId="33921FE8" w14:textId="08C72B49" w:rsidR="00607D02" w:rsidRPr="008A1C91" w:rsidRDefault="00A762B9"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c,adj</m:t>
                    </m:r>
                  </m:sub>
                </m:sSub>
              </m:oMath>
            </m:oMathPara>
          </w:p>
        </w:tc>
        <w:tc>
          <w:tcPr>
            <w:tcW w:w="632" w:type="pct"/>
          </w:tcPr>
          <w:p w14:paraId="07DEC494" w14:textId="63D8FA59"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18"/>
                  </w:rPr>
                  <m:t>mm/day</m:t>
                </m:r>
              </m:oMath>
            </m:oMathPara>
          </w:p>
        </w:tc>
        <w:tc>
          <w:tcPr>
            <w:tcW w:w="1186" w:type="pct"/>
          </w:tcPr>
          <w:p w14:paraId="08280536" w14:textId="75DE2A00"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Critical depletion - </w:t>
            </w:r>
            <m:oMath>
              <m:r>
                <w:rPr>
                  <w:rFonts w:ascii="Cambria Math" w:hAnsi="Cambria Math"/>
                  <w:sz w:val="20"/>
                  <w:szCs w:val="20"/>
                </w:rPr>
                <m:t>cd</m:t>
              </m:r>
            </m:oMath>
            <w:r w:rsidRPr="008A1C91">
              <w:rPr>
                <w:rFonts w:eastAsiaTheme="minorEastAsia"/>
                <w:sz w:val="20"/>
                <w:szCs w:val="20"/>
              </w:rPr>
              <w:t xml:space="preserve"> (%)</w:t>
            </w:r>
          </w:p>
        </w:tc>
        <w:tc>
          <w:tcPr>
            <w:tcW w:w="1446" w:type="pct"/>
          </w:tcPr>
          <w:p w14:paraId="025C98E0" w14:textId="6D541861"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{"citationItems":[{"id":"ITEM-1","itemData":{"DOI":"10.3390/su10010038","ISSN":"20711050","abstract":"Cocoa is an important commercial crop in the tropics, and estimating the water footprint to target areas of improvement is a worthwhile effort. The main goal of this paper was to assess the regional green and blue water footprints (WF) of cocoa (Theobroma cacao L.) production in the department of Norte de Santander, Colombia. Water footprint assessment was based on the Water Footprint Assessment Manual. The results show that the green water footprint was about 13,189 m3/ton, and the blue water footprint was 5687 m3/ton. The WF proposed method can be a good approximation for the uses of water for different crops, but weather conditions and hydrological modeling must be considered in extreme conditions, which would permit a much more detailed analysis for a region. This study allowed us to provide data on the cocoa water footprint, principally concentrating on elevated grain production in the department of Norte de Santander, Colombia. In addition, some of these results may positively contribute to water resource management improvement, especially regarding food security and water scarcity, both at the local and national levels. Therefore, the cocoa production process was analyzed from agronomic practices in settled crops, through the primary processing of the grain, to the procedures of grain selection and packaging. Thus, taking into consideration that most cocoa crops produced in Colombia are not irrigated, it is possible to implement productivity enhancement programs.","author":[{"dropping-particle":"","family":"Naranjo-Merino","given":"Carlos Andrés","non-dropping-particle":"","parse-names":false,"suffix":""},{"dropping-particle":"","family":"Ortíz-Rodriguez","given":"Oscar Orlando","non-dropping-particle":"","parse-names":false,"suffix":""},{"dropping-particle":"","family":"Villamizar-G","given":"Raquel A.","non-dropping-particle":"","parse-names":false,"suffix":""}],"container-title":"Sustainability (Switzerland)","id":"ITEM-1","issue":"1","issued":{"date-parts":[["2017"]]},"title":"Assessing green and blue water footprints in the supply chain of cocoa production: A case study in the Northeast of Colombia","type":"article-journal","volume":"10"},"uris":["http://www.mendeley.com/documents/?uuid=10e14053-da28-4a5a-a31f-b012be03153d"]}],"mendeley":{"formattedCitation":"(Naranjo-Merino et al., 2017)","plainTextFormattedCitation":"(Naranjo-Merino et al., 2017)","previouslyFormattedCitation":"(Naranjo-Merino et al., 2017)"},"properties":{"noteIndex":0},"schema":"https://github.com/citation-style-language/schema/raw/master/csl-citation.json"}</w:instrText>
            </w:r>
            <w:r w:rsidRPr="008A1C91">
              <w:rPr>
                <w:sz w:val="20"/>
                <w:szCs w:val="20"/>
              </w:rPr>
              <w:fldChar w:fldCharType="separate"/>
            </w:r>
            <w:r w:rsidR="00087C3C" w:rsidRPr="008A1C91">
              <w:rPr>
                <w:noProof/>
                <w:sz w:val="20"/>
                <w:szCs w:val="20"/>
              </w:rPr>
              <w:t>(Naranjo-Merino et al., 2017)</w:t>
            </w:r>
            <w:r w:rsidRPr="008A1C91">
              <w:rPr>
                <w:sz w:val="20"/>
                <w:szCs w:val="20"/>
              </w:rPr>
              <w:fldChar w:fldCharType="end"/>
            </w:r>
          </w:p>
        </w:tc>
      </w:tr>
      <w:tr w:rsidR="00607D02" w:rsidRPr="008A1C91" w14:paraId="493B07DA"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val="restart"/>
          </w:tcPr>
          <w:p w14:paraId="77DD0A6B" w14:textId="77777777" w:rsidR="00607D02" w:rsidRPr="008A1C91" w:rsidRDefault="00607D02" w:rsidP="00643BDD">
            <w:pPr>
              <w:spacing w:line="240" w:lineRule="auto"/>
              <w:jc w:val="left"/>
              <w:rPr>
                <w:b w:val="0"/>
                <w:bCs w:val="0"/>
                <w:sz w:val="20"/>
                <w:szCs w:val="20"/>
              </w:rPr>
            </w:pPr>
            <w:r w:rsidRPr="008A1C91">
              <w:rPr>
                <w:b w:val="0"/>
                <w:bCs w:val="0"/>
                <w:sz w:val="20"/>
                <w:szCs w:val="20"/>
              </w:rPr>
              <w:t xml:space="preserve">Crop </w:t>
            </w:r>
          </w:p>
        </w:tc>
        <w:tc>
          <w:tcPr>
            <w:tcW w:w="1026" w:type="pct"/>
          </w:tcPr>
          <w:p w14:paraId="75E5A65A"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Stages</w:t>
            </w:r>
          </w:p>
        </w:tc>
        <w:tc>
          <w:tcPr>
            <w:tcW w:w="632" w:type="pct"/>
          </w:tcPr>
          <w:p w14:paraId="062BB1BA" w14:textId="42F3DA00"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days</m:t>
                </m:r>
              </m:oMath>
            </m:oMathPara>
          </w:p>
        </w:tc>
        <w:tc>
          <w:tcPr>
            <w:tcW w:w="1186" w:type="pct"/>
          </w:tcPr>
          <w:p w14:paraId="554DD6C1"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26348E12" w14:textId="67996332"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{"citationItems":[{"id":"ITEM-1","itemData":{"DOI":"10.1111/j.1744-7348.2012.00539.x","ISSN":"00034746","abstract":"Cacao trees are affected by diseases that attack either their vegetative parts, their fruits or both. In cacao pod diseases, several factors are involved in disease susceptibility, such as the fruiting cycle, fruit size, age, position on the tree and cacao genotype. To gain a clearer understanding of how these characteristics influence cacao pod diseases, four models describing pod growth in several cacao genotypes were evaluated. Three models used to estimate pod volume or surface area were also compared. Observed pod growth was of a sigmoid form and fitted best to the Richards model, well to the Logistic and Beta growth models, and least to the Gompertz model. Pod volume and probably pod surface area were best estimated using a prolate spheroid model. Pod growth models can help improve pod disease management and thereby cacao production. They can help to predict yield, as well as provide information for the timing and frequency of control operations. Information on pod size, surface area and susceptibility will help to improve dose transfer and spray deposit studies intended to optimise control efficiency. © 2012 Association of Applied Biologists.","author":[{"dropping-particle":"","family":"Hoopen","given":"G. Martijn","non-dropping-particle":"Ten","parse-names":false,"suffix":""},{"dropping-particle":"","family":"Deberdt","given":"P.","non-dropping-particle":"","parse-names":false,"suffix":""},{"dropping-particle":"","family":"Mbenoun","given":"M.","non-dropping-particle":"","parse-names":false,"suffix":""},{"dropping-particle":"","family":"Cilas","given":"C.","non-dropping-particle":"","parse-names":false,"suffix":""}],"container-title":"Annals of Applied Biology","id":"ITEM-1","issue":"3","issued":{"date-parts":[["2012"]]},"page":"260-272","title":"Modelling cacao pod growth: Implications for disease control","type":"article-journal","volume":"160"},"uris":["http://www.mendeley.com/documents/?uuid=ddefc74a-da5e-428d-bafa-220d298fa269"]}],"mendeley":{"formattedCitation":"(Ten Hoopen et al., 2012)","plainTextFormattedCitation":"(Ten Hoopen et al., 2012)","previouslyFormattedCitation":"(Ten Hoopen et al., 2012)"},"properties":{"noteIndex":0},"schema":"https://github.com/citation-style-language/schema/raw/master/csl-citation.json"}</w:instrText>
            </w:r>
            <w:r w:rsidRPr="008A1C91">
              <w:rPr>
                <w:sz w:val="20"/>
                <w:szCs w:val="20"/>
              </w:rPr>
              <w:fldChar w:fldCharType="separate"/>
            </w:r>
            <w:r w:rsidR="00087C3C" w:rsidRPr="008A1C91">
              <w:rPr>
                <w:noProof/>
                <w:sz w:val="20"/>
                <w:szCs w:val="20"/>
              </w:rPr>
              <w:t>(Ten Hoopen et al., 2012)</w:t>
            </w:r>
            <w:r w:rsidRPr="008A1C91">
              <w:rPr>
                <w:sz w:val="20"/>
                <w:szCs w:val="20"/>
              </w:rPr>
              <w:fldChar w:fldCharType="end"/>
            </w:r>
          </w:p>
        </w:tc>
      </w:tr>
      <w:tr w:rsidR="00607D02" w:rsidRPr="008A1C91" w14:paraId="5787CD3E"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78A922B0" w14:textId="77777777" w:rsidR="00607D02" w:rsidRPr="008A1C91" w:rsidRDefault="00607D02" w:rsidP="00643BDD">
            <w:pPr>
              <w:spacing w:line="240" w:lineRule="auto"/>
              <w:jc w:val="left"/>
              <w:rPr>
                <w:b w:val="0"/>
                <w:bCs w:val="0"/>
                <w:sz w:val="20"/>
                <w:szCs w:val="20"/>
              </w:rPr>
            </w:pPr>
          </w:p>
        </w:tc>
        <w:tc>
          <w:tcPr>
            <w:tcW w:w="1026" w:type="pct"/>
          </w:tcPr>
          <w:p w14:paraId="0BA4BABE"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Rooting depth</w:t>
            </w:r>
          </w:p>
        </w:tc>
        <w:tc>
          <w:tcPr>
            <w:tcW w:w="632" w:type="pct"/>
          </w:tcPr>
          <w:p w14:paraId="499CC7CA" w14:textId="163F6B3D"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cm</m:t>
                </m:r>
              </m:oMath>
            </m:oMathPara>
          </w:p>
        </w:tc>
        <w:tc>
          <w:tcPr>
            <w:tcW w:w="1186" w:type="pct"/>
          </w:tcPr>
          <w:p w14:paraId="1EA97623"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6625E9D0" w14:textId="62420FA0"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{"citationItems":[{"id":"ITEM-1","itemData":{"DOI":"10.3390/su10010038","ISSN":"20711050","abstract":"Cocoa is an important commercial crop in the tropics, and estimating the water footprint to target areas of improvement is a worthwhile effort. The main goal of this paper was to assess the regional green and blue water footprints (WF) of cocoa (Theobroma cacao L.) production in the department of Norte de Santander, Colombia. Water footprint assessment was based on the Water Footprint Assessment Manual. The results show that the green water footprint was about 13,189 m3/ton, and the blue water footprint was 5687 m3/ton. The WF proposed method can be a good approximation for the uses of water for different crops, but weather conditions and hydrological modeling must be considered in extreme conditions, which would permit a much more detailed analysis for a region. This study allowed us to provide data on the cocoa water footprint, principally concentrating on elevated grain production in the department of Norte de Santander, Colombia. In addition, some of these results may positively contribute to water resource management improvement, especially regarding food security and water scarcity, both at the local and national levels. Therefore, the cocoa production process was analyzed from agronomic practices in settled crops, through the primary processing of the grain, to the procedures of grain selection and packaging. Thus, taking into consideration that most cocoa crops produced in Colombia are not irrigated, it is possible to implement productivity enhancement programs.","author":[{"dropping-particle":"","family":"Naranjo-Merino","given":"Carlos Andrés","non-dropping-particle":"","parse-names":false,"suffix":""},{"dropping-particle":"","family":"Ortíz-Rodriguez","given":"Oscar Orlando","non-dropping-particle":"","parse-names":false,"suffix":""},{"dropping-particle":"","family":"Villamizar-G","given":"Raquel A.","non-dropping-particle":"","parse-names":false,"suffix":""}],"container-title":"Sustainability (Switzerland)","id":"ITEM-1","issue":"1","issued":{"date-parts":[["2017"]]},"title":"Assessing green and blue water footprints in the supply chain of cocoa production: A case study in the Northeast of Colombia","type":"article-journal","volume":"10"},"uris":["http://www.mendeley.com/documents/?uuid=10e14053-da28-4a5a-a31f-b012be03153d"]}],"mendeley":{"formattedCitation":"(Naranjo-Merino et al., 2017)","plainTextFormattedCitation":"(Naranjo-Merino et al., 2017)","previouslyFormattedCitation":"(Naranjo-Merino et al., 2017)"},"properties":{"noteIndex":0},"schema":"https://github.com/citation-style-language/schema/raw/master/csl-citation.json"}</w:instrText>
            </w:r>
            <w:r w:rsidRPr="008A1C91">
              <w:rPr>
                <w:sz w:val="20"/>
                <w:szCs w:val="20"/>
              </w:rPr>
              <w:fldChar w:fldCharType="separate"/>
            </w:r>
            <w:r w:rsidR="00087C3C" w:rsidRPr="008A1C91">
              <w:rPr>
                <w:noProof/>
                <w:sz w:val="20"/>
                <w:szCs w:val="20"/>
              </w:rPr>
              <w:t>(Naranjo-Merino et al., 2017)</w:t>
            </w:r>
            <w:r w:rsidRPr="008A1C91">
              <w:rPr>
                <w:sz w:val="20"/>
                <w:szCs w:val="20"/>
              </w:rPr>
              <w:fldChar w:fldCharType="end"/>
            </w:r>
          </w:p>
        </w:tc>
      </w:tr>
      <w:tr w:rsidR="00607D02" w:rsidRPr="008A1C91" w14:paraId="1EBA6421"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FD9A6F5" w14:textId="77777777" w:rsidR="00607D02" w:rsidRPr="008A1C91" w:rsidRDefault="00607D02" w:rsidP="00643BDD">
            <w:pPr>
              <w:spacing w:line="240" w:lineRule="auto"/>
              <w:jc w:val="left"/>
              <w:rPr>
                <w:b w:val="0"/>
                <w:bCs w:val="0"/>
                <w:sz w:val="20"/>
                <w:szCs w:val="20"/>
              </w:rPr>
            </w:pPr>
          </w:p>
        </w:tc>
        <w:tc>
          <w:tcPr>
            <w:tcW w:w="1026" w:type="pct"/>
            <w:vMerge w:val="restart"/>
          </w:tcPr>
          <w:p w14:paraId="2BE6B9E8" w14:textId="0CB6D7D4"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Yield Response Factor -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y</m:t>
                  </m:r>
                </m:sub>
              </m:sSub>
            </m:oMath>
          </w:p>
        </w:tc>
        <w:tc>
          <w:tcPr>
            <w:tcW w:w="632" w:type="pct"/>
            <w:vMerge w:val="restart"/>
          </w:tcPr>
          <w:p w14:paraId="4D76B5E6" w14:textId="76DC895F"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m:t>
                </m:r>
              </m:oMath>
            </m:oMathPara>
          </w:p>
        </w:tc>
        <w:tc>
          <w:tcPr>
            <w:tcW w:w="1186" w:type="pct"/>
          </w:tcPr>
          <w:p w14:paraId="5E2D105E" w14:textId="5433F231"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rFonts w:eastAsiaTheme="minorEastAsia"/>
                <w:sz w:val="20"/>
                <w:szCs w:val="20"/>
              </w:rPr>
              <w:t xml:space="preserve">The actual crop yield -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a</m:t>
                  </m:r>
                </m:sub>
              </m:sSub>
            </m:oMath>
            <w:r w:rsidRPr="008A1C91">
              <w:rPr>
                <w:rFonts w:eastAsiaTheme="minorEastAsia"/>
                <w:sz w:val="20"/>
                <w:szCs w:val="20"/>
              </w:rPr>
              <w:t xml:space="preserve">  (kg/ha)</w:t>
            </w:r>
          </w:p>
        </w:tc>
        <w:tc>
          <w:tcPr>
            <w:tcW w:w="1446" w:type="pct"/>
            <w:vMerge w:val="restart"/>
          </w:tcPr>
          <w:p w14:paraId="01D9E1DC" w14:textId="77777777"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Through SIMPLE model</w:t>
            </w:r>
          </w:p>
        </w:tc>
      </w:tr>
      <w:tr w:rsidR="00607D02" w:rsidRPr="008A1C91" w14:paraId="3467E7E3"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6FA00A19" w14:textId="77777777" w:rsidR="00607D02" w:rsidRPr="008A1C91" w:rsidRDefault="00607D02" w:rsidP="00643BDD">
            <w:pPr>
              <w:spacing w:line="240" w:lineRule="auto"/>
              <w:jc w:val="left"/>
              <w:rPr>
                <w:b w:val="0"/>
                <w:bCs w:val="0"/>
                <w:sz w:val="20"/>
                <w:szCs w:val="20"/>
              </w:rPr>
            </w:pPr>
          </w:p>
        </w:tc>
        <w:tc>
          <w:tcPr>
            <w:tcW w:w="1026" w:type="pct"/>
            <w:vMerge/>
          </w:tcPr>
          <w:p w14:paraId="69B05631"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2CE79268"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186" w:type="pct"/>
          </w:tcPr>
          <w:p w14:paraId="4AE87C3E" w14:textId="5D13A862"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C91">
              <w:rPr>
                <w:rFonts w:eastAsiaTheme="minorEastAsia"/>
                <w:sz w:val="20"/>
                <w:szCs w:val="20"/>
              </w:rPr>
              <w:t xml:space="preserve">The maximum yield -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oMath>
            <w:r w:rsidRPr="008A1C91">
              <w:rPr>
                <w:rFonts w:eastAsiaTheme="minorEastAsia"/>
                <w:sz w:val="20"/>
                <w:szCs w:val="20"/>
              </w:rPr>
              <w:t xml:space="preserve">  (kg/ha)</w:t>
            </w:r>
          </w:p>
        </w:tc>
        <w:tc>
          <w:tcPr>
            <w:tcW w:w="1446" w:type="pct"/>
            <w:vMerge/>
          </w:tcPr>
          <w:p w14:paraId="53F335E8" w14:textId="77777777"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607D02" w:rsidRPr="008A1C91" w14:paraId="0ED7D459"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1137CACE" w14:textId="77777777" w:rsidR="00607D02" w:rsidRPr="008A1C91" w:rsidRDefault="00607D02" w:rsidP="00643BDD">
            <w:pPr>
              <w:spacing w:line="240" w:lineRule="auto"/>
              <w:jc w:val="left"/>
              <w:rPr>
                <w:b w:val="0"/>
                <w:bCs w:val="0"/>
                <w:sz w:val="20"/>
                <w:szCs w:val="20"/>
              </w:rPr>
            </w:pPr>
          </w:p>
        </w:tc>
        <w:tc>
          <w:tcPr>
            <w:tcW w:w="1026" w:type="pct"/>
            <w:vMerge/>
          </w:tcPr>
          <w:p w14:paraId="246C046C"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5EF276ED"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highlight w:val="yellow"/>
              </w:rPr>
            </w:pPr>
          </w:p>
        </w:tc>
        <w:tc>
          <w:tcPr>
            <w:tcW w:w="1186" w:type="pct"/>
          </w:tcPr>
          <w:p w14:paraId="16C95E2F" w14:textId="457AE140"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8A1C91">
              <w:rPr>
                <w:rFonts w:eastAsia="Calibri" w:cs="Times New Roman"/>
                <w:sz w:val="20"/>
                <w:szCs w:val="20"/>
              </w:rPr>
              <w:t xml:space="preserve">The actual crop evapotranspiration - </w:t>
            </w:r>
            <m:oMath>
              <m:r>
                <w:rPr>
                  <w:rFonts w:ascii="Cambria Math" w:eastAsia="Calibri" w:hAnsi="Cambria Math" w:cs="Times New Roman"/>
                  <w:sz w:val="20"/>
                  <w:szCs w:val="20"/>
                </w:rPr>
                <m:t>E</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T</m:t>
                  </m:r>
                </m:e>
                <m:sub>
                  <m:r>
                    <w:rPr>
                      <w:rFonts w:ascii="Cambria Math" w:eastAsia="Calibri" w:hAnsi="Cambria Math" w:cs="Times New Roman"/>
                      <w:sz w:val="20"/>
                      <w:szCs w:val="20"/>
                    </w:rPr>
                    <m:t>a</m:t>
                  </m:r>
                </m:sub>
              </m:sSub>
            </m:oMath>
            <w:r w:rsidRPr="008A1C91">
              <w:rPr>
                <w:rFonts w:eastAsia="Calibri" w:cs="Times New Roman"/>
                <w:sz w:val="20"/>
                <w:szCs w:val="20"/>
              </w:rPr>
              <w:t xml:space="preserve"> (</w:t>
            </w:r>
            <m:oMath>
              <m:r>
                <w:rPr>
                  <w:rFonts w:ascii="Cambria Math" w:eastAsia="Calibri" w:hAnsi="Cambria Math" w:cs="Times New Roman"/>
                  <w:sz w:val="20"/>
                  <w:szCs w:val="20"/>
                </w:rPr>
                <m:t>mm/day)</m:t>
              </m:r>
            </m:oMath>
          </w:p>
        </w:tc>
        <w:tc>
          <w:tcPr>
            <w:tcW w:w="1446" w:type="pct"/>
            <w:vMerge w:val="restart"/>
          </w:tcPr>
          <w:p w14:paraId="462EDCC2" w14:textId="77777777"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Estimated</w:t>
            </w:r>
          </w:p>
        </w:tc>
      </w:tr>
      <w:tr w:rsidR="00607D02" w:rsidRPr="008A1C91" w14:paraId="5FB899DC"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8FA13F5" w14:textId="77777777" w:rsidR="00607D02" w:rsidRPr="008A1C91" w:rsidRDefault="00607D02" w:rsidP="00643BDD">
            <w:pPr>
              <w:spacing w:line="240" w:lineRule="auto"/>
              <w:jc w:val="left"/>
              <w:rPr>
                <w:b w:val="0"/>
                <w:bCs w:val="0"/>
                <w:sz w:val="20"/>
                <w:szCs w:val="20"/>
              </w:rPr>
            </w:pPr>
          </w:p>
        </w:tc>
        <w:tc>
          <w:tcPr>
            <w:tcW w:w="1026" w:type="pct"/>
            <w:vMerge/>
          </w:tcPr>
          <w:p w14:paraId="7CDC4543"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295A2270"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highlight w:val="yellow"/>
              </w:rPr>
            </w:pPr>
          </w:p>
        </w:tc>
        <w:tc>
          <w:tcPr>
            <w:tcW w:w="1186" w:type="pct"/>
          </w:tcPr>
          <w:p w14:paraId="01E7E959" w14:textId="66E82B24"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highlight w:val="yellow"/>
              </w:rPr>
            </w:pPr>
            <w:r w:rsidRPr="008A1C91">
              <w:rPr>
                <w:rFonts w:eastAsia="Calibri" w:cs="Times New Roman"/>
                <w:sz w:val="20"/>
                <w:szCs w:val="20"/>
              </w:rPr>
              <w:t xml:space="preserve">The maximum crop evapotranspiration - </w:t>
            </w:r>
            <m:oMath>
              <m:r>
                <w:rPr>
                  <w:rFonts w:ascii="Cambria Math" w:eastAsia="Calibri" w:hAnsi="Cambria Math" w:cs="Times New Roman"/>
                  <w:sz w:val="20"/>
                  <w:szCs w:val="20"/>
                </w:rPr>
                <m:t>E</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T</m:t>
                  </m:r>
                </m:e>
                <m:sub>
                  <m:r>
                    <w:rPr>
                      <w:rFonts w:ascii="Cambria Math" w:eastAsia="Calibri" w:hAnsi="Cambria Math" w:cs="Times New Roman"/>
                      <w:sz w:val="20"/>
                      <w:szCs w:val="20"/>
                    </w:rPr>
                    <m:t>m</m:t>
                  </m:r>
                </m:sub>
              </m:sSub>
            </m:oMath>
            <w:r w:rsidRPr="008A1C91">
              <w:rPr>
                <w:rFonts w:eastAsia="Calibri" w:cs="Times New Roman"/>
                <w:sz w:val="20"/>
                <w:szCs w:val="20"/>
              </w:rPr>
              <w:t xml:space="preserve"> (</w:t>
            </w:r>
            <m:oMath>
              <m:r>
                <w:rPr>
                  <w:rFonts w:ascii="Cambria Math" w:eastAsia="Calibri" w:hAnsi="Cambria Math" w:cs="Times New Roman"/>
                  <w:sz w:val="20"/>
                  <w:szCs w:val="20"/>
                </w:rPr>
                <m:t>mm/day)</m:t>
              </m:r>
            </m:oMath>
          </w:p>
        </w:tc>
        <w:tc>
          <w:tcPr>
            <w:tcW w:w="1446" w:type="pct"/>
            <w:vMerge/>
          </w:tcPr>
          <w:p w14:paraId="38EFB9D3" w14:textId="77777777"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607D02" w:rsidRPr="008A1C91" w14:paraId="77ADED6F"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47F38555" w14:textId="77777777" w:rsidR="00607D02" w:rsidRPr="008A1C91" w:rsidRDefault="00607D02" w:rsidP="00643BDD">
            <w:pPr>
              <w:spacing w:line="240" w:lineRule="auto"/>
              <w:jc w:val="left"/>
              <w:rPr>
                <w:b w:val="0"/>
                <w:bCs w:val="0"/>
                <w:sz w:val="20"/>
                <w:szCs w:val="20"/>
              </w:rPr>
            </w:pPr>
          </w:p>
        </w:tc>
        <w:tc>
          <w:tcPr>
            <w:tcW w:w="1026" w:type="pct"/>
          </w:tcPr>
          <w:p w14:paraId="644EE3BF"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Crop height</w:t>
            </w:r>
          </w:p>
        </w:tc>
        <w:tc>
          <w:tcPr>
            <w:tcW w:w="632" w:type="pct"/>
          </w:tcPr>
          <w:p w14:paraId="4183F65F" w14:textId="6FFBE74E"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t>
                </m:r>
              </m:oMath>
            </m:oMathPara>
          </w:p>
        </w:tc>
        <w:tc>
          <w:tcPr>
            <w:tcW w:w="1186" w:type="pct"/>
          </w:tcPr>
          <w:p w14:paraId="7E8F6822"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5E9AE772" w14:textId="2648E170"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p>
        </w:tc>
      </w:tr>
      <w:tr w:rsidR="00607D02" w:rsidRPr="008A1C91" w14:paraId="75302C01"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val="restart"/>
          </w:tcPr>
          <w:p w14:paraId="667AA02D" w14:textId="77777777" w:rsidR="00607D02" w:rsidRPr="008A1C91" w:rsidRDefault="00607D02" w:rsidP="00643BDD">
            <w:pPr>
              <w:spacing w:line="240" w:lineRule="auto"/>
              <w:jc w:val="left"/>
              <w:rPr>
                <w:b w:val="0"/>
                <w:bCs w:val="0"/>
                <w:sz w:val="20"/>
                <w:szCs w:val="20"/>
              </w:rPr>
            </w:pPr>
            <w:r w:rsidRPr="008A1C91">
              <w:rPr>
                <w:b w:val="0"/>
                <w:bCs w:val="0"/>
                <w:sz w:val="20"/>
                <w:szCs w:val="20"/>
              </w:rPr>
              <w:t xml:space="preserve">Soil </w:t>
            </w:r>
          </w:p>
          <w:p w14:paraId="095FCB13" w14:textId="77777777" w:rsidR="00607D02" w:rsidRPr="008A1C91" w:rsidRDefault="00607D02" w:rsidP="00643BDD">
            <w:pPr>
              <w:spacing w:line="240" w:lineRule="auto"/>
              <w:jc w:val="left"/>
              <w:rPr>
                <w:b w:val="0"/>
                <w:bCs w:val="0"/>
                <w:sz w:val="10"/>
                <w:szCs w:val="10"/>
              </w:rPr>
            </w:pPr>
          </w:p>
          <w:p w14:paraId="3AFE3A85" w14:textId="77777777" w:rsidR="00607D02" w:rsidRPr="008A1C91" w:rsidRDefault="00607D02" w:rsidP="00643BDD">
            <w:pPr>
              <w:spacing w:line="240" w:lineRule="auto"/>
              <w:jc w:val="left"/>
              <w:rPr>
                <w:b w:val="0"/>
                <w:bCs w:val="0"/>
                <w:sz w:val="20"/>
                <w:szCs w:val="20"/>
              </w:rPr>
            </w:pPr>
          </w:p>
        </w:tc>
        <w:tc>
          <w:tcPr>
            <w:tcW w:w="1026" w:type="pct"/>
            <w:vMerge w:val="restart"/>
          </w:tcPr>
          <w:p w14:paraId="4617D702" w14:textId="5CFA09F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Total available water - </w:t>
            </w:r>
            <m:oMath>
              <m:r>
                <w:rPr>
                  <w:rFonts w:ascii="Cambria Math" w:hAnsi="Cambria Math"/>
                  <w:sz w:val="20"/>
                  <w:szCs w:val="20"/>
                </w:rPr>
                <m:t>TAW</m:t>
              </m:r>
            </m:oMath>
          </w:p>
        </w:tc>
        <w:tc>
          <w:tcPr>
            <w:tcW w:w="632" w:type="pct"/>
            <w:vMerge w:val="restart"/>
          </w:tcPr>
          <w:p w14:paraId="1BA047A3" w14:textId="7A7A4129"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mm/m</m:t>
                </m:r>
              </m:oMath>
            </m:oMathPara>
          </w:p>
        </w:tc>
        <w:tc>
          <w:tcPr>
            <w:tcW w:w="1186" w:type="pct"/>
          </w:tcPr>
          <w:p w14:paraId="6EE8FEDF"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8A1C91">
              <w:rPr>
                <w:rFonts w:eastAsiaTheme="minorEastAsia"/>
                <w:sz w:val="20"/>
                <w:szCs w:val="20"/>
              </w:rPr>
              <w:t>The soil type</w:t>
            </w:r>
          </w:p>
        </w:tc>
        <w:tc>
          <w:tcPr>
            <w:tcW w:w="1446" w:type="pct"/>
          </w:tcPr>
          <w:p w14:paraId="7B8695DD" w14:textId="093BEA93"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{"citationItems":[{"id":"ITEM-1","itemData":{"DOI":"10.15446/agron.colomb.v37n1.70545","ISSN":"23573732","abstract":"In Colombia, cacao farms are located mainly in areas with edaphoclimatic limitations. The predominant soil fertility characteristics from small cacao farms in 13 provinces were evaluated. A total of 635 soil samples (0-20 cm) were taken between 2011 and 2013 from the main cacao producer regions in Colombia. The number of samples was assigned based on the regional cacao production. The resulting data were analyzed with a linear regression model using pH as the dependent variable and soil chemical and physical parameters as the independent variables. Soil texture ranged between 14 and 40% clay, and 31 and 65% sand. Bulk density ranged between 1.07 and 1.28 Mg m-3 with a calculated porosity between 48.8 and 55.0%. There was no evidence of soil compaction. The national pH ranged between 3.9 and 7.9 and was negatively correlated with Al+3 content (R2 = 0.68) and Al saturation (R2 = 0.80), and predicts Al saturation in the range of available Al up to pH &gt;5.2-5.5. In this range, available P (as P2O5) was lower than 12 mg kg-1 and was accepted as a minimum value for a sustainable production. With 4.0 cmolc kg-1 of Ca and 60% saturation of the effective cation exchange capacity (ECEC). A minimum ECEC is proposed at 6.0 cmolc kg-1. A reference table for soils in Colombia is proposed as a guide for the establishment and management of productive and sustainable plantations.","author":[{"dropping-particle":"","family":"León-Moreno","given":"Clara","non-dropping-particle":"","parse-names":false,"suffix":""},{"dropping-particle":"","family":"Rojas-Molina","given":"Jairo","non-dropping-particle":"","parse-names":false,"suffix":""},{"dropping-particle":"","family":"Castilla-Campos","given":"Carlos","non-dropping-particle":"","parse-names":false,"suffix":""}],"container-title":"Agronomia Colombiana","id":"ITEM-1","issue":"1","issued":{"date-parts":[["2019"]]},"page":"52-62","title":"Physicochemical characteristics of cacao (Theobroma cacao L.) soils in colombia: Are they adequate to improve productivity?","type":"article-journal","volume":"37"},"uris":["http://www.mendeley.com/documents/?uuid=b52123a5-1086-4be2-bedb-08d511d03118"]}],"mendeley":{"formattedCitation":"(León-Moreno et al., 2019)","plainTextFormattedCitation":"(León-Moreno et al., 2019)","previouslyFormattedCitation":"(León-Moreno et al., 2019)"},"properties":{"noteIndex":0},"schema":"https://github.com/citation-style-language/schema/raw/master/csl-citation.json"}</w:instrText>
            </w:r>
            <w:r w:rsidRPr="008A1C91">
              <w:rPr>
                <w:sz w:val="20"/>
                <w:szCs w:val="20"/>
              </w:rPr>
              <w:fldChar w:fldCharType="separate"/>
            </w:r>
            <w:r w:rsidR="00087C3C" w:rsidRPr="008A1C91">
              <w:rPr>
                <w:noProof/>
                <w:sz w:val="20"/>
                <w:szCs w:val="20"/>
              </w:rPr>
              <w:t>(León-Moreno et al., 2019)</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Manual","type":"book"},"uris":["http://www.mendeley.com/documents/?uuid=7af0f411-d91b-48e6-ace8-a38523774551"]}],"mendeley":{"formattedCitation":"(Soil Science Division Staff, 2017)","plainTextFormattedCitation":"(Soil Science Division Staff, 2017)","previouslyFormattedCitation":"(Soil Science Division Staff, 2017)"},"properties":{"noteIndex":0},"schema":"https://github.com/citation-style-language/schema/raw/master/csl-citation.json"}</w:instrText>
            </w:r>
            <w:r w:rsidRPr="008A1C91">
              <w:rPr>
                <w:sz w:val="20"/>
                <w:szCs w:val="20"/>
              </w:rPr>
              <w:fldChar w:fldCharType="separate"/>
            </w:r>
            <w:r w:rsidR="00087C3C" w:rsidRPr="008A1C91">
              <w:rPr>
                <w:noProof/>
                <w:sz w:val="20"/>
                <w:szCs w:val="20"/>
              </w:rPr>
              <w:t>(Soil Science Division Staff, 2017)</w:t>
            </w:r>
            <w:r w:rsidRPr="008A1C91">
              <w:rPr>
                <w:sz w:val="20"/>
                <w:szCs w:val="20"/>
              </w:rPr>
              <w:fldChar w:fldCharType="end"/>
            </w:r>
          </w:p>
        </w:tc>
      </w:tr>
      <w:tr w:rsidR="00607D02" w:rsidRPr="008A1C91" w14:paraId="3703BD92"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541511C8" w14:textId="77777777" w:rsidR="00607D02" w:rsidRPr="008A1C91" w:rsidRDefault="00607D02" w:rsidP="00643BDD">
            <w:pPr>
              <w:spacing w:line="240" w:lineRule="auto"/>
              <w:jc w:val="left"/>
              <w:rPr>
                <w:b w:val="0"/>
                <w:bCs w:val="0"/>
                <w:sz w:val="20"/>
                <w:szCs w:val="20"/>
              </w:rPr>
            </w:pPr>
          </w:p>
        </w:tc>
        <w:tc>
          <w:tcPr>
            <w:tcW w:w="1026" w:type="pct"/>
            <w:vMerge/>
          </w:tcPr>
          <w:p w14:paraId="47580364"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1686F616"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186" w:type="pct"/>
          </w:tcPr>
          <w:p w14:paraId="529B6CE7" w14:textId="70F60C26"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rFonts w:eastAsiaTheme="minorEastAsia"/>
                <w:sz w:val="20"/>
                <w:szCs w:val="20"/>
              </w:rPr>
              <w:t xml:space="preserve">The water content at field capacity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FC</m:t>
                  </m:r>
                </m:sub>
              </m:sSub>
            </m:oMath>
            <w:r w:rsidRPr="008A1C91">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8A1C91">
              <w:rPr>
                <w:rFonts w:eastAsiaTheme="minorEastAsia"/>
                <w:sz w:val="20"/>
                <w:szCs w:val="20"/>
              </w:rPr>
              <w:t>)</w:t>
            </w:r>
          </w:p>
        </w:tc>
        <w:tc>
          <w:tcPr>
            <w:tcW w:w="1446" w:type="pct"/>
          </w:tcPr>
          <w:p w14:paraId="2FADBBA0" w14:textId="7CA5F036"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8A1C91">
              <w:rPr>
                <w:sz w:val="20"/>
                <w:szCs w:val="20"/>
              </w:rPr>
              <w:fldChar w:fldCharType="separate"/>
            </w:r>
            <w:r w:rsidR="00087C3C" w:rsidRPr="008A1C91">
              <w:rPr>
                <w:noProof/>
                <w:sz w:val="20"/>
                <w:szCs w:val="20"/>
              </w:rPr>
              <w:t>(Saxton &amp; Rawls, 2006)</w:t>
            </w:r>
            <w:r w:rsidRPr="008A1C91">
              <w:rPr>
                <w:sz w:val="20"/>
                <w:szCs w:val="20"/>
              </w:rPr>
              <w:fldChar w:fldCharType="end"/>
            </w:r>
          </w:p>
        </w:tc>
      </w:tr>
      <w:tr w:rsidR="00607D02" w:rsidRPr="008A1C91" w14:paraId="1A16B740"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258C58B7" w14:textId="77777777" w:rsidR="00607D02" w:rsidRPr="008A1C91" w:rsidRDefault="00607D02" w:rsidP="00643BDD">
            <w:pPr>
              <w:spacing w:line="240" w:lineRule="auto"/>
              <w:jc w:val="left"/>
              <w:rPr>
                <w:b w:val="0"/>
                <w:bCs w:val="0"/>
                <w:sz w:val="20"/>
                <w:szCs w:val="20"/>
              </w:rPr>
            </w:pPr>
          </w:p>
        </w:tc>
        <w:tc>
          <w:tcPr>
            <w:tcW w:w="1026" w:type="pct"/>
            <w:vMerge/>
          </w:tcPr>
          <w:p w14:paraId="143433AF"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31AF73D4"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186" w:type="pct"/>
          </w:tcPr>
          <w:p w14:paraId="32FB48C9" w14:textId="0D2ED503"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C91">
              <w:rPr>
                <w:rFonts w:eastAsiaTheme="minorEastAsia"/>
                <w:sz w:val="20"/>
                <w:szCs w:val="20"/>
              </w:rPr>
              <w:t xml:space="preserve">The water content at wilting point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WP</m:t>
                  </m:r>
                </m:sub>
              </m:sSub>
            </m:oMath>
            <w:r w:rsidRPr="008A1C91">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8A1C91">
              <w:rPr>
                <w:rFonts w:eastAsiaTheme="minorEastAsia"/>
                <w:sz w:val="20"/>
                <w:szCs w:val="20"/>
              </w:rPr>
              <w:t>)</w:t>
            </w:r>
          </w:p>
        </w:tc>
        <w:tc>
          <w:tcPr>
            <w:tcW w:w="1446" w:type="pct"/>
          </w:tcPr>
          <w:p w14:paraId="6D240668" w14:textId="25BBB319"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8A1C91">
              <w:rPr>
                <w:sz w:val="20"/>
                <w:szCs w:val="20"/>
              </w:rPr>
              <w:fldChar w:fldCharType="separate"/>
            </w:r>
            <w:r w:rsidR="00087C3C" w:rsidRPr="008A1C91">
              <w:rPr>
                <w:noProof/>
                <w:sz w:val="20"/>
                <w:szCs w:val="20"/>
              </w:rPr>
              <w:t>(Saxton &amp; Rawls, 2006)</w:t>
            </w:r>
            <w:r w:rsidRPr="008A1C91">
              <w:rPr>
                <w:sz w:val="20"/>
                <w:szCs w:val="20"/>
              </w:rPr>
              <w:fldChar w:fldCharType="end"/>
            </w:r>
          </w:p>
        </w:tc>
      </w:tr>
      <w:tr w:rsidR="00607D02" w:rsidRPr="008A1C91" w14:paraId="65D39480"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7480C247" w14:textId="77777777" w:rsidR="00607D02" w:rsidRPr="008A1C91" w:rsidRDefault="00607D02" w:rsidP="00643BDD">
            <w:pPr>
              <w:spacing w:line="240" w:lineRule="auto"/>
              <w:jc w:val="left"/>
              <w:rPr>
                <w:b w:val="0"/>
                <w:bCs w:val="0"/>
                <w:sz w:val="20"/>
                <w:szCs w:val="20"/>
              </w:rPr>
            </w:pPr>
          </w:p>
        </w:tc>
        <w:tc>
          <w:tcPr>
            <w:tcW w:w="1026" w:type="pct"/>
          </w:tcPr>
          <w:p w14:paraId="0AAA0832"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Maximum rain infiltration rate</w:t>
            </w:r>
          </w:p>
        </w:tc>
        <w:tc>
          <w:tcPr>
            <w:tcW w:w="632" w:type="pct"/>
          </w:tcPr>
          <w:p w14:paraId="380916F1" w14:textId="33147181"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4FC1FEE8"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605CDE93" w14:textId="1CBE18D1"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{"citationItems":[{"id":"ITEM-1","itemData":{"DOI":"https://doi.org/10.1016/B978-012348655-4/50015-0","ISBN":"978-0-12-348655-4","abstract":"Publisher Summary\nThe entry of water into the soil occurs under a variety of conditions. It takes place through the entire surface uniformly or via localized furrows or crevices. It may move upward into the soil from a source below such as a rising water table. The infiltration is a process of water entry into the soil, generally by a downward flow through all or part of the soil surface. The rate of this process, relative to the rate of water supply, determines the amount of water that enters the root zone and the amount that runs off. Hence, the rate of infiltration affects not only the water economy of terrestrial plants but also the amount of overland flow and its attendant dangers of soil erosion and stream flooding. The infiltration process is affected by the soil's properties, transient conditions, and the mode of water supply. The knowledge of the infiltration process is a prerequisite for efficient soil and water management. A simplistic and theoretical approach to the infiltration process is the Green and Ampt approach (G&amp;A). The main assumptions of the G&amp;A approach are that there exists a distinct and precisely definable wetting front during infiltration and that, although this wetting front moves continuously downward as the process proceeds, it is characterized by a constant matric suction, regardless of time and position. The unstable flow is another phenomenon that occurs most notably in the transition of infiltrating water from a fine-textured top layer to a coarse-textured sublayer.","author":[{"dropping-particle":"","family":"Hillel","given":"Daniel","non-dropping-particle":"","parse-names":false,"suffix":""}],"container-title":"Introduction to Environmental Soil Physics","editor":[{"dropping-particle":"","family":"Hillel","given":"Daniel","non-dropping-particle":"","parse-names":false,"suffix":""}],"id":"ITEM-1","issued":{"date-parts":[["2003"]]},"page":"259-282","publisher":"Academic Press","publisher-place":"Burlington","title":"14 - Water Entry into Soil","type":"chapter"},"uris":["http://www.mendeley.com/documents/?uuid=0d854772-efe0-49af-a277-86577d033bc0"]}],"mendeley":{"formattedCitation":"(Hillel, 2003)","plainTextFormattedCitation":"(Hillel, 2003)","previouslyFormattedCitation":"(Hillel, 2003)"},"properties":{"noteIndex":0},"schema":"https://github.com/citation-style-language/schema/raw/master/csl-citation.json"}</w:instrText>
            </w:r>
            <w:r w:rsidRPr="008A1C91">
              <w:rPr>
                <w:sz w:val="20"/>
                <w:szCs w:val="20"/>
              </w:rPr>
              <w:fldChar w:fldCharType="separate"/>
            </w:r>
            <w:r w:rsidR="00087C3C" w:rsidRPr="008A1C91">
              <w:rPr>
                <w:noProof/>
                <w:sz w:val="20"/>
                <w:szCs w:val="20"/>
              </w:rPr>
              <w:t>(Hillel, 2003)</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{"citationItems":[{"id":"ITEM-1","itemData":{"author":[{"dropping-particle":"","family":"Minnesota Stormwater Committee","given":"","non-dropping-particle":"","parse-names":false,"suffix":""}],"container-title":"Minnesota Pollution Control Agency","id":"ITEM-1","issued":{"date-parts":[["2008"]]},"number-of-pages":"885","title":"Minnesota Stormwater Manual","type":"book","volume":"2"},"uris":["http://www.mendeley.com/documents/?uuid=7711736b-9f74-423b-a07c-34d4d8076589"]}],"mendeley":{"formattedCitation":"(Minnesota Stormwater Committee, 2008)","plainTextFormattedCitation":"(Minnesota Stormwater Committee, 2008)","previouslyFormattedCitation":"(Minnesota Stormwater Committee, 2008)"},"properties":{"noteIndex":0},"schema":"https://github.com/citation-style-language/schema/raw/master/csl-citation.json"}</w:instrText>
            </w:r>
            <w:r w:rsidRPr="008A1C91">
              <w:rPr>
                <w:sz w:val="20"/>
                <w:szCs w:val="20"/>
              </w:rPr>
              <w:fldChar w:fldCharType="separate"/>
            </w:r>
            <w:r w:rsidR="00087C3C" w:rsidRPr="008A1C91">
              <w:rPr>
                <w:noProof/>
                <w:sz w:val="20"/>
                <w:szCs w:val="20"/>
              </w:rPr>
              <w:t>(Minnesota Stormwater Committee, 2008)</w:t>
            </w:r>
            <w:r w:rsidRPr="008A1C91">
              <w:rPr>
                <w:sz w:val="20"/>
                <w:szCs w:val="20"/>
              </w:rPr>
              <w:fldChar w:fldCharType="end"/>
            </w:r>
          </w:p>
        </w:tc>
      </w:tr>
      <w:tr w:rsidR="00607D02" w:rsidRPr="008A1C91" w14:paraId="2801C1EA"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0F4F04F" w14:textId="77777777" w:rsidR="00607D02" w:rsidRPr="008A1C91" w:rsidRDefault="00607D02" w:rsidP="00643BDD">
            <w:pPr>
              <w:spacing w:line="240" w:lineRule="auto"/>
              <w:jc w:val="left"/>
              <w:rPr>
                <w:b w:val="0"/>
                <w:bCs w:val="0"/>
                <w:sz w:val="20"/>
                <w:szCs w:val="20"/>
              </w:rPr>
            </w:pPr>
          </w:p>
        </w:tc>
        <w:tc>
          <w:tcPr>
            <w:tcW w:w="1026" w:type="pct"/>
          </w:tcPr>
          <w:p w14:paraId="4FB3B933"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Maximum rooting depth</w:t>
            </w:r>
          </w:p>
        </w:tc>
        <w:tc>
          <w:tcPr>
            <w:tcW w:w="632" w:type="pct"/>
          </w:tcPr>
          <w:p w14:paraId="3CD4C3B4" w14:textId="3AB98182"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cm</m:t>
                </m:r>
              </m:oMath>
            </m:oMathPara>
          </w:p>
        </w:tc>
        <w:tc>
          <w:tcPr>
            <w:tcW w:w="1186" w:type="pct"/>
          </w:tcPr>
          <w:p w14:paraId="49649E17"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3411C00F" w14:textId="477D3914"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p>
        </w:tc>
      </w:tr>
      <w:tr w:rsidR="00607D02" w:rsidRPr="008A1C91" w14:paraId="6EB53047"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Borders>
              <w:bottom w:val="single" w:sz="4" w:space="0" w:color="auto"/>
            </w:tcBorders>
          </w:tcPr>
          <w:p w14:paraId="6678E5E7" w14:textId="77777777" w:rsidR="00607D02" w:rsidRPr="008A1C91" w:rsidRDefault="00607D02" w:rsidP="00643BDD">
            <w:pPr>
              <w:spacing w:line="240" w:lineRule="auto"/>
              <w:jc w:val="left"/>
              <w:rPr>
                <w:b w:val="0"/>
                <w:bCs w:val="0"/>
                <w:sz w:val="20"/>
                <w:szCs w:val="20"/>
              </w:rPr>
            </w:pPr>
          </w:p>
        </w:tc>
        <w:tc>
          <w:tcPr>
            <w:tcW w:w="1026" w:type="pct"/>
            <w:tcBorders>
              <w:bottom w:val="single" w:sz="4" w:space="0" w:color="auto"/>
            </w:tcBorders>
          </w:tcPr>
          <w:p w14:paraId="4718BC17"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Initial soil moisture depletion</w:t>
            </w:r>
          </w:p>
        </w:tc>
        <w:tc>
          <w:tcPr>
            <w:tcW w:w="632" w:type="pct"/>
            <w:tcBorders>
              <w:bottom w:val="single" w:sz="4" w:space="0" w:color="auto"/>
            </w:tcBorders>
          </w:tcPr>
          <w:p w14:paraId="1AF48AC9" w14:textId="0FE27846"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t>
                </m:r>
              </m:oMath>
            </m:oMathPara>
          </w:p>
        </w:tc>
        <w:tc>
          <w:tcPr>
            <w:tcW w:w="1186" w:type="pct"/>
            <w:tcBorders>
              <w:bottom w:val="single" w:sz="4" w:space="0" w:color="auto"/>
            </w:tcBorders>
          </w:tcPr>
          <w:p w14:paraId="327CFEFD" w14:textId="1AC7940E"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Total available water - </w:t>
            </w:r>
            <m:oMath>
              <m:r>
                <w:rPr>
                  <w:rFonts w:ascii="Cambria Math" w:hAnsi="Cambria Math"/>
                  <w:sz w:val="20"/>
                  <w:szCs w:val="20"/>
                </w:rPr>
                <m:t>TAW</m:t>
              </m:r>
            </m:oMath>
          </w:p>
        </w:tc>
        <w:tc>
          <w:tcPr>
            <w:tcW w:w="1446" w:type="pct"/>
            <w:tcBorders>
              <w:bottom w:val="single" w:sz="4" w:space="0" w:color="auto"/>
            </w:tcBorders>
          </w:tcPr>
          <w:p w14:paraId="004EEBB5" w14:textId="5052215A"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p>
        </w:tc>
      </w:tr>
      <w:bookmarkEnd w:id="19"/>
    </w:tbl>
    <w:p w14:paraId="05A1DEFE" w14:textId="77777777" w:rsidR="00607D02" w:rsidRDefault="00607D02" w:rsidP="005A66BB">
      <w:pPr>
        <w:pStyle w:val="ListParagraph"/>
        <w:tabs>
          <w:tab w:val="left" w:pos="567"/>
        </w:tabs>
        <w:spacing w:line="480" w:lineRule="auto"/>
        <w:ind w:left="0"/>
        <w:contextualSpacing w:val="0"/>
      </w:pPr>
    </w:p>
    <w:sectPr w:rsidR="00607D02" w:rsidSect="005A66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0893" w14:textId="77777777" w:rsidR="00EB4862" w:rsidRDefault="00EB4862" w:rsidP="00A762B9">
      <w:pPr>
        <w:spacing w:after="0" w:line="240" w:lineRule="auto"/>
      </w:pPr>
      <w:r>
        <w:separator/>
      </w:r>
    </w:p>
  </w:endnote>
  <w:endnote w:type="continuationSeparator" w:id="0">
    <w:p w14:paraId="67558AD6" w14:textId="77777777" w:rsidR="00EB4862" w:rsidRDefault="00EB4862" w:rsidP="00A7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10A7" w14:textId="77777777" w:rsidR="00EB4862" w:rsidRDefault="00EB4862" w:rsidP="00A762B9">
      <w:pPr>
        <w:spacing w:after="0" w:line="240" w:lineRule="auto"/>
      </w:pPr>
      <w:r>
        <w:separator/>
      </w:r>
    </w:p>
  </w:footnote>
  <w:footnote w:type="continuationSeparator" w:id="0">
    <w:p w14:paraId="3020337A" w14:textId="77777777" w:rsidR="00EB4862" w:rsidRDefault="00EB4862" w:rsidP="00A7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7D1"/>
    <w:multiLevelType w:val="multilevel"/>
    <w:tmpl w:val="2032A3E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3."/>
      <w:lvlJc w:val="left"/>
      <w:pPr>
        <w:ind w:left="1288" w:hanging="720"/>
      </w:pPr>
      <w:rPr>
        <w:rFonts w:ascii="Times New Roman" w:eastAsiaTheme="minorHAnsi" w:hAnsi="Times New Roman" w:cstheme="minorBidi"/>
        <w:b/>
        <w:i w:val="0"/>
        <w:noProof w:val="0"/>
      </w:rPr>
    </w:lvl>
    <w:lvl w:ilvl="3">
      <w:start w:val="1"/>
      <w:numFmt w:val="decimal"/>
      <w:isLgl/>
      <w:lvlText w:val="%1.%2.%3.%4."/>
      <w:lvlJc w:val="left"/>
      <w:pPr>
        <w:ind w:left="1146"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70F6824"/>
    <w:multiLevelType w:val="multilevel"/>
    <w:tmpl w:val="6A2442C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F42913"/>
    <w:multiLevelType w:val="multilevel"/>
    <w:tmpl w:val="2D825BA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35F9B"/>
    <w:multiLevelType w:val="multilevel"/>
    <w:tmpl w:val="9C389378"/>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751EE3"/>
    <w:multiLevelType w:val="multilevel"/>
    <w:tmpl w:val="4F14192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30A00"/>
    <w:multiLevelType w:val="hybridMultilevel"/>
    <w:tmpl w:val="C6F4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751154">
    <w:abstractNumId w:val="5"/>
  </w:num>
  <w:num w:numId="2" w16cid:durableId="1597440928">
    <w:abstractNumId w:val="0"/>
  </w:num>
  <w:num w:numId="3" w16cid:durableId="1789860915">
    <w:abstractNumId w:val="1"/>
  </w:num>
  <w:num w:numId="4" w16cid:durableId="1721127855">
    <w:abstractNumId w:val="2"/>
  </w:num>
  <w:num w:numId="5" w16cid:durableId="462582662">
    <w:abstractNumId w:val="4"/>
  </w:num>
  <w:num w:numId="6" w16cid:durableId="1332181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xNTKztLAwNDU3MTNW0lEKTi0uzszPAykwMqgFAGSCs6otAAAA"/>
  </w:docVars>
  <w:rsids>
    <w:rsidRoot w:val="00D432DE"/>
    <w:rsid w:val="00002BF5"/>
    <w:rsid w:val="00045888"/>
    <w:rsid w:val="000509DE"/>
    <w:rsid w:val="00087C3C"/>
    <w:rsid w:val="00120CC9"/>
    <w:rsid w:val="00147231"/>
    <w:rsid w:val="00147B4A"/>
    <w:rsid w:val="00154085"/>
    <w:rsid w:val="001A06A7"/>
    <w:rsid w:val="001B5E4E"/>
    <w:rsid w:val="002B18D9"/>
    <w:rsid w:val="002E77DD"/>
    <w:rsid w:val="002F3D20"/>
    <w:rsid w:val="00311851"/>
    <w:rsid w:val="0032659B"/>
    <w:rsid w:val="00327FCE"/>
    <w:rsid w:val="003419BE"/>
    <w:rsid w:val="00343DB3"/>
    <w:rsid w:val="00392ABB"/>
    <w:rsid w:val="003A6FFC"/>
    <w:rsid w:val="003C68EC"/>
    <w:rsid w:val="003F3873"/>
    <w:rsid w:val="00404137"/>
    <w:rsid w:val="00485AFC"/>
    <w:rsid w:val="004A2450"/>
    <w:rsid w:val="004B7767"/>
    <w:rsid w:val="004C378E"/>
    <w:rsid w:val="004C77A8"/>
    <w:rsid w:val="004D0F37"/>
    <w:rsid w:val="004F378E"/>
    <w:rsid w:val="005339E2"/>
    <w:rsid w:val="0056085D"/>
    <w:rsid w:val="00594C13"/>
    <w:rsid w:val="005A66BB"/>
    <w:rsid w:val="005C4629"/>
    <w:rsid w:val="005F4C43"/>
    <w:rsid w:val="00600309"/>
    <w:rsid w:val="00607D02"/>
    <w:rsid w:val="00643BDD"/>
    <w:rsid w:val="006476A1"/>
    <w:rsid w:val="00655DC3"/>
    <w:rsid w:val="00667E5A"/>
    <w:rsid w:val="006974F6"/>
    <w:rsid w:val="006A38F9"/>
    <w:rsid w:val="006B32B0"/>
    <w:rsid w:val="00714D86"/>
    <w:rsid w:val="0074177C"/>
    <w:rsid w:val="007918F1"/>
    <w:rsid w:val="00795236"/>
    <w:rsid w:val="007B65E9"/>
    <w:rsid w:val="00801BE2"/>
    <w:rsid w:val="00801ECE"/>
    <w:rsid w:val="008459CA"/>
    <w:rsid w:val="00855807"/>
    <w:rsid w:val="00891B05"/>
    <w:rsid w:val="00892DEA"/>
    <w:rsid w:val="008A1C91"/>
    <w:rsid w:val="008D6456"/>
    <w:rsid w:val="008E432E"/>
    <w:rsid w:val="00907D0A"/>
    <w:rsid w:val="00931E16"/>
    <w:rsid w:val="009371EA"/>
    <w:rsid w:val="00945B3E"/>
    <w:rsid w:val="009509ED"/>
    <w:rsid w:val="00993A6A"/>
    <w:rsid w:val="00995023"/>
    <w:rsid w:val="009B6724"/>
    <w:rsid w:val="009F402B"/>
    <w:rsid w:val="00A13AC6"/>
    <w:rsid w:val="00A20BEB"/>
    <w:rsid w:val="00A21095"/>
    <w:rsid w:val="00A43699"/>
    <w:rsid w:val="00A629D0"/>
    <w:rsid w:val="00A71588"/>
    <w:rsid w:val="00A762B9"/>
    <w:rsid w:val="00A8520C"/>
    <w:rsid w:val="00AB7CCE"/>
    <w:rsid w:val="00AC4B51"/>
    <w:rsid w:val="00B35FD2"/>
    <w:rsid w:val="00B43C95"/>
    <w:rsid w:val="00B933FA"/>
    <w:rsid w:val="00BB5CE8"/>
    <w:rsid w:val="00BF46C4"/>
    <w:rsid w:val="00BF7EA7"/>
    <w:rsid w:val="00C26CBB"/>
    <w:rsid w:val="00C566E9"/>
    <w:rsid w:val="00CB25D0"/>
    <w:rsid w:val="00CF184B"/>
    <w:rsid w:val="00CF62F4"/>
    <w:rsid w:val="00D070FD"/>
    <w:rsid w:val="00D432DE"/>
    <w:rsid w:val="00D55228"/>
    <w:rsid w:val="00D55E23"/>
    <w:rsid w:val="00D87764"/>
    <w:rsid w:val="00DC2A81"/>
    <w:rsid w:val="00DF6D08"/>
    <w:rsid w:val="00E0503B"/>
    <w:rsid w:val="00E154AE"/>
    <w:rsid w:val="00E6107D"/>
    <w:rsid w:val="00E8701A"/>
    <w:rsid w:val="00EA216F"/>
    <w:rsid w:val="00EB4862"/>
    <w:rsid w:val="00EB550B"/>
    <w:rsid w:val="00EC7F9E"/>
    <w:rsid w:val="00F45F2A"/>
    <w:rsid w:val="00FF5C60"/>
    <w:rsid w:val="00FF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D52B"/>
  <w15:chartTrackingRefBased/>
  <w15:docId w15:val="{B555210B-D370-496E-B792-AA85B79B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07"/>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23"/>
    <w:pPr>
      <w:ind w:left="720"/>
      <w:contextualSpacing/>
    </w:pPr>
  </w:style>
  <w:style w:type="table" w:styleId="TableGrid">
    <w:name w:val="Table Grid"/>
    <w:basedOn w:val="TableNormal"/>
    <w:uiPriority w:val="39"/>
    <w:rsid w:val="00995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50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92DEA"/>
    <w:rPr>
      <w:sz w:val="16"/>
      <w:szCs w:val="16"/>
    </w:rPr>
  </w:style>
  <w:style w:type="paragraph" w:styleId="CommentText">
    <w:name w:val="annotation text"/>
    <w:basedOn w:val="Normal"/>
    <w:link w:val="CommentTextChar"/>
    <w:uiPriority w:val="99"/>
    <w:semiHidden/>
    <w:unhideWhenUsed/>
    <w:rsid w:val="00892DEA"/>
    <w:pPr>
      <w:spacing w:line="240" w:lineRule="auto"/>
    </w:pPr>
    <w:rPr>
      <w:sz w:val="20"/>
      <w:szCs w:val="20"/>
    </w:rPr>
  </w:style>
  <w:style w:type="character" w:customStyle="1" w:styleId="CommentTextChar">
    <w:name w:val="Comment Text Char"/>
    <w:basedOn w:val="DefaultParagraphFont"/>
    <w:link w:val="CommentText"/>
    <w:uiPriority w:val="99"/>
    <w:semiHidden/>
    <w:rsid w:val="00892DE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2DEA"/>
    <w:rPr>
      <w:b/>
      <w:bCs/>
    </w:rPr>
  </w:style>
  <w:style w:type="character" w:customStyle="1" w:styleId="CommentSubjectChar">
    <w:name w:val="Comment Subject Char"/>
    <w:basedOn w:val="CommentTextChar"/>
    <w:link w:val="CommentSubject"/>
    <w:uiPriority w:val="99"/>
    <w:semiHidden/>
    <w:rsid w:val="00892DEA"/>
    <w:rPr>
      <w:rFonts w:ascii="Times New Roman" w:hAnsi="Times New Roman"/>
      <w:b/>
      <w:bCs/>
      <w:sz w:val="20"/>
      <w:szCs w:val="20"/>
    </w:rPr>
  </w:style>
  <w:style w:type="character" w:styleId="PlaceholderText">
    <w:name w:val="Placeholder Text"/>
    <w:basedOn w:val="DefaultParagraphFont"/>
    <w:uiPriority w:val="99"/>
    <w:semiHidden/>
    <w:rsid w:val="00E0503B"/>
    <w:rPr>
      <w:color w:val="808080"/>
    </w:rPr>
  </w:style>
  <w:style w:type="paragraph" w:styleId="Header">
    <w:name w:val="header"/>
    <w:basedOn w:val="Normal"/>
    <w:link w:val="HeaderChar"/>
    <w:uiPriority w:val="99"/>
    <w:unhideWhenUsed/>
    <w:rsid w:val="00A762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62B9"/>
    <w:rPr>
      <w:rFonts w:ascii="Times New Roman" w:hAnsi="Times New Roman"/>
      <w:sz w:val="24"/>
    </w:rPr>
  </w:style>
  <w:style w:type="paragraph" w:styleId="Footer">
    <w:name w:val="footer"/>
    <w:basedOn w:val="Normal"/>
    <w:link w:val="FooterChar"/>
    <w:uiPriority w:val="99"/>
    <w:unhideWhenUsed/>
    <w:rsid w:val="00A762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62B9"/>
    <w:rPr>
      <w:rFonts w:ascii="Times New Roman" w:hAnsi="Times New Roman"/>
      <w:sz w:val="24"/>
    </w:rPr>
  </w:style>
  <w:style w:type="table" w:styleId="PlainTable4">
    <w:name w:val="Plain Table 4"/>
    <w:basedOn w:val="TableNormal"/>
    <w:uiPriority w:val="44"/>
    <w:rsid w:val="00A762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EDDB7-14EC-42FA-A97D-2C4B35B8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18498</Words>
  <Characters>105444</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92</cp:revision>
  <dcterms:created xsi:type="dcterms:W3CDTF">2022-08-31T20:51:00Z</dcterms:created>
  <dcterms:modified xsi:type="dcterms:W3CDTF">2023-06-21T05:43:00Z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71cad26b-7919-3dbe-b15f-07fa9228c7bf</vt:lpwstr>
  </property>
  <property fmtid="{D5CDD505-2E9C-101B-9397-08002B2CF9AE}" pid="4" name="Mendeley Citation Style_1">
    <vt:lpwstr>http://www.zotero.org/styles/apa</vt:lpwstr>
  </property>
  <property fmtid="{D5CDD505-2E9C-101B-9397-08002B2CF9AE}" pid="5" name="Mendeley Recent Style Id 0_1">
    <vt:lpwstr>http://www.zotero.org/styles/agricultural-water-management</vt:lpwstr>
  </property>
  <property fmtid="{D5CDD505-2E9C-101B-9397-08002B2CF9AE}" pid="6" name="Mendeley Recent Style Name 0_1">
    <vt:lpwstr>Agricultural Water Management</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http://www.zotero.org/styles/vancouver</vt:lpwstr>
  </property>
  <property fmtid="{D5CDD505-2E9C-101B-9397-08002B2CF9AE}" pid="14" name="Mendeley Recent Style Name 4_1">
    <vt:lpwstr>Vancouver</vt:lpwstr>
  </property>
  <property fmtid="{D5CDD505-2E9C-101B-9397-08002B2CF9AE}" pid="15" name="Mendeley Recent Style Id 5_1">
    <vt:lpwstr>http://csl.mendeley.com/styles/499198561/vancouver-4</vt:lpwstr>
  </property>
  <property fmtid="{D5CDD505-2E9C-101B-9397-08002B2CF9AE}" pid="16" name="Mendeley Recent Style Name 5_1">
    <vt:lpwstr>Vancouver - Final</vt:lpwstr>
  </property>
  <property fmtid="{D5CDD505-2E9C-101B-9397-08002B2CF9AE}" pid="17" name="Mendeley Recent Style Id 6_1">
    <vt:lpwstr>http://csl.mendeley.com/styles/499198561/vancouver-3</vt:lpwstr>
  </property>
  <property fmtid="{D5CDD505-2E9C-101B-9397-08002B2CF9AE}" pid="18" name="Mendeley Recent Style Name 6_1">
    <vt:lpwstr>Vancouver - Juan David Marquez</vt:lpwstr>
  </property>
  <property fmtid="{D5CDD505-2E9C-101B-9397-08002B2CF9AE}" pid="19" name="Mendeley Recent Style Id 7_1">
    <vt:lpwstr>http://csl.mendeley.com/styles/499198561/vancouver-5</vt:lpwstr>
  </property>
  <property fmtid="{D5CDD505-2E9C-101B-9397-08002B2CF9AE}" pid="20" name="Mendeley Recent Style Name 7_1">
    <vt:lpwstr>Vancouver - Juan David Marquez</vt:lpwstr>
  </property>
  <property fmtid="{D5CDD505-2E9C-101B-9397-08002B2CF9AE}" pid="21" name="Mendeley Recent Style Id 8_1">
    <vt:lpwstr>http://csl.mendeley.com/styles/499198561/vancouver-7</vt:lpwstr>
  </property>
  <property fmtid="{D5CDD505-2E9C-101B-9397-08002B2CF9AE}" pid="22" name="Mendeley Recent Style Name 8_1">
    <vt:lpwstr>Vancouver - Juan David Marquez</vt:lpwstr>
  </property>
  <property fmtid="{D5CDD505-2E9C-101B-9397-08002B2CF9AE}" pid="23" name="Mendeley Recent Style Id 9_1">
    <vt:lpwstr>http://csl.mendeley.com/styles/499198561/vancouver-6</vt:lpwstr>
  </property>
  <property fmtid="{D5CDD505-2E9C-101B-9397-08002B2CF9AE}" pid="24" name="Mendeley Recent Style Name 9_1">
    <vt:lpwstr>Vancouver - Juan David Marquez</vt:lpwstr>
  </property>
</Properties>
</file>