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0E0A" w14:textId="4D82B460" w:rsidR="008247CB" w:rsidRDefault="00254F38" w:rsidP="00253EA8">
      <w:pPr>
        <w:spacing w:after="360" w:line="480" w:lineRule="auto"/>
        <w:jc w:val="center"/>
        <w:rPr>
          <w:b/>
          <w:bCs/>
        </w:rPr>
      </w:pPr>
      <w:r>
        <w:rPr>
          <w:b/>
          <w:bCs/>
        </w:rPr>
        <w:t>Data sources</w:t>
      </w:r>
    </w:p>
    <w:p w14:paraId="551DD4C8" w14:textId="00994E7C" w:rsidR="006111E7" w:rsidRPr="00253EA8" w:rsidRDefault="000912E4" w:rsidP="00253EA8">
      <w:pPr>
        <w:pStyle w:val="ListParagraph"/>
        <w:numPr>
          <w:ilvl w:val="0"/>
          <w:numId w:val="1"/>
        </w:numPr>
        <w:spacing w:before="240" w:after="0" w:line="480" w:lineRule="auto"/>
        <w:ind w:left="284" w:hanging="284"/>
        <w:contextualSpacing w:val="0"/>
        <w:rPr>
          <w:b/>
          <w:bCs/>
        </w:rPr>
      </w:pPr>
      <w:r w:rsidRPr="00253EA8">
        <w:rPr>
          <w:b/>
          <w:bCs/>
        </w:rPr>
        <w:t xml:space="preserve">Main </w:t>
      </w:r>
      <w:r w:rsidR="006111E7" w:rsidRPr="00253EA8">
        <w:rPr>
          <w:b/>
          <w:bCs/>
        </w:rPr>
        <w:t>Databases</w:t>
      </w:r>
    </w:p>
    <w:p w14:paraId="19E12CC9" w14:textId="3C309097" w:rsidR="006111E7" w:rsidRDefault="006111E7" w:rsidP="00253EA8">
      <w:pPr>
        <w:spacing w:after="0" w:line="480" w:lineRule="auto"/>
      </w:pPr>
      <w:r w:rsidRPr="003C702B">
        <w:t xml:space="preserve">This study used </w:t>
      </w:r>
      <w:r>
        <w:t xml:space="preserve">NASA </w:t>
      </w:r>
      <w:r>
        <w:fldChar w:fldCharType="begin" w:fldLock="1"/>
      </w:r>
      <w:r w:rsidR="00BA34CA">
        <w:instrText>ADDIN CSL_CITATION {"citationItems":[{"id":"ITEM-1","itemData":{"URL":"https://power.larc.nasa.gov/data-access-viewer/","accessed":{"date-parts":[["2022","4","6"]]},"author":[{"dropping-particle":"","family":"NASA","given":"","non-dropping-particle":"","parse-names":false,"suffix":""}],"id":"ITEM-1","issued":{"date-parts":[["2021"]]},"title":"POWER | Data Access Viewer","type":"webpage"},"suppress-author":1,"uris":["http://www.mendeley.com/documents/?uuid=33a77ab2-3535-3ec7-ac50-0d271350385b"]}],"mendeley":{"formattedCitation":"(2021)","plainTextFormattedCitation":"(2021)","previouslyFormattedCitation":"(2021)"},"properties":{"noteIndex":0},"schema":"https://github.com/citation-style-language/schema/raw/master/csl-citation.json"}</w:instrText>
      </w:r>
      <w:r>
        <w:fldChar w:fldCharType="separate"/>
      </w:r>
      <w:r w:rsidR="00BA34CA" w:rsidRPr="00BA34CA">
        <w:rPr>
          <w:noProof/>
        </w:rPr>
        <w:t>(2021)</w:t>
      </w:r>
      <w:r>
        <w:fldChar w:fldCharType="end"/>
      </w:r>
      <w:r>
        <w:t xml:space="preserve"> to collect </w:t>
      </w:r>
      <w:r w:rsidRPr="003C702B">
        <w:t>data associated with climatological parameters and the FAO</w:t>
      </w:r>
      <w:r>
        <w:t xml:space="preserve">.56 </w:t>
      </w:r>
      <w:r w:rsidRPr="00752B9B">
        <w:t>Crop evapotranspiration - Guidelines for computing crop water requirements</w:t>
      </w:r>
      <w:r>
        <w:t xml:space="preserve"> </w:t>
      </w:r>
      <w:r w:rsidRPr="00752B9B">
        <w:fldChar w:fldCharType="begin" w:fldLock="1"/>
      </w:r>
      <w:r w:rsidRPr="00752B9B">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752B9B">
        <w:fldChar w:fldCharType="separate"/>
      </w:r>
      <w:r w:rsidRPr="00752B9B">
        <w:rPr>
          <w:noProof/>
        </w:rPr>
        <w:t>(Allen et al., 2006)</w:t>
      </w:r>
      <w:r w:rsidRPr="00752B9B">
        <w:fldChar w:fldCharType="end"/>
      </w:r>
      <w:r>
        <w:t xml:space="preserve"> </w:t>
      </w:r>
      <w:r w:rsidRPr="003C702B">
        <w:t xml:space="preserve">to determine </w:t>
      </w:r>
      <w:r>
        <w:t xml:space="preserve">the cocoa crop and soil </w:t>
      </w:r>
      <w:r w:rsidRPr="003C702B">
        <w:t>associated characteristics</w:t>
      </w:r>
      <w:r>
        <w:t xml:space="preserve">. Those sources of information </w:t>
      </w:r>
      <w:r w:rsidRPr="006D4EE6">
        <w:t>in conjunction with</w:t>
      </w:r>
      <w:r>
        <w:t xml:space="preserve"> multiples cocoa case studies supports the required data for model formulation, development and solution.</w:t>
      </w:r>
    </w:p>
    <w:p w14:paraId="6E7FCFFE" w14:textId="481E067D" w:rsidR="006111E7" w:rsidRPr="00253EA8" w:rsidRDefault="006111E7" w:rsidP="00253EA8">
      <w:pPr>
        <w:pStyle w:val="ListParagraph"/>
        <w:numPr>
          <w:ilvl w:val="0"/>
          <w:numId w:val="1"/>
        </w:numPr>
        <w:spacing w:after="0" w:line="480" w:lineRule="auto"/>
        <w:ind w:left="284" w:hanging="284"/>
        <w:contextualSpacing w:val="0"/>
        <w:rPr>
          <w:b/>
          <w:bCs/>
        </w:rPr>
      </w:pPr>
      <w:r w:rsidRPr="00253EA8">
        <w:rPr>
          <w:b/>
          <w:bCs/>
        </w:rPr>
        <w:t>NASA - POWER</w:t>
      </w:r>
    </w:p>
    <w:p w14:paraId="385B2D39" w14:textId="4264FABC" w:rsidR="006111E7" w:rsidRPr="00253EA8" w:rsidRDefault="006111E7" w:rsidP="00253EA8">
      <w:pPr>
        <w:spacing w:after="0" w:line="480" w:lineRule="auto"/>
        <w:rPr>
          <w:lang w:val="es-CO"/>
        </w:rPr>
      </w:pPr>
      <w:r w:rsidRPr="007673EB">
        <w:t xml:space="preserve">The NASA Prediction of worldwide energy resources (POWER) project is a repository of data associated with </w:t>
      </w:r>
      <w:r>
        <w:t>modeling</w:t>
      </w:r>
      <w:r w:rsidRPr="007673EB">
        <w:t xml:space="preserve"> various climatic parameters on </w:t>
      </w:r>
      <w:r>
        <w:t>e</w:t>
      </w:r>
      <w:r w:rsidRPr="007673EB">
        <w:t xml:space="preserve">arth. The platform allows </w:t>
      </w:r>
      <w:r>
        <w:t xml:space="preserve">downloading multiples parameters in different frequencies (i.e., </w:t>
      </w:r>
      <w:r w:rsidRPr="007673EB">
        <w:t>hourly, daily, monthly</w:t>
      </w:r>
      <w:r>
        <w:t>,</w:t>
      </w:r>
      <w:r w:rsidRPr="007673EB">
        <w:t xml:space="preserve"> and annually</w:t>
      </w:r>
      <w:r>
        <w:t>)</w:t>
      </w:r>
      <w:r w:rsidRPr="007673EB">
        <w:t xml:space="preserve">, serving three </w:t>
      </w:r>
      <w:r>
        <w:t>central</w:t>
      </w:r>
      <w:r w:rsidRPr="007673EB">
        <w:t xml:space="preserve"> user communities, (</w:t>
      </w:r>
      <w:proofErr w:type="spellStart"/>
      <w:r w:rsidRPr="007673EB">
        <w:t>i</w:t>
      </w:r>
      <w:proofErr w:type="spellEnd"/>
      <w:r w:rsidRPr="007673EB">
        <w:t>) renewable energy, (ii) sustainable buildings, and (iii) agroclimatology.</w:t>
      </w:r>
      <w:r>
        <w:t xml:space="preserve"> The project process ground measured data, satellite data, and assimilated data derived from </w:t>
      </w:r>
      <w:r w:rsidRPr="00ED4086">
        <w:t>Modern-Era Retrospective analysis for Research and Applications</w:t>
      </w:r>
      <w:r>
        <w:t xml:space="preserve"> (MERRA-2) and </w:t>
      </w:r>
      <w:r w:rsidRPr="00ED4086">
        <w:t>Goddard Earth Observing System (GEOS)</w:t>
      </w:r>
      <w:r>
        <w:t xml:space="preserve"> 5.12.4 developed by </w:t>
      </w:r>
      <w:r w:rsidRPr="00ED4086">
        <w:t>Global Modeling and Assimilation Office (GMAO)</w:t>
      </w:r>
      <w:r>
        <w:t xml:space="preserve"> for supporting NASA activities </w:t>
      </w:r>
      <w:r w:rsidR="00BA34CA">
        <w:fldChar w:fldCharType="begin" w:fldLock="1"/>
      </w:r>
      <w:r w:rsidR="00BA34CA">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2021)"},"properties":{"noteIndex":0},"schema":"https://github.com/citation-style-language/schema/raw/master/csl-citation.json"}</w:instrText>
      </w:r>
      <w:r w:rsidR="00BA34CA">
        <w:fldChar w:fldCharType="separate"/>
      </w:r>
      <w:r w:rsidR="00BA34CA" w:rsidRPr="00BA34CA">
        <w:rPr>
          <w:noProof/>
        </w:rPr>
        <w:t>(NASA, 2021)</w:t>
      </w:r>
      <w:r w:rsidR="00BA34CA">
        <w:fldChar w:fldCharType="end"/>
      </w:r>
      <w:r>
        <w:t xml:space="preserve"> and </w:t>
      </w:r>
      <w:r>
        <w:fldChar w:fldCharType="begin" w:fldLock="1"/>
      </w:r>
      <w:r>
        <w:instrText>ADDIN CSL_CITATION {"citationItems":[{"id":"ITEM-1","itemData":{"DOI":"https://doi.org/10.1016/j.agrformet.2008.05.017","ISSN":"0168-1923","abstract":"Agricultural research increasingly is expected to provide precise, quantitative information with an explicit geographic coverage. Limited availability of daily meteorological records often constrains efforts to provide such information through use of simulation models, spatial analysis, and related decision support tools. The Prediction Of Worldwide Energy Resources (NASA/POWER) project at the NASA Langley Research Center provides daily data globally for maximum and minimum temperatures and other weather variables on a 1° latitude–longitude grid. The data are assembled from a range of products derived from satellite imagery, ground observations, windsondes, modeling and data assimilation. Daily temperature data from NASA/POWER for 1983 to 2004 for the continental US were compared with data of 855 individual ground stations from the National Weather Service Cooperative Observer Program (COOP). Additionally, a wheat (Triticum aestivum L.) simulation model was used to compare predicted time to anthesis using the two data sources. Comparisons of daily maximum temperatures (Tmax) gave an r2-value of 0.88 (P&lt;0.001) and root-mean-squared error (RMSE) of 4.1°C. For minimum temperature (Tmin), the r2-value was 0.88 (P&lt;0.001) and RMSE, 3.7°C. Mean values of Tmax, and Tmin from NASA/POWER were, respectively, 2.4°C cooler and 1.1°C warmer than the COOP data. Differences in temperature were least during summer months. When data were aggregated over periods of 8 days or more, the RMSE values declined to below 2.7°C for Tmax and Tmin. Simulations of time to anthesis with the two data sources were also strongly correlated (r2=0.92, P&lt;0.001, RMSE=14.5 d). Anthesis dates of winter wheat regions showed better agreement than southern, winter-grown spring wheat regions. The differences between the data sources were associated with differences in elevation, which in large part resulted from NASA/POWER data being based on mean elevations over a 1° grid cells vs. COOP data corresponding to the elevation of specific stations. Additional sources of variation might include proximity to coastlines and differences in observation time, although these factors were not quantified. Overall, if mountainous and coastal regions are excluded, the NASA/POWER data appeared promising as a source of continuous daily temperature data for the USA for research and management applications concerned with scales appropriate to the 1° coordinate grid. It further appeared that the POWER data could be …","author":[{"dropping-particle":"","family":"White","given":"Jeffrey W","non-dropping-particle":"","parse-names":false,"suffix":""},{"dropping-particle":"","family":"Hoogenboom","given":"Gerrit","non-dropping-particle":"","parse-names":false,"suffix":""},{"dropping-particle":"","family":"Stackhouse","given":"Paul W","non-dropping-particle":"","parse-names":false,"suffix":""},{"dropping-particle":"","family":"Hoell","given":"James M","non-dropping-particle":"","parse-names":false,"suffix":""}],"container-title":"Agricultural and Forest Meteorology","id":"ITEM-1","issue":"10","issued":{"date-parts":[["2008"]]},"page":"1574-1584","title":"Evaluation of NASA satellite- and assimilation model-derived long-term daily temperature data over the continental US","type":"article-journal","volume":"148"},"uris":["http://www.mendeley.com/documents/?uuid=a6cbd461-d7d0-4089-9942-723a1baf8945"]}],"mendeley":{"formattedCitation":"(White et al., 2008)","plainTextFormattedCitation":"(White et al., 2008)","previouslyFormattedCitation":"(White et al., 2008)"},"properties":{"noteIndex":0},"schema":"https://github.com/citation-style-language/schema/raw/master/csl-citation.json"}</w:instrText>
      </w:r>
      <w:r>
        <w:fldChar w:fldCharType="separate"/>
      </w:r>
      <w:r w:rsidRPr="00C6068E">
        <w:rPr>
          <w:noProof/>
        </w:rPr>
        <w:t>(White et al., 2008)</w:t>
      </w:r>
      <w:r>
        <w:fldChar w:fldCharType="end"/>
      </w:r>
      <w:r>
        <w:t xml:space="preserve">. Several studies worldwide demonstrate the NASA-POWER </w:t>
      </w:r>
      <w:r w:rsidRPr="00602AEE">
        <w:t>usefulness</w:t>
      </w:r>
      <w:r>
        <w:t xml:space="preserve"> at supporting climatic data considering the </w:t>
      </w:r>
      <w:r w:rsidRPr="007F634D">
        <w:t>near real-time data availability</w:t>
      </w:r>
      <w:r>
        <w:t xml:space="preserve"> and the data reliability </w:t>
      </w:r>
      <w:r>
        <w:fldChar w:fldCharType="begin" w:fldLock="1"/>
      </w:r>
      <w:r>
        <w:instrText>ADDIN CSL_CITATION {"citationItems":[{"id":"ITEM-1","itemData":{"DOI":"10.1007/s00704-019-03076-4","ISSN":"1434-4483","abstract":"Accurate estimation of evapotranspiration is generally constrained due to lack of required hydrometeorological datasets. This study addresses the performance analysis of reference evapotranspiration (ETo) estimated from NASA/POWER, National Center for Environmental Prediction (NCEP) global reanalysis data before and after dynamical downscaling through the Weather Research and Forecasting (WRF) model. The state-of-the-art Hamon’s and Penman-Monteith’s methods were utilized for the ETo estimation in the Northern India. The performance indices such as bias, root mean square error (RMSE), and correlation (r) were calculated, which showed the values 0.242, 0.422, and 0.959 for NCEP data (without downscaling) and 0.230, 0.402, and 0.969 for the downscaled data respectively. The results indicated that after WRF downscaling, there was some marginal improvement found in the ETo as compared to the without downscaling datasets. However, a better performance was found in the case of NASA/POWER datasets with bias, RMSE, and correlation values of 0.154, 0.348, and 0.960 respectively. In overall, the results indicated that the NASA/POWER and WRF downscaled data can be used for ETo estimation, especially in the ungauged areas. However, NASA/POWER is recommended as the ETo calculations are less computationally expensive and easily available than performing WRF simulations.","author":[{"dropping-particle":"","family":"Srivastava","given":"Prashant K","non-dropping-particle":"","parse-names":false,"suffix":""},{"dropping-particle":"","family":"Singh","given":"Prachi","non-dropping-particle":"","parse-names":false,"suffix":""},{"dropping-particle":"","family":"Mall","given":"R K","non-dropping-particle":"","parse-names":false,"suffix":""},{"dropping-particle":"","family":"Pradhan","given":"Rajani K","non-dropping-particle":"","parse-names":false,"suffix":""},{"dropping-particle":"","family":"Bray","given":"Michaela","non-dropping-particle":"","parse-names":false,"suffix":""},{"dropping-particle":"","family":"Gupta","given":"Akhilesh","non-dropping-particle":"","parse-names":false,"suffix":""}],"container-title":"Theoretical and Applied Climatology","id":"ITEM-1","issue":"1","issued":{"date-parts":[["2020"]]},"page":"145-156","title":"Performance assessment of evapotranspiration estimated from different data sources over agricultural landscape in Northern India","type":"article-journal","volume":"140"},"uris":["http://www.mendeley.com/documents/?uuid=19c8aef3-a8a9-4b3f-94c7-24ed2d97fdc3"]},{"id":"ITEM-2","itemData":{"DOI":"10.3390/agronomy11061207","ISSN":"2073-4395","abstract":"This study aims to evaluate NASA POWER reanalysis products for daily surface maximum (Tmax) and minimum (Tmin) temperatures, solar radiation (Rs), relative humidity (RH) and wind speed (Ws) when compared with observed data from 14 distributed weather stations across Alentejo Region, Southern Portugal, with a hot summer Mediterranean climate. Results showed that there is good agreement between NASA POWER reanalysis and observed data for all parameters, except for wind speed, with coefficient of determination (R2) higher than 0.82, with normalized root mean square error (NRMSE) varying, from 8 to 20%, and a normalized mean bias error (NMBE) ranging from –9 to 26%, for those variables. Based on these results, and in order to improve the accuracy of the NASA POWER dataset, two bias corrections were performed to all weather variables: one for the Alentejo Region as a whole; another, for each location individually. Results improved significantly, especially when a local bias correction is performed, with Tmax and Tmin presenting an improvement of the mean NRMSE of 6.6 °C (from 8.0 °C) and 16.1 °C (from 20.5 °C), respectively, while a mean NMBE decreased from 10.65 to 0.2%. Rs results also show a very high goodness of fit with a mean NRMSE of 11.2% and mean NMBE equal to 0.1%. Additionally, bias corrected RH data performed acceptably with an NRMSE lower than 12.1% and an NMBE below 2.1%. However, even when a bias correction is performed, Ws lacks the performance showed by the remaining weather variables, with an NRMSE never lower than 19.6%. Results show that NASA POWER can be useful for the generation of weather data sets where ground weather stations data is of missing or unavailable.","author":[{"dropping-particle":"","family":"Rodrigues","given":"Gonçalo C","non-dropping-particle":"","parse-names":false,"suffix":""},{"dropping-particle":"","family":"Braga","given":"Ricardo P","non-dropping-particle":"","parse-names":false,"suffix":""}],"container-title":"Agronomy","id":"ITEM-2","issue":"6","issued":{"date-parts":[["2021"]]},"title":"Evaluation of NASA POWER Reanalysis Products to Estimate Daily Weather Variables in a Hot Summer Mediterranean Climate","type":"article-journal","volume":"11"},"uris":["http://www.mendeley.com/documents/?uuid=d0f456b6-a48e-4e71-bf9b-935bd4ca41a5"]},{"id":"ITEM-3","itemData":{"DOI":"https://doi.org/10.1002/joc.5282","abstract":"ABSTRACT The gridded database provided by National Aeronautics and Space Administration/Prediction of World Wide Energy Resources (NASA/POWER) presents a global coverage of complete weather data at horizontal resolution of 1° latitude–longitude, becoming a potential source for agrometeorological studies. Once Brazil is a country with continental dimensions and the major sugarcane world producer, and its density of ground weather stations suitable for an efficient agricultural planning is sparse, the objectives of this study were to test how robust is the NASA/POWER database through its comparison with the Brazilian ground weather stations network records (INMET) and to quantify the impacts on potential (Yp) and attainable (Yatt) sugarcane yield simulations when setting NASA/POWER as source of input weather data. The comparisons for weather data records and sugarcane yield simulations were carried out from 1997 to 2016. Statistical indices presented a satisfactory performance for average air temperature (R2 = 0.73; d = 0.91), minimum air temperature (R2 = 0.72; d = 0.91), maximum air temperature (R2 = 0.57; d = 0.84), solar radiation (SR) (R2 = 0.71; d = 0.92), sunshine hours (R2 = 0.68; d = 0.90) and reference evapotranspiration, when calculated through Priestley–Taylor (ETo-PT) method (R2 = 0.76; d = 0.93). When the weather variables were aggregated and compared with a 10-day time scale, a strong improvement of statistical indices was obtained. Yp presented root mean square error (RMSE) smaller than 10 t ha−1 while relative mean error (RME) ranged between ±10\\% for majority of grid cells, with exception for southern Brazil due to low and frost temperatures that satellite cannot capture accurately. Even NASA/POWER offering a relatively coarse grid size database and perhaps some regional data fitting would give better results at higher latitudes and elevation. The results found in this study proved that NASA/POWER products could be used as a source of climatic data for agricultural activities with a reasonable confidence for regional and national spatial scales.","author":[{"dropping-particle":"","family":"Monteiro","given":"Leonardo A","non-dropping-particle":"","parse-names":false,"suffix":""},{"dropping-particle":"","family":"Sentelhas","given":"Paulo C","non-dropping-particle":"","parse-names":false,"suffix":""},{"dropping-particle":"","family":"Pedra","given":"George U","non-dropping-particle":"","parse-names":false,"suffix":""}],"container-title":"International Journal of Climatology","id":"ITEM-3","issue":"3","issued":{"date-parts":[["2018"]]},"page":"1571-1581","title":"Assessment of NASA/POWER satellite-based weather system for Brazilian conditions and its impact on sugarcane yield simulation","type":"article-journal","volume":"38"},"uris":["http://www.mendeley.com/documents/?uuid=3788e55c-624a-40ce-858e-8c821f0ef3da"]},{"id":"ITEM-4","itemData":{"DOI":"https://doi.org/10.2134/agronj2011.0038","abstract":"Decision support tools for agriculture often require meteorological data as inputs, but data availability and quality are often problematic. Difficulties arise with daily solar radiation (SRAD) because the instruments require electronic integrators, accurate sensors are expensive, and calibration standards are seldom available. NASA's Prediction of Worldwide Energy Resources (NASA/POWER; power.larc.nasa.gov) project estimates SRAD based on satellite observations and atmospheric parameters obtained from satellite observations and assimilation models. These data are available for a global 1° × 1° coordinate grid. The SRAD can also be generated from atmospheric attenuation of extraterrestrial radiation (Q0). We compared daily solar radiation data from NASA/POWER (SRADNP) with instrument readings from 295 stations (observed values of daily solar radiation, SRADOB) and values estimated by Weather Generator for Solar Radiation (WGENR) generator. Two sources of air temperature and precipitation records provided inputs to WGENR: the stations reporting solar data and the NOAA Cooperative Observer Program (COOP) stations. The resulting data were identified as solar radiation valaues obtained using the Weather Generator for Solar Radiation software in conjunction with daily weather data from the stations providing values of observed values of daily solar radiation (SRADWG) and solar radiation values obtained using the Weather Generator for Solar Radiation software in conjunction with daily weather data from NOAA COOP stations (SRADCO), respectively. Values of SRADNP for individual grid cells consistently showed higher correlations (typically 0.85–0.95) with SRADOB than did SRADWG or SRADCO. Mean values of SRADOB, SRADWG, and SRADNP for a grid cell usually were within 1 MJ m−2 d−1 of each other, but NASA/POWER values averaged 1.1 MJ m−2 d−1 lower than SRADOB. This bias increased at lower latitudes and during summer months and is partially explained by assumptions about ambient aerosol properties. The NASA/POWER solar data are a promising resource for studies requiring realistic accounting of historic variation.","author":[{"dropping-particle":"","family":"White","given":"Jeffrey W","non-dropping-particle":"","parse-names":false,"suffix":""},{"dropping-particle":"","family":"Hoogenboom","given":"Gerrit","non-dropping-particle":"","parse-names":false,"suffix":""},{"dropping-particle":"","family":"Wilkens","given":"Paul W","non-dropping-particle":"","parse-names":false,"suffix":""},{"dropping-particle":"","family":"Stackhouse Jr","given":"Paul W","non-dropping-particle":"","parse-names":false,"suffix":""},{"dropping-particle":"","family":"Hoel","given":"James M","non-dropping-particle":"","parse-names":false,"suffix":""}],"container-title":"Agronomy Journal","id":"ITEM-4","issue":"4","issued":{"date-parts":[["2011"]]},"page":"1242-1251","title":"Evaluation of Satellite-Based, Modeled-Derived Daily Solar Radiation Data for the Continental United States","type":"article-journal","volume":"103"},"uris":["http://www.mendeley.com/documents/?uuid=44cc540b-684d-498c-ac5c-503d8cb555f9"]},{"id":"ITEM-5","itemData":{"DOI":"https://doi.org/10.2134/agronj2009.0085","abstract":"Use of crop models is frequently constrained by lack of the required weather data. This paper evaluates satellite-based solar radiation and model-derived air temperature (maximum temperature, Tmax; minimum temperature, Tmin) from NASA and their utility for simulating maize (Zea mays L.) yield potential at 39 locations in China's major maize-producing regions. The reference data in this evaluation were the corresponding ground-observed weather data and simulated yield using these data. NASA weather data were closely correlated with data from ground weather stations with an r2 &gt; 0.8, but a systematic underestimation of air temperature was found (Tmax of −2.8°C; Tmin of −1.4°C). As a result, use of NASA data alone for yield simulation gave poor agreement with simulated yields using ground weather data (r2 = 0.2). The simulations of yield potential using satellite-derived solar radiation, coupled with temperature data from ground stations, agreed well with simulated results using complete ground weather data in three of the five regions (r2 &gt; 0.9). The agreement in the other two regions was relatively poor (r2 = 0.62 and 0.64). Across all 710 site-years evaluated, the agreement was shown with a mean error (ME) = 0.2 t ha−1, a root mean square error (RMSE) = 0.6 t ha−1, and r2 = 0.9. Our results indicate that combining NASA solar radiation with ground-station temperature data provides an option for filling geospatial gaps in weather data for estimating maize yield potential in China.","author":[{"dropping-particle":"","family":"Bai","given":"Jinshun","non-dropping-particle":"","parse-names":false,"suffix":""},{"dropping-part</w:instrText>
      </w:r>
      <w:r w:rsidRPr="00253EA8">
        <w:rPr>
          <w:lang w:val="es-CO"/>
        </w:rPr>
        <w:instrText>icle":"","family":"Chen","given":"Xinping","non-dropping-particle":"","parse-names":false,"suffix":""},{"dropping-particle":"","family":"Dobermann","given":"Achim","non-dropping-particle":"","parse-names":false,"suffix":""},{"dropping-particle":"","family":"Yang","given":"Haishun","non-dropping-particle":"","parse-names":false,"suffix":""},{"dropping-particle":"","family":"Cassman","given":"Kenneth G","non-dropping-particle":"","parse-names":false,"suffix":""},{"dropping-particle":"","family":"Zhang","given":"Fusuo","non-dropping-particle":"","parse-names":false,"suffix":""}],"container-title":"Agronomy Journal","id":"ITEM-5","issue":"1","issued":{"date-parts":[["2010"]]},"page":"9-16","title":"Evaluation of NASA Satellite- and Model-Derived Weather Data for Simulation of Maize Yield Potential in China","type":"article-journal","volume":"102"},"uris":["http://www.mendeley.com/documents/?uuid=4178bba1-b3c4-4fd2-b416-3a5d6a334806"]}],"mendeley":{"formattedCitation":"(Bai et al., 2010; Monteiro et al., 2018; Rodrigues &amp; Braga, 2021; Srivastava et al., 2020; White et al., 2011)","plainTextFormattedCitation":"(Bai et al., 2010; Monteiro et al., 2018; Rodrigues &amp; Braga, 2021; Srivastava et al., 2020; White et al., 2011)","previouslyFormattedCitation":"(Bai et al., 2010; Monteiro et al., 2018; Rodrigues &amp; Braga, 2021; Srivastava et al., 2020; White et al., 2011)"},"properties":{"noteIndex":0},"schema":"https://github.com/citation-style-language/schema/raw/master/csl-citation.json"}</w:instrText>
      </w:r>
      <w:r>
        <w:fldChar w:fldCharType="separate"/>
      </w:r>
      <w:r w:rsidRPr="00253EA8">
        <w:rPr>
          <w:noProof/>
          <w:lang w:val="es-CO"/>
        </w:rPr>
        <w:t>(Bai et al., 2010; Monteiro et al., 2018; Rodrigues &amp; Braga, 2021; Srivastava et al., 2020; White et al., 2011)</w:t>
      </w:r>
      <w:r>
        <w:fldChar w:fldCharType="end"/>
      </w:r>
      <w:r w:rsidRPr="00253EA8">
        <w:rPr>
          <w:lang w:val="es-CO"/>
        </w:rPr>
        <w:t>.</w:t>
      </w:r>
    </w:p>
    <w:p w14:paraId="1CE2B78E" w14:textId="4D14FFA1" w:rsidR="006111E7" w:rsidRPr="00281203" w:rsidRDefault="006111E7" w:rsidP="00281203">
      <w:pPr>
        <w:pStyle w:val="Caption"/>
        <w:spacing w:after="0"/>
        <w:rPr>
          <w:i w:val="0"/>
          <w:iCs w:val="0"/>
          <w:color w:val="auto"/>
          <w:sz w:val="20"/>
          <w:szCs w:val="20"/>
        </w:rPr>
      </w:pPr>
      <w:r w:rsidRPr="00281203">
        <w:rPr>
          <w:i w:val="0"/>
          <w:iCs w:val="0"/>
          <w:color w:val="auto"/>
          <w:sz w:val="20"/>
          <w:szCs w:val="20"/>
        </w:rPr>
        <w:t xml:space="preserve">Table </w:t>
      </w:r>
      <w:r w:rsidR="004103F5">
        <w:rPr>
          <w:i w:val="0"/>
          <w:iCs w:val="0"/>
          <w:color w:val="auto"/>
          <w:sz w:val="20"/>
          <w:szCs w:val="20"/>
        </w:rPr>
        <w:t>Q</w:t>
      </w:r>
      <w:r w:rsidRPr="00281203">
        <w:rPr>
          <w:i w:val="0"/>
          <w:iCs w:val="0"/>
          <w:color w:val="auto"/>
          <w:sz w:val="20"/>
          <w:szCs w:val="20"/>
        </w:rPr>
        <w:fldChar w:fldCharType="begin"/>
      </w:r>
      <w:r w:rsidRPr="00281203">
        <w:rPr>
          <w:i w:val="0"/>
          <w:iCs w:val="0"/>
          <w:color w:val="auto"/>
          <w:sz w:val="20"/>
          <w:szCs w:val="20"/>
        </w:rPr>
        <w:instrText xml:space="preserve"> SEQ Table \* ARABIC </w:instrText>
      </w:r>
      <w:r w:rsidRPr="00281203">
        <w:rPr>
          <w:i w:val="0"/>
          <w:iCs w:val="0"/>
          <w:color w:val="auto"/>
          <w:sz w:val="20"/>
          <w:szCs w:val="20"/>
        </w:rPr>
        <w:fldChar w:fldCharType="separate"/>
      </w:r>
      <w:r w:rsidR="00281203" w:rsidRPr="00281203">
        <w:rPr>
          <w:i w:val="0"/>
          <w:iCs w:val="0"/>
          <w:noProof/>
          <w:color w:val="auto"/>
          <w:sz w:val="20"/>
          <w:szCs w:val="20"/>
        </w:rPr>
        <w:t>1</w:t>
      </w:r>
      <w:r w:rsidRPr="00281203">
        <w:rPr>
          <w:i w:val="0"/>
          <w:iCs w:val="0"/>
          <w:color w:val="auto"/>
          <w:sz w:val="20"/>
          <w:szCs w:val="20"/>
        </w:rPr>
        <w:fldChar w:fldCharType="end"/>
      </w:r>
      <w:r w:rsidRPr="00281203">
        <w:rPr>
          <w:i w:val="0"/>
          <w:iCs w:val="0"/>
          <w:color w:val="FFFFFF" w:themeColor="background1"/>
          <w:sz w:val="20"/>
          <w:szCs w:val="20"/>
        </w:rPr>
        <w:t>: NASA - POWER database characteristics</w:t>
      </w:r>
    </w:p>
    <w:p w14:paraId="4B89CFD3" w14:textId="00F6A341" w:rsidR="00281203" w:rsidRPr="00281203" w:rsidRDefault="00281203" w:rsidP="00281203">
      <w:pPr>
        <w:spacing w:after="40"/>
      </w:pPr>
      <w:r w:rsidRPr="00281203">
        <w:rPr>
          <w:sz w:val="20"/>
          <w:szCs w:val="20"/>
        </w:rPr>
        <w:t>NASA - POWER database characteristics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647"/>
        <w:gridCol w:w="2852"/>
        <w:gridCol w:w="2513"/>
        <w:gridCol w:w="2338"/>
      </w:tblGrid>
      <w:tr w:rsidR="006111E7" w:rsidRPr="001C6883" w14:paraId="5FAB5719" w14:textId="77777777" w:rsidTr="00253EA8">
        <w:tc>
          <w:tcPr>
            <w:tcW w:w="881" w:type="pct"/>
            <w:tcBorders>
              <w:top w:val="single" w:sz="4" w:space="0" w:color="auto"/>
              <w:bottom w:val="single" w:sz="4" w:space="0" w:color="auto"/>
            </w:tcBorders>
          </w:tcPr>
          <w:p w14:paraId="40A87FE1" w14:textId="77777777" w:rsidR="006111E7" w:rsidRPr="00253EA8" w:rsidRDefault="006111E7" w:rsidP="007E709A">
            <w:pPr>
              <w:spacing w:line="240" w:lineRule="auto"/>
              <w:jc w:val="center"/>
              <w:rPr>
                <w:sz w:val="20"/>
                <w:szCs w:val="20"/>
              </w:rPr>
            </w:pPr>
            <w:r w:rsidRPr="00253EA8">
              <w:rPr>
                <w:sz w:val="20"/>
                <w:szCs w:val="20"/>
              </w:rPr>
              <w:t>Parameters</w:t>
            </w:r>
          </w:p>
        </w:tc>
        <w:tc>
          <w:tcPr>
            <w:tcW w:w="1525" w:type="pct"/>
            <w:tcBorders>
              <w:top w:val="single" w:sz="4" w:space="0" w:color="auto"/>
              <w:bottom w:val="single" w:sz="4" w:space="0" w:color="auto"/>
            </w:tcBorders>
          </w:tcPr>
          <w:p w14:paraId="1B3EA48C" w14:textId="77777777" w:rsidR="006111E7" w:rsidRPr="00253EA8" w:rsidRDefault="006111E7" w:rsidP="007E709A">
            <w:pPr>
              <w:spacing w:line="240" w:lineRule="auto"/>
              <w:jc w:val="center"/>
              <w:rPr>
                <w:sz w:val="20"/>
                <w:szCs w:val="20"/>
              </w:rPr>
            </w:pPr>
            <w:r w:rsidRPr="00253EA8">
              <w:rPr>
                <w:sz w:val="20"/>
                <w:szCs w:val="20"/>
              </w:rPr>
              <w:t>Factors</w:t>
            </w:r>
          </w:p>
        </w:tc>
        <w:tc>
          <w:tcPr>
            <w:tcW w:w="1344" w:type="pct"/>
            <w:tcBorders>
              <w:top w:val="single" w:sz="4" w:space="0" w:color="auto"/>
              <w:bottom w:val="single" w:sz="4" w:space="0" w:color="auto"/>
            </w:tcBorders>
          </w:tcPr>
          <w:p w14:paraId="4D3B3F1D" w14:textId="77777777" w:rsidR="006111E7" w:rsidRPr="00253EA8" w:rsidRDefault="006111E7" w:rsidP="007E709A">
            <w:pPr>
              <w:spacing w:line="240" w:lineRule="auto"/>
              <w:jc w:val="center"/>
              <w:rPr>
                <w:sz w:val="20"/>
                <w:szCs w:val="20"/>
              </w:rPr>
            </w:pPr>
            <w:r w:rsidRPr="00253EA8">
              <w:rPr>
                <w:sz w:val="20"/>
                <w:szCs w:val="20"/>
              </w:rPr>
              <w:t>Spatial Resolution</w:t>
            </w:r>
          </w:p>
        </w:tc>
        <w:tc>
          <w:tcPr>
            <w:tcW w:w="1250" w:type="pct"/>
            <w:tcBorders>
              <w:top w:val="single" w:sz="4" w:space="0" w:color="auto"/>
              <w:bottom w:val="single" w:sz="4" w:space="0" w:color="auto"/>
            </w:tcBorders>
          </w:tcPr>
          <w:p w14:paraId="74F11479" w14:textId="77777777" w:rsidR="006111E7" w:rsidRPr="00253EA8" w:rsidRDefault="006111E7" w:rsidP="007E709A">
            <w:pPr>
              <w:spacing w:line="240" w:lineRule="auto"/>
              <w:jc w:val="center"/>
              <w:rPr>
                <w:sz w:val="20"/>
                <w:szCs w:val="20"/>
              </w:rPr>
            </w:pPr>
            <w:r w:rsidRPr="00253EA8">
              <w:rPr>
                <w:sz w:val="20"/>
                <w:szCs w:val="20"/>
              </w:rPr>
              <w:t>Frequency-horizon</w:t>
            </w:r>
          </w:p>
        </w:tc>
      </w:tr>
      <w:tr w:rsidR="006111E7" w:rsidRPr="001C6883" w14:paraId="4A9FB909" w14:textId="77777777" w:rsidTr="00253EA8">
        <w:tc>
          <w:tcPr>
            <w:tcW w:w="881" w:type="pct"/>
            <w:tcBorders>
              <w:top w:val="single" w:sz="4" w:space="0" w:color="auto"/>
              <w:bottom w:val="single" w:sz="4" w:space="0" w:color="auto"/>
            </w:tcBorders>
            <w:vAlign w:val="center"/>
          </w:tcPr>
          <w:p w14:paraId="4B393EB6" w14:textId="77777777" w:rsidR="006111E7" w:rsidRPr="001C6883" w:rsidRDefault="006111E7" w:rsidP="007E709A">
            <w:pPr>
              <w:spacing w:line="240" w:lineRule="auto"/>
              <w:jc w:val="left"/>
              <w:rPr>
                <w:sz w:val="20"/>
                <w:szCs w:val="20"/>
              </w:rPr>
            </w:pPr>
            <w:r w:rsidRPr="001C6883">
              <w:rPr>
                <w:sz w:val="20"/>
                <w:szCs w:val="20"/>
              </w:rPr>
              <w:t>Climatic</w:t>
            </w:r>
          </w:p>
        </w:tc>
        <w:tc>
          <w:tcPr>
            <w:tcW w:w="1525" w:type="pct"/>
            <w:tcBorders>
              <w:top w:val="single" w:sz="4" w:space="0" w:color="auto"/>
              <w:bottom w:val="single" w:sz="4" w:space="0" w:color="auto"/>
            </w:tcBorders>
            <w:vAlign w:val="center"/>
          </w:tcPr>
          <w:p w14:paraId="6E27A3C8" w14:textId="77777777" w:rsidR="006111E7" w:rsidRPr="001C6883" w:rsidRDefault="006111E7" w:rsidP="007E709A">
            <w:pPr>
              <w:spacing w:line="240" w:lineRule="auto"/>
              <w:jc w:val="left"/>
              <w:rPr>
                <w:sz w:val="20"/>
                <w:szCs w:val="20"/>
              </w:rPr>
            </w:pPr>
            <w:r w:rsidRPr="001C6883">
              <w:rPr>
                <w:sz w:val="20"/>
                <w:szCs w:val="20"/>
              </w:rPr>
              <w:t>Temperature (</w:t>
            </w:r>
            <w:r>
              <w:rPr>
                <w:sz w:val="20"/>
                <w:szCs w:val="20"/>
              </w:rPr>
              <w:t xml:space="preserve">Mean, </w:t>
            </w:r>
            <w:r w:rsidRPr="001C6883">
              <w:rPr>
                <w:sz w:val="20"/>
                <w:szCs w:val="20"/>
              </w:rPr>
              <w:t>Max</w:t>
            </w:r>
            <w:r>
              <w:rPr>
                <w:sz w:val="20"/>
                <w:szCs w:val="20"/>
              </w:rPr>
              <w:t xml:space="preserve">, </w:t>
            </w:r>
            <w:r w:rsidRPr="001C6883">
              <w:rPr>
                <w:sz w:val="20"/>
                <w:szCs w:val="20"/>
              </w:rPr>
              <w:t>Min), Relative Humidity, Wind speed, Precipitation</w:t>
            </w:r>
            <w:r>
              <w:rPr>
                <w:sz w:val="20"/>
                <w:szCs w:val="20"/>
              </w:rPr>
              <w:t>, Radiation</w:t>
            </w:r>
          </w:p>
        </w:tc>
        <w:tc>
          <w:tcPr>
            <w:tcW w:w="1344" w:type="pct"/>
            <w:tcBorders>
              <w:top w:val="single" w:sz="4" w:space="0" w:color="auto"/>
              <w:bottom w:val="single" w:sz="4" w:space="0" w:color="auto"/>
            </w:tcBorders>
            <w:vAlign w:val="center"/>
          </w:tcPr>
          <w:p w14:paraId="01C31D6E" w14:textId="77777777" w:rsidR="006111E7" w:rsidRPr="00E139FD" w:rsidRDefault="006111E7" w:rsidP="007E709A">
            <w:pPr>
              <w:spacing w:line="240" w:lineRule="auto"/>
              <w:jc w:val="center"/>
              <w:rPr>
                <w:sz w:val="20"/>
                <w:szCs w:val="20"/>
              </w:rPr>
            </w:pPr>
            <w:r w:rsidRPr="00E139FD">
              <w:rPr>
                <w:sz w:val="20"/>
                <w:szCs w:val="20"/>
              </w:rPr>
              <w:t>0.5°x0.5°</w:t>
            </w:r>
          </w:p>
          <w:p w14:paraId="354CBC7C" w14:textId="77777777" w:rsidR="006111E7" w:rsidRPr="001C6883" w:rsidRDefault="006111E7" w:rsidP="007E709A">
            <w:pPr>
              <w:spacing w:line="240" w:lineRule="auto"/>
              <w:jc w:val="center"/>
              <w:rPr>
                <w:sz w:val="20"/>
                <w:szCs w:val="20"/>
              </w:rPr>
            </w:pPr>
            <w:r w:rsidRPr="00E139FD">
              <w:rPr>
                <w:sz w:val="20"/>
                <w:szCs w:val="20"/>
              </w:rPr>
              <w:t>55.66 km x 55.66 km</w:t>
            </w:r>
          </w:p>
        </w:tc>
        <w:tc>
          <w:tcPr>
            <w:tcW w:w="1250" w:type="pct"/>
            <w:tcBorders>
              <w:top w:val="single" w:sz="4" w:space="0" w:color="auto"/>
              <w:bottom w:val="single" w:sz="4" w:space="0" w:color="auto"/>
            </w:tcBorders>
            <w:vAlign w:val="center"/>
          </w:tcPr>
          <w:p w14:paraId="5BE7AB60" w14:textId="77777777" w:rsidR="006111E7" w:rsidRPr="001C6883" w:rsidRDefault="006111E7" w:rsidP="007E709A">
            <w:pPr>
              <w:spacing w:line="240" w:lineRule="auto"/>
              <w:jc w:val="center"/>
              <w:rPr>
                <w:sz w:val="20"/>
                <w:szCs w:val="20"/>
              </w:rPr>
            </w:pPr>
            <w:r w:rsidRPr="001C6883">
              <w:rPr>
                <w:sz w:val="20"/>
                <w:szCs w:val="20"/>
              </w:rPr>
              <w:t>Daily</w:t>
            </w:r>
          </w:p>
          <w:p w14:paraId="61A679E9" w14:textId="77777777" w:rsidR="006111E7" w:rsidRPr="001C6883" w:rsidRDefault="006111E7" w:rsidP="007E709A">
            <w:pPr>
              <w:spacing w:line="240" w:lineRule="auto"/>
              <w:jc w:val="center"/>
              <w:rPr>
                <w:sz w:val="20"/>
                <w:szCs w:val="20"/>
              </w:rPr>
            </w:pPr>
            <w:r w:rsidRPr="001C6883">
              <w:rPr>
                <w:sz w:val="20"/>
                <w:szCs w:val="20"/>
              </w:rPr>
              <w:t>1981- nowadays</w:t>
            </w:r>
          </w:p>
        </w:tc>
      </w:tr>
    </w:tbl>
    <w:p w14:paraId="66E5A762" w14:textId="606E66EA" w:rsidR="00281203" w:rsidRDefault="00281203">
      <w:pPr>
        <w:spacing w:line="259" w:lineRule="auto"/>
        <w:jc w:val="left"/>
        <w:rPr>
          <w:sz w:val="20"/>
          <w:szCs w:val="20"/>
        </w:rPr>
      </w:pPr>
    </w:p>
    <w:p w14:paraId="2B58DAEA" w14:textId="0B12034B" w:rsidR="0002549F" w:rsidRDefault="0002549F" w:rsidP="00281203">
      <w:pPr>
        <w:pStyle w:val="Caption"/>
        <w:spacing w:after="0"/>
        <w:rPr>
          <w:i w:val="0"/>
          <w:iCs w:val="0"/>
          <w:color w:val="FFFFFF" w:themeColor="background1"/>
          <w:sz w:val="20"/>
          <w:szCs w:val="20"/>
        </w:rPr>
      </w:pPr>
      <w:r w:rsidRPr="00854201">
        <w:rPr>
          <w:i w:val="0"/>
          <w:iCs w:val="0"/>
          <w:color w:val="auto"/>
          <w:sz w:val="20"/>
          <w:szCs w:val="20"/>
        </w:rPr>
        <w:lastRenderedPageBreak/>
        <w:t xml:space="preserve">Table </w:t>
      </w:r>
      <w:r w:rsidR="004103F5">
        <w:rPr>
          <w:i w:val="0"/>
          <w:iCs w:val="0"/>
          <w:color w:val="auto"/>
          <w:sz w:val="20"/>
          <w:szCs w:val="20"/>
        </w:rPr>
        <w:t>Q</w:t>
      </w:r>
      <w:r w:rsidRPr="00854201">
        <w:rPr>
          <w:i w:val="0"/>
          <w:iCs w:val="0"/>
          <w:color w:val="auto"/>
          <w:sz w:val="20"/>
          <w:szCs w:val="20"/>
        </w:rPr>
        <w:fldChar w:fldCharType="begin"/>
      </w:r>
      <w:r w:rsidRPr="00854201">
        <w:rPr>
          <w:i w:val="0"/>
          <w:iCs w:val="0"/>
          <w:color w:val="auto"/>
          <w:sz w:val="20"/>
          <w:szCs w:val="20"/>
        </w:rPr>
        <w:instrText xml:space="preserve"> SEQ Table \* ARABIC </w:instrText>
      </w:r>
      <w:r w:rsidRPr="00854201">
        <w:rPr>
          <w:i w:val="0"/>
          <w:iCs w:val="0"/>
          <w:color w:val="auto"/>
          <w:sz w:val="20"/>
          <w:szCs w:val="20"/>
        </w:rPr>
        <w:fldChar w:fldCharType="separate"/>
      </w:r>
      <w:r w:rsidR="00281203">
        <w:rPr>
          <w:i w:val="0"/>
          <w:iCs w:val="0"/>
          <w:noProof/>
          <w:color w:val="auto"/>
          <w:sz w:val="20"/>
          <w:szCs w:val="20"/>
        </w:rPr>
        <w:t>2</w:t>
      </w:r>
      <w:r w:rsidRPr="00854201">
        <w:rPr>
          <w:i w:val="0"/>
          <w:iCs w:val="0"/>
          <w:color w:val="auto"/>
          <w:sz w:val="20"/>
          <w:szCs w:val="20"/>
        </w:rPr>
        <w:fldChar w:fldCharType="end"/>
      </w:r>
      <w:r w:rsidRPr="00281203">
        <w:rPr>
          <w:i w:val="0"/>
          <w:iCs w:val="0"/>
          <w:color w:val="FFFFFF" w:themeColor="background1"/>
          <w:sz w:val="20"/>
          <w:szCs w:val="20"/>
        </w:rPr>
        <w:t>: Parameters name</w:t>
      </w:r>
    </w:p>
    <w:p w14:paraId="2DFB6BB4" w14:textId="77777777" w:rsidR="00281203" w:rsidRPr="00281203" w:rsidRDefault="00281203" w:rsidP="00281203">
      <w:pPr>
        <w:pStyle w:val="Caption"/>
        <w:spacing w:after="40"/>
        <w:rPr>
          <w:i w:val="0"/>
          <w:iCs w:val="0"/>
          <w:color w:val="auto"/>
          <w:sz w:val="20"/>
          <w:szCs w:val="20"/>
        </w:rPr>
      </w:pPr>
      <w:r w:rsidRPr="00281203">
        <w:rPr>
          <w:i w:val="0"/>
          <w:iCs w:val="0"/>
          <w:color w:val="auto"/>
          <w:sz w:val="20"/>
          <w:szCs w:val="20"/>
        </w:rPr>
        <w:t>Parameters name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23"/>
        <w:gridCol w:w="4112"/>
        <w:gridCol w:w="3115"/>
      </w:tblGrid>
      <w:tr w:rsidR="004A77BB" w:rsidRPr="00253EA8" w14:paraId="3B9816EA" w14:textId="3B88617B" w:rsidTr="0002153F">
        <w:tc>
          <w:tcPr>
            <w:tcW w:w="1135" w:type="pct"/>
            <w:tcBorders>
              <w:top w:val="single" w:sz="4" w:space="0" w:color="000000"/>
              <w:bottom w:val="single" w:sz="4" w:space="0" w:color="000000"/>
            </w:tcBorders>
          </w:tcPr>
          <w:p w14:paraId="7C5A659B" w14:textId="10552306" w:rsidR="004A77BB" w:rsidRPr="00253EA8" w:rsidRDefault="004A77BB" w:rsidP="004A77BB">
            <w:pPr>
              <w:spacing w:line="240" w:lineRule="auto"/>
              <w:jc w:val="center"/>
              <w:rPr>
                <w:sz w:val="20"/>
                <w:szCs w:val="20"/>
              </w:rPr>
            </w:pPr>
            <w:r w:rsidRPr="00253EA8">
              <w:rPr>
                <w:sz w:val="20"/>
                <w:szCs w:val="20"/>
              </w:rPr>
              <w:t>Parameter name</w:t>
            </w:r>
          </w:p>
        </w:tc>
        <w:tc>
          <w:tcPr>
            <w:tcW w:w="2199" w:type="pct"/>
            <w:tcBorders>
              <w:top w:val="single" w:sz="4" w:space="0" w:color="000000"/>
              <w:bottom w:val="single" w:sz="4" w:space="0" w:color="000000"/>
            </w:tcBorders>
          </w:tcPr>
          <w:p w14:paraId="6E44EB79" w14:textId="72A32093" w:rsidR="004A77BB" w:rsidRPr="00253EA8" w:rsidRDefault="000E1753" w:rsidP="004A77BB">
            <w:pPr>
              <w:spacing w:line="240" w:lineRule="auto"/>
              <w:jc w:val="center"/>
              <w:rPr>
                <w:sz w:val="20"/>
                <w:szCs w:val="20"/>
              </w:rPr>
            </w:pPr>
            <w:r w:rsidRPr="00253EA8">
              <w:rPr>
                <w:sz w:val="20"/>
                <w:szCs w:val="20"/>
              </w:rPr>
              <w:t>Parameter n</w:t>
            </w:r>
            <w:r w:rsidR="004A77BB" w:rsidRPr="00253EA8">
              <w:rPr>
                <w:sz w:val="20"/>
                <w:szCs w:val="20"/>
              </w:rPr>
              <w:t>ame</w:t>
            </w:r>
            <w:r w:rsidRPr="00253EA8">
              <w:rPr>
                <w:sz w:val="20"/>
                <w:szCs w:val="20"/>
              </w:rPr>
              <w:t xml:space="preserve"> in POWER</w:t>
            </w:r>
          </w:p>
        </w:tc>
        <w:tc>
          <w:tcPr>
            <w:tcW w:w="1666" w:type="pct"/>
            <w:tcBorders>
              <w:top w:val="single" w:sz="4" w:space="0" w:color="000000"/>
              <w:bottom w:val="single" w:sz="4" w:space="0" w:color="000000"/>
            </w:tcBorders>
          </w:tcPr>
          <w:p w14:paraId="7A10703D" w14:textId="281B0EB9" w:rsidR="004A77BB" w:rsidRPr="00253EA8" w:rsidRDefault="00DD1F87" w:rsidP="004A77BB">
            <w:pPr>
              <w:spacing w:line="240" w:lineRule="auto"/>
              <w:jc w:val="center"/>
              <w:rPr>
                <w:sz w:val="20"/>
                <w:szCs w:val="20"/>
              </w:rPr>
            </w:pPr>
            <w:r w:rsidRPr="00253EA8">
              <w:rPr>
                <w:sz w:val="20"/>
                <w:szCs w:val="20"/>
              </w:rPr>
              <w:t>Acronym</w:t>
            </w:r>
          </w:p>
        </w:tc>
      </w:tr>
      <w:tr w:rsidR="004A77BB" w:rsidRPr="00253EA8" w14:paraId="336F6BBC" w14:textId="63AEDC14" w:rsidTr="0002153F">
        <w:tc>
          <w:tcPr>
            <w:tcW w:w="1135" w:type="pct"/>
            <w:tcBorders>
              <w:top w:val="single" w:sz="4" w:space="0" w:color="000000"/>
            </w:tcBorders>
            <w:vAlign w:val="center"/>
          </w:tcPr>
          <w:p w14:paraId="11F0816D" w14:textId="46AC0F8D" w:rsidR="004A77BB" w:rsidRPr="00253EA8" w:rsidRDefault="00514B3F" w:rsidP="004A77BB">
            <w:pPr>
              <w:spacing w:line="240" w:lineRule="auto"/>
              <w:jc w:val="left"/>
              <w:rPr>
                <w:sz w:val="20"/>
                <w:szCs w:val="20"/>
              </w:rPr>
            </w:pPr>
            <w:r w:rsidRPr="00253EA8">
              <w:rPr>
                <w:sz w:val="20"/>
                <w:szCs w:val="20"/>
              </w:rPr>
              <w:t>Minimum temperature</w:t>
            </w:r>
          </w:p>
        </w:tc>
        <w:tc>
          <w:tcPr>
            <w:tcW w:w="2199" w:type="pct"/>
            <w:tcBorders>
              <w:top w:val="single" w:sz="4" w:space="0" w:color="000000"/>
            </w:tcBorders>
            <w:vAlign w:val="center"/>
          </w:tcPr>
          <w:p w14:paraId="5CBC8E3A" w14:textId="168CCD56" w:rsidR="004A77BB" w:rsidRPr="00253EA8" w:rsidRDefault="00AA7965" w:rsidP="004A77BB">
            <w:pPr>
              <w:spacing w:line="240" w:lineRule="auto"/>
              <w:jc w:val="left"/>
              <w:rPr>
                <w:sz w:val="20"/>
                <w:szCs w:val="20"/>
              </w:rPr>
            </w:pPr>
            <w:r w:rsidRPr="00253EA8">
              <w:rPr>
                <w:sz w:val="20"/>
                <w:szCs w:val="20"/>
              </w:rPr>
              <w:t>MERRA-2. Temperature at 2 Meters Minimum</w:t>
            </w:r>
          </w:p>
        </w:tc>
        <w:tc>
          <w:tcPr>
            <w:tcW w:w="1666" w:type="pct"/>
            <w:tcBorders>
              <w:top w:val="single" w:sz="4" w:space="0" w:color="000000"/>
            </w:tcBorders>
            <w:vAlign w:val="center"/>
          </w:tcPr>
          <w:p w14:paraId="463DD849" w14:textId="6FC082D5" w:rsidR="004A77BB" w:rsidRPr="00253EA8" w:rsidRDefault="00000000" w:rsidP="0002153F">
            <w:pPr>
              <w:spacing w:line="240" w:lineRule="auto"/>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min</m:t>
                    </m:r>
                  </m:sub>
                </m:sSub>
              </m:oMath>
            </m:oMathPara>
          </w:p>
        </w:tc>
      </w:tr>
      <w:tr w:rsidR="004A77BB" w:rsidRPr="00253EA8" w14:paraId="4716561C" w14:textId="4D9F4D5F" w:rsidTr="0002153F">
        <w:tc>
          <w:tcPr>
            <w:tcW w:w="1135" w:type="pct"/>
            <w:vAlign w:val="center"/>
          </w:tcPr>
          <w:p w14:paraId="05AC75DE" w14:textId="751E1F88" w:rsidR="004A77BB" w:rsidRPr="00253EA8" w:rsidRDefault="00514B3F" w:rsidP="004A77BB">
            <w:pPr>
              <w:spacing w:line="240" w:lineRule="auto"/>
              <w:jc w:val="left"/>
              <w:rPr>
                <w:sz w:val="20"/>
                <w:szCs w:val="20"/>
              </w:rPr>
            </w:pPr>
            <w:r w:rsidRPr="00253EA8">
              <w:rPr>
                <w:sz w:val="20"/>
                <w:szCs w:val="20"/>
              </w:rPr>
              <w:t>Maximum temperature</w:t>
            </w:r>
          </w:p>
        </w:tc>
        <w:tc>
          <w:tcPr>
            <w:tcW w:w="2199" w:type="pct"/>
            <w:vAlign w:val="center"/>
          </w:tcPr>
          <w:p w14:paraId="1D85639E" w14:textId="55EAF093" w:rsidR="004A77BB" w:rsidRPr="00253EA8" w:rsidRDefault="00AA7965" w:rsidP="004A77BB">
            <w:pPr>
              <w:spacing w:line="240" w:lineRule="auto"/>
              <w:jc w:val="left"/>
              <w:rPr>
                <w:sz w:val="20"/>
                <w:szCs w:val="20"/>
              </w:rPr>
            </w:pPr>
            <w:r w:rsidRPr="00253EA8">
              <w:rPr>
                <w:sz w:val="20"/>
                <w:szCs w:val="20"/>
              </w:rPr>
              <w:t>MERRA-2. Temperature at 2 Meters Maximum</w:t>
            </w:r>
          </w:p>
        </w:tc>
        <w:tc>
          <w:tcPr>
            <w:tcW w:w="1666" w:type="pct"/>
            <w:vAlign w:val="center"/>
          </w:tcPr>
          <w:p w14:paraId="73682214" w14:textId="173583B0" w:rsidR="004A77BB" w:rsidRPr="00253EA8" w:rsidRDefault="00000000" w:rsidP="0002153F">
            <w:pPr>
              <w:spacing w:line="240" w:lineRule="auto"/>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max</m:t>
                    </m:r>
                  </m:sub>
                </m:sSub>
              </m:oMath>
            </m:oMathPara>
          </w:p>
        </w:tc>
      </w:tr>
      <w:tr w:rsidR="00514B3F" w:rsidRPr="00253EA8" w14:paraId="5B71443C" w14:textId="77777777" w:rsidTr="0002153F">
        <w:tc>
          <w:tcPr>
            <w:tcW w:w="1135" w:type="pct"/>
            <w:vAlign w:val="center"/>
          </w:tcPr>
          <w:p w14:paraId="01A99E94" w14:textId="2AE66AA2" w:rsidR="00514B3F" w:rsidRPr="00253EA8" w:rsidRDefault="00514B3F" w:rsidP="004A77BB">
            <w:pPr>
              <w:spacing w:line="240" w:lineRule="auto"/>
              <w:jc w:val="left"/>
              <w:rPr>
                <w:sz w:val="20"/>
                <w:szCs w:val="20"/>
              </w:rPr>
            </w:pPr>
            <w:r w:rsidRPr="00253EA8">
              <w:rPr>
                <w:sz w:val="20"/>
                <w:szCs w:val="20"/>
              </w:rPr>
              <w:t>Relative humidity</w:t>
            </w:r>
          </w:p>
        </w:tc>
        <w:tc>
          <w:tcPr>
            <w:tcW w:w="2199" w:type="pct"/>
            <w:vAlign w:val="center"/>
          </w:tcPr>
          <w:p w14:paraId="63355551" w14:textId="4EDC959B" w:rsidR="00514B3F" w:rsidRPr="00253EA8" w:rsidRDefault="00AA7965" w:rsidP="004A77BB">
            <w:pPr>
              <w:spacing w:line="240" w:lineRule="auto"/>
              <w:jc w:val="left"/>
              <w:rPr>
                <w:sz w:val="20"/>
                <w:szCs w:val="20"/>
              </w:rPr>
            </w:pPr>
            <w:r w:rsidRPr="00253EA8">
              <w:rPr>
                <w:sz w:val="20"/>
                <w:szCs w:val="20"/>
              </w:rPr>
              <w:t>MERRA-2. Relative Humidity at 2 Meters</w:t>
            </w:r>
          </w:p>
        </w:tc>
        <w:tc>
          <w:tcPr>
            <w:tcW w:w="1666" w:type="pct"/>
            <w:vAlign w:val="center"/>
          </w:tcPr>
          <w:p w14:paraId="1016F2E7" w14:textId="40FA66B8" w:rsidR="00514B3F" w:rsidRPr="00253EA8" w:rsidRDefault="00253EA8" w:rsidP="0002153F">
            <w:pPr>
              <w:spacing w:line="240" w:lineRule="auto"/>
              <w:jc w:val="center"/>
              <w:rPr>
                <w:sz w:val="20"/>
                <w:szCs w:val="20"/>
              </w:rPr>
            </w:pPr>
            <m:oMathPara>
              <m:oMath>
                <m:r>
                  <w:rPr>
                    <w:rFonts w:ascii="Cambria Math" w:hAnsi="Cambria Math"/>
                    <w:sz w:val="20"/>
                    <w:szCs w:val="20"/>
                  </w:rPr>
                  <m:t>RH</m:t>
                </m:r>
              </m:oMath>
            </m:oMathPara>
          </w:p>
        </w:tc>
      </w:tr>
      <w:tr w:rsidR="00514B3F" w:rsidRPr="00253EA8" w14:paraId="685B9757" w14:textId="77777777" w:rsidTr="0002153F">
        <w:tc>
          <w:tcPr>
            <w:tcW w:w="1135" w:type="pct"/>
            <w:vAlign w:val="center"/>
          </w:tcPr>
          <w:p w14:paraId="51861F7B" w14:textId="0B4FF642" w:rsidR="00514B3F" w:rsidRPr="00253EA8" w:rsidRDefault="00514B3F" w:rsidP="004A77BB">
            <w:pPr>
              <w:spacing w:line="240" w:lineRule="auto"/>
              <w:jc w:val="left"/>
              <w:rPr>
                <w:sz w:val="20"/>
                <w:szCs w:val="20"/>
              </w:rPr>
            </w:pPr>
            <w:r w:rsidRPr="00253EA8">
              <w:rPr>
                <w:sz w:val="20"/>
                <w:szCs w:val="20"/>
              </w:rPr>
              <w:t>Precipitation</w:t>
            </w:r>
          </w:p>
        </w:tc>
        <w:tc>
          <w:tcPr>
            <w:tcW w:w="2199" w:type="pct"/>
            <w:vAlign w:val="center"/>
          </w:tcPr>
          <w:p w14:paraId="21729651" w14:textId="089FF598" w:rsidR="00514B3F" w:rsidRPr="00253EA8" w:rsidRDefault="00AA7965" w:rsidP="004A77BB">
            <w:pPr>
              <w:spacing w:line="240" w:lineRule="auto"/>
              <w:jc w:val="left"/>
              <w:rPr>
                <w:sz w:val="20"/>
                <w:szCs w:val="20"/>
              </w:rPr>
            </w:pPr>
            <w:r w:rsidRPr="00253EA8">
              <w:rPr>
                <w:sz w:val="20"/>
                <w:szCs w:val="20"/>
              </w:rPr>
              <w:t>MERRA-2. Precipitation Corrected</w:t>
            </w:r>
          </w:p>
        </w:tc>
        <w:tc>
          <w:tcPr>
            <w:tcW w:w="1666" w:type="pct"/>
            <w:vAlign w:val="center"/>
          </w:tcPr>
          <w:p w14:paraId="43FD52BB" w14:textId="724839F4" w:rsidR="00514B3F" w:rsidRPr="00253EA8" w:rsidRDefault="00253EA8" w:rsidP="0002153F">
            <w:pPr>
              <w:spacing w:line="240" w:lineRule="auto"/>
              <w:jc w:val="center"/>
              <w:rPr>
                <w:sz w:val="20"/>
                <w:szCs w:val="20"/>
              </w:rPr>
            </w:pPr>
            <m:oMathPara>
              <m:oMath>
                <m:r>
                  <w:rPr>
                    <w:rFonts w:ascii="Cambria Math" w:hAnsi="Cambria Math"/>
                    <w:sz w:val="20"/>
                    <w:szCs w:val="20"/>
                  </w:rPr>
                  <m:t>P</m:t>
                </m:r>
              </m:oMath>
            </m:oMathPara>
          </w:p>
        </w:tc>
      </w:tr>
      <w:tr w:rsidR="00514B3F" w:rsidRPr="00253EA8" w14:paraId="323DA071" w14:textId="77777777" w:rsidTr="0002153F">
        <w:tc>
          <w:tcPr>
            <w:tcW w:w="1135" w:type="pct"/>
            <w:vAlign w:val="center"/>
          </w:tcPr>
          <w:p w14:paraId="53374327" w14:textId="1E6A1606" w:rsidR="00514B3F" w:rsidRPr="00253EA8" w:rsidRDefault="00514B3F" w:rsidP="004A77BB">
            <w:pPr>
              <w:spacing w:line="240" w:lineRule="auto"/>
              <w:jc w:val="left"/>
              <w:rPr>
                <w:sz w:val="20"/>
                <w:szCs w:val="20"/>
              </w:rPr>
            </w:pPr>
            <w:r w:rsidRPr="00253EA8">
              <w:rPr>
                <w:sz w:val="20"/>
                <w:szCs w:val="20"/>
              </w:rPr>
              <w:t>Wind speed</w:t>
            </w:r>
          </w:p>
        </w:tc>
        <w:tc>
          <w:tcPr>
            <w:tcW w:w="2199" w:type="pct"/>
            <w:vAlign w:val="center"/>
          </w:tcPr>
          <w:p w14:paraId="0A180437" w14:textId="62623CCB" w:rsidR="00514B3F" w:rsidRPr="00253EA8" w:rsidRDefault="00AA7965" w:rsidP="004A77BB">
            <w:pPr>
              <w:spacing w:line="240" w:lineRule="auto"/>
              <w:jc w:val="left"/>
              <w:rPr>
                <w:sz w:val="20"/>
                <w:szCs w:val="20"/>
              </w:rPr>
            </w:pPr>
            <w:r w:rsidRPr="00253EA8">
              <w:rPr>
                <w:sz w:val="20"/>
                <w:szCs w:val="20"/>
              </w:rPr>
              <w:t>MERRA-2. Wind Speed at 2 Meters</w:t>
            </w:r>
          </w:p>
        </w:tc>
        <w:tc>
          <w:tcPr>
            <w:tcW w:w="1666" w:type="pct"/>
            <w:vAlign w:val="center"/>
          </w:tcPr>
          <w:p w14:paraId="56666BAD" w14:textId="6E7771AD" w:rsidR="00514B3F" w:rsidRPr="00253EA8" w:rsidRDefault="00000000" w:rsidP="0002153F">
            <w:pPr>
              <w:spacing w:line="240" w:lineRule="auto"/>
              <w:jc w:val="center"/>
              <w:rPr>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oMath>
            </m:oMathPara>
          </w:p>
        </w:tc>
      </w:tr>
      <w:tr w:rsidR="00514B3F" w:rsidRPr="00253EA8" w14:paraId="26E2C6E4" w14:textId="77777777" w:rsidTr="0002153F">
        <w:tc>
          <w:tcPr>
            <w:tcW w:w="1135" w:type="pct"/>
            <w:vAlign w:val="center"/>
          </w:tcPr>
          <w:p w14:paraId="7A576ADA" w14:textId="47B0E823" w:rsidR="00514B3F" w:rsidRPr="00253EA8" w:rsidRDefault="00475CA7" w:rsidP="004A77BB">
            <w:pPr>
              <w:spacing w:line="240" w:lineRule="auto"/>
              <w:jc w:val="left"/>
              <w:rPr>
                <w:sz w:val="20"/>
                <w:szCs w:val="20"/>
              </w:rPr>
            </w:pPr>
            <w:r w:rsidRPr="00253EA8">
              <w:rPr>
                <w:sz w:val="20"/>
                <w:szCs w:val="20"/>
              </w:rPr>
              <w:t>All-sky</w:t>
            </w:r>
            <w:r w:rsidR="00A31F35" w:rsidRPr="00253EA8">
              <w:rPr>
                <w:sz w:val="20"/>
                <w:szCs w:val="20"/>
              </w:rPr>
              <w:t xml:space="preserve"> solar radiation</w:t>
            </w:r>
          </w:p>
        </w:tc>
        <w:tc>
          <w:tcPr>
            <w:tcW w:w="2199" w:type="pct"/>
            <w:vAlign w:val="center"/>
          </w:tcPr>
          <w:p w14:paraId="06AB1427" w14:textId="0C87EDC0" w:rsidR="00514B3F" w:rsidRPr="00253EA8" w:rsidRDefault="00C107AB" w:rsidP="004A77BB">
            <w:pPr>
              <w:spacing w:line="240" w:lineRule="auto"/>
              <w:jc w:val="left"/>
              <w:rPr>
                <w:sz w:val="20"/>
                <w:szCs w:val="20"/>
                <w:highlight w:val="yellow"/>
              </w:rPr>
            </w:pPr>
            <w:r w:rsidRPr="00253EA8">
              <w:rPr>
                <w:sz w:val="20"/>
                <w:szCs w:val="20"/>
              </w:rPr>
              <w:t>CERES SYN1deg All Sky Surface Shortwave Downward Irradiance</w:t>
            </w:r>
          </w:p>
        </w:tc>
        <w:tc>
          <w:tcPr>
            <w:tcW w:w="1666" w:type="pct"/>
            <w:vAlign w:val="center"/>
          </w:tcPr>
          <w:p w14:paraId="6C30CAD9" w14:textId="5F2A72AF" w:rsidR="00514B3F" w:rsidRPr="00253EA8" w:rsidRDefault="00000000" w:rsidP="0002153F">
            <w:pPr>
              <w:spacing w:line="240" w:lineRule="auto"/>
              <w:jc w:val="center"/>
              <w:rPr>
                <w:sz w:val="20"/>
                <w:szCs w:val="20"/>
                <w:highlight w:val="yellow"/>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m:oMathPara>
          </w:p>
        </w:tc>
      </w:tr>
      <w:tr w:rsidR="00514B3F" w:rsidRPr="00253EA8" w14:paraId="08E25DD5" w14:textId="77777777" w:rsidTr="0002153F">
        <w:tc>
          <w:tcPr>
            <w:tcW w:w="1135" w:type="pct"/>
            <w:tcBorders>
              <w:bottom w:val="single" w:sz="4" w:space="0" w:color="000000"/>
            </w:tcBorders>
            <w:vAlign w:val="center"/>
          </w:tcPr>
          <w:p w14:paraId="7858242A" w14:textId="2C8EE860" w:rsidR="00514B3F" w:rsidRPr="00253EA8" w:rsidRDefault="00475CA7" w:rsidP="004A77BB">
            <w:pPr>
              <w:spacing w:line="240" w:lineRule="auto"/>
              <w:jc w:val="left"/>
              <w:rPr>
                <w:sz w:val="20"/>
                <w:szCs w:val="20"/>
              </w:rPr>
            </w:pPr>
            <w:r w:rsidRPr="00253EA8">
              <w:rPr>
                <w:sz w:val="20"/>
                <w:szCs w:val="20"/>
              </w:rPr>
              <w:t>Clear-sky Solar</w:t>
            </w:r>
            <w:r w:rsidR="00A31F35" w:rsidRPr="00253EA8">
              <w:rPr>
                <w:sz w:val="20"/>
                <w:szCs w:val="20"/>
              </w:rPr>
              <w:t xml:space="preserve"> radiation</w:t>
            </w:r>
          </w:p>
        </w:tc>
        <w:tc>
          <w:tcPr>
            <w:tcW w:w="2199" w:type="pct"/>
            <w:tcBorders>
              <w:bottom w:val="single" w:sz="4" w:space="0" w:color="000000"/>
            </w:tcBorders>
            <w:vAlign w:val="center"/>
          </w:tcPr>
          <w:p w14:paraId="68705A5D" w14:textId="6321464A" w:rsidR="00514B3F" w:rsidRPr="00253EA8" w:rsidRDefault="00C107AB" w:rsidP="004A77BB">
            <w:pPr>
              <w:spacing w:line="240" w:lineRule="auto"/>
              <w:jc w:val="left"/>
              <w:rPr>
                <w:sz w:val="20"/>
                <w:szCs w:val="20"/>
                <w:highlight w:val="yellow"/>
              </w:rPr>
            </w:pPr>
            <w:r w:rsidRPr="00253EA8">
              <w:rPr>
                <w:sz w:val="20"/>
                <w:szCs w:val="20"/>
              </w:rPr>
              <w:t>CERES SYN1deg Clear Sky Surface Shortwave Downward Irradiance</w:t>
            </w:r>
          </w:p>
        </w:tc>
        <w:tc>
          <w:tcPr>
            <w:tcW w:w="1666" w:type="pct"/>
            <w:tcBorders>
              <w:bottom w:val="single" w:sz="4" w:space="0" w:color="000000"/>
            </w:tcBorders>
            <w:vAlign w:val="center"/>
          </w:tcPr>
          <w:p w14:paraId="39478C69" w14:textId="7E041811" w:rsidR="00514B3F" w:rsidRPr="00253EA8" w:rsidRDefault="00000000" w:rsidP="0002153F">
            <w:pPr>
              <w:spacing w:line="240" w:lineRule="auto"/>
              <w:jc w:val="center"/>
              <w:rPr>
                <w:sz w:val="20"/>
                <w:szCs w:val="20"/>
                <w:highlight w:val="yellow"/>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so</m:t>
                    </m:r>
                  </m:sub>
                </m:sSub>
              </m:oMath>
            </m:oMathPara>
          </w:p>
        </w:tc>
      </w:tr>
    </w:tbl>
    <w:p w14:paraId="130B3FE4" w14:textId="5535BE0E" w:rsidR="006111E7" w:rsidRPr="00253EA8" w:rsidRDefault="006111E7" w:rsidP="00253EA8">
      <w:pPr>
        <w:pStyle w:val="ListParagraph"/>
        <w:numPr>
          <w:ilvl w:val="0"/>
          <w:numId w:val="1"/>
        </w:numPr>
        <w:spacing w:before="240" w:after="0" w:line="480" w:lineRule="auto"/>
        <w:ind w:left="284" w:hanging="284"/>
        <w:contextualSpacing w:val="0"/>
        <w:rPr>
          <w:b/>
          <w:bCs/>
        </w:rPr>
      </w:pPr>
      <w:r w:rsidRPr="00253EA8">
        <w:rPr>
          <w:b/>
          <w:bCs/>
        </w:rPr>
        <w:t>FAO</w:t>
      </w:r>
    </w:p>
    <w:p w14:paraId="624E2A74" w14:textId="148F9EB3" w:rsidR="008069CE" w:rsidRDefault="006111E7" w:rsidP="001A560E">
      <w:pPr>
        <w:spacing w:after="0" w:line="480" w:lineRule="auto"/>
      </w:pPr>
      <w:r w:rsidRPr="00717C29">
        <w:t>The FAO document Crop evapotranspiration - Guidelines for computing crop water requirements allow for various parameters associated with soil conditions and characteristics of multiple annual and perennial crops. The document a</w:t>
      </w:r>
      <w:r>
        <w:t xml:space="preserve">lso provides a detailed description for calculating different instances, such as evapotranspiration, yield response factor, and total water availability </w:t>
      </w:r>
      <w:r w:rsidRPr="00752B9B">
        <w:fldChar w:fldCharType="begin" w:fldLock="1"/>
      </w:r>
      <w:r w:rsidRPr="00752B9B">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752B9B">
        <w:fldChar w:fldCharType="separate"/>
      </w:r>
      <w:r w:rsidRPr="00752B9B">
        <w:rPr>
          <w:noProof/>
        </w:rPr>
        <w:t>(Allen et al., 2006)</w:t>
      </w:r>
      <w:r w:rsidRPr="00752B9B">
        <w:fldChar w:fldCharType="end"/>
      </w:r>
      <w:r w:rsidRPr="00717C29">
        <w:t>.</w:t>
      </w:r>
      <w:r w:rsidR="001A560E">
        <w:t xml:space="preserve"> </w:t>
      </w:r>
    </w:p>
    <w:sectPr w:rsidR="008069CE" w:rsidSect="00253E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374"/>
    <w:multiLevelType w:val="hybridMultilevel"/>
    <w:tmpl w:val="7502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16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1NjM1MbAwMbawNDJR0lEKTi0uzszPAykwNKoFABml9i0tAAAA"/>
  </w:docVars>
  <w:rsids>
    <w:rsidRoot w:val="00BE2D4A"/>
    <w:rsid w:val="0002153F"/>
    <w:rsid w:val="0002549F"/>
    <w:rsid w:val="00066F5C"/>
    <w:rsid w:val="000912E4"/>
    <w:rsid w:val="0009521B"/>
    <w:rsid w:val="000A2043"/>
    <w:rsid w:val="000E1753"/>
    <w:rsid w:val="00120CC9"/>
    <w:rsid w:val="001A06A7"/>
    <w:rsid w:val="001A560E"/>
    <w:rsid w:val="001C29F0"/>
    <w:rsid w:val="001D667D"/>
    <w:rsid w:val="0025185B"/>
    <w:rsid w:val="00253EA8"/>
    <w:rsid w:val="00254F38"/>
    <w:rsid w:val="00281203"/>
    <w:rsid w:val="002937CE"/>
    <w:rsid w:val="002B18D9"/>
    <w:rsid w:val="002E77DD"/>
    <w:rsid w:val="003419BE"/>
    <w:rsid w:val="004103F5"/>
    <w:rsid w:val="00475CA7"/>
    <w:rsid w:val="004A77BB"/>
    <w:rsid w:val="004F378E"/>
    <w:rsid w:val="00502D66"/>
    <w:rsid w:val="00514B3F"/>
    <w:rsid w:val="0056085D"/>
    <w:rsid w:val="00594C13"/>
    <w:rsid w:val="00600309"/>
    <w:rsid w:val="006111E7"/>
    <w:rsid w:val="00632A0E"/>
    <w:rsid w:val="0067607D"/>
    <w:rsid w:val="006B32B0"/>
    <w:rsid w:val="0074177C"/>
    <w:rsid w:val="007918F1"/>
    <w:rsid w:val="00801ECE"/>
    <w:rsid w:val="008247CB"/>
    <w:rsid w:val="008651D3"/>
    <w:rsid w:val="008D0CA2"/>
    <w:rsid w:val="008D6456"/>
    <w:rsid w:val="009B45FD"/>
    <w:rsid w:val="009B6724"/>
    <w:rsid w:val="009E0DA1"/>
    <w:rsid w:val="009E6489"/>
    <w:rsid w:val="009F402B"/>
    <w:rsid w:val="00A13AC6"/>
    <w:rsid w:val="00A31F35"/>
    <w:rsid w:val="00A8520C"/>
    <w:rsid w:val="00AA7965"/>
    <w:rsid w:val="00AC4B51"/>
    <w:rsid w:val="00B01B1E"/>
    <w:rsid w:val="00B35FD2"/>
    <w:rsid w:val="00BA34CA"/>
    <w:rsid w:val="00BD6457"/>
    <w:rsid w:val="00BE2D4A"/>
    <w:rsid w:val="00C107AB"/>
    <w:rsid w:val="00DD1F87"/>
    <w:rsid w:val="00EC7F9E"/>
    <w:rsid w:val="00F30EE6"/>
    <w:rsid w:val="00F45F2A"/>
    <w:rsid w:val="00F90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8931"/>
  <w15:chartTrackingRefBased/>
  <w15:docId w15:val="{653F268A-CE59-4838-8E2A-7033C61D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49F"/>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11E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2043"/>
    <w:rPr>
      <w:color w:val="808080"/>
    </w:rPr>
  </w:style>
  <w:style w:type="paragraph" w:styleId="ListParagraph">
    <w:name w:val="List Paragraph"/>
    <w:basedOn w:val="Normal"/>
    <w:uiPriority w:val="34"/>
    <w:qFormat/>
    <w:rsid w:val="00253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E745-1276-47B1-ACFB-24652CC0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4501</Words>
  <Characters>25661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39</cp:revision>
  <dcterms:created xsi:type="dcterms:W3CDTF">2022-09-01T20:08:00Z</dcterms:created>
  <dcterms:modified xsi:type="dcterms:W3CDTF">2023-06-21T05:42:00Z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http://www.zotero.org/styles/agricultural-water-management</vt:lpwstr>
  </property>
  <property fmtid="{D5CDD505-2E9C-101B-9397-08002B2CF9AE}" pid="3" name="Mendeley Recent Style Name 0_1">
    <vt:lpwstr>Agricultural Water Management</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http://www.zotero.org/styles/vancouver</vt:lpwstr>
  </property>
  <property fmtid="{D5CDD505-2E9C-101B-9397-08002B2CF9AE}" pid="11" name="Mendeley Recent Style Name 4_1">
    <vt:lpwstr>Vancouver</vt:lpwstr>
  </property>
  <property fmtid="{D5CDD505-2E9C-101B-9397-08002B2CF9AE}" pid="12" name="Mendeley Recent Style Id 5_1">
    <vt:lpwstr>http://csl.mendeley.com/styles/499198561/vancouver-4</vt:lpwstr>
  </property>
  <property fmtid="{D5CDD505-2E9C-101B-9397-08002B2CF9AE}" pid="13" name="Mendeley Recent Style Name 5_1">
    <vt:lpwstr>Vancouver - Final</vt:lpwstr>
  </property>
  <property fmtid="{D5CDD505-2E9C-101B-9397-08002B2CF9AE}" pid="14" name="Mendeley Recent Style Id 6_1">
    <vt:lpwstr>http://csl.mendeley.com/styles/499198561/vancouver-3</vt:lpwstr>
  </property>
  <property fmtid="{D5CDD505-2E9C-101B-9397-08002B2CF9AE}" pid="15" name="Mendeley Recent Style Name 6_1">
    <vt:lpwstr>Vancouver - Juan David Marquez</vt:lpwstr>
  </property>
  <property fmtid="{D5CDD505-2E9C-101B-9397-08002B2CF9AE}" pid="16" name="Mendeley Recent Style Id 7_1">
    <vt:lpwstr>http://csl.mendeley.com/styles/499198561/vancouver-5</vt:lpwstr>
  </property>
  <property fmtid="{D5CDD505-2E9C-101B-9397-08002B2CF9AE}" pid="17" name="Mendeley Recent Style Name 7_1">
    <vt:lpwstr>Vancouver - Juan David Marquez</vt:lpwstr>
  </property>
  <property fmtid="{D5CDD505-2E9C-101B-9397-08002B2CF9AE}" pid="18" name="Mendeley Recent Style Id 8_1">
    <vt:lpwstr>http://csl.mendeley.com/styles/499198561/vancouver-7</vt:lpwstr>
  </property>
  <property fmtid="{D5CDD505-2E9C-101B-9397-08002B2CF9AE}" pid="19" name="Mendeley Recent Style Name 8_1">
    <vt:lpwstr>Vancouver - Juan David Marquez</vt:lpwstr>
  </property>
  <property fmtid="{D5CDD505-2E9C-101B-9397-08002B2CF9AE}" pid="20" name="Mendeley Recent Style Id 9_1">
    <vt:lpwstr>http://csl.mendeley.com/styles/499198561/vancouver-6</vt:lpwstr>
  </property>
  <property fmtid="{D5CDD505-2E9C-101B-9397-08002B2CF9AE}" pid="21" name="Mendeley Recent Style Name 9_1">
    <vt:lpwstr>Vancouver - Juan David Marquez</vt:lpwstr>
  </property>
  <property fmtid="{D5CDD505-2E9C-101B-9397-08002B2CF9AE}" pid="22" name="Mendeley Document_1">
    <vt:lpwstr>True</vt:lpwstr>
  </property>
  <property fmtid="{D5CDD505-2E9C-101B-9397-08002B2CF9AE}" pid="23" name="Mendeley Unique User Id_1">
    <vt:lpwstr>71cad26b-7919-3dbe-b15f-07fa9228c7bf</vt:lpwstr>
  </property>
  <property fmtid="{D5CDD505-2E9C-101B-9397-08002B2CF9AE}" pid="24" name="Mendeley Citation Style_1">
    <vt:lpwstr>http://www.zotero.org/styles/apa</vt:lpwstr>
  </property>
</Properties>
</file>