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rFonts w:ascii="Inter" w:cs="Inter" w:eastAsia="Inter" w:hAnsi="Inter"/>
          <w:b/>
          <w:bCs/>
          <w:color w:val="6E6E7C"/>
          <w:sz w:val="15"/>
          <w:szCs w:val="15"/>
        </w:rPr>
        <w:t xml:space="preserve">LA NOSTRA PRODUCTION</w:t>
      </w:r>
    </w:p>
    <w:p>
      <w:pPr>
        <w:spacing w:after="60" w:before="40"/>
      </w:pPr>
      <w:r>
        <w:rPr>
          <w:rFonts w:ascii="Inter" w:cs="Inter" w:eastAsia="Inter" w:hAnsi="Inter"/>
          <w:b/>
          <w:bCs/>
          <w:color w:val="18181F"/>
          <w:sz w:val="52"/>
          <w:szCs w:val="52"/>
        </w:rPr>
        <w:t xml:space="preserve">ACUERDO MARCO DE</w:t>
      </w:r>
    </w:p>
    <w:p>
      <w:pPr>
        <w:pBdr>
          <w:bottom w:val="single" w:color="2A2AF0" w:sz="16"/>
        </w:pBdr>
        <w:spacing w:after="260" w:before="0"/>
      </w:pPr>
      <w:r>
        <w:rPr>
          <w:rFonts w:ascii="Inter" w:cs="Inter" w:eastAsia="Inter" w:hAnsi="Inter"/>
          <w:b/>
          <w:bCs/>
          <w:color w:val="2A2AF0"/>
          <w:sz w:val="52"/>
          <w:szCs w:val="52"/>
        </w:rPr>
        <w:t xml:space="preserve">COLABORACIÓN AUDIOVISUAL</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shd w:fill="F2F2F7" w:val="clear"/>
            <w:tcMar>
              <w:top w:type="dxa" w:w="220"/>
              <w:left w:type="dxa" w:w="300"/>
              <w:bottom w:type="dxa" w:w="220"/>
              <w:right w:type="dxa" w:w="300"/>
            </w:tcMar>
          </w:tcPr>
          <w:p>
            <w:pPr>
              <w:spacing w:after="60"/>
            </w:pPr>
            <w:r>
              <w:rPr>
                <w:rFonts w:ascii="Inter" w:cs="Inter" w:eastAsia="Inter" w:hAnsi="Inter"/>
                <w:b/>
                <w:bCs/>
                <w:color w:val="6E6E7C"/>
                <w:sz w:val="16"/>
                <w:szCs w:val="16"/>
              </w:rPr>
              <w:t xml:space="preserve">ENTRE:</w:t>
            </w:r>
          </w:p>
          <w:p>
            <w:pPr>
              <w:spacing w:after="40"/>
            </w:pPr>
            <w:r>
              <w:rPr>
                <w:rFonts w:ascii="Inter" w:cs="Inter" w:eastAsia="Inter" w:hAnsi="Inter"/>
                <w:b/>
                <w:bCs/>
                <w:color w:val="18181F"/>
                <w:sz w:val="22"/>
                <w:szCs w:val="22"/>
              </w:rPr>
              <w:t xml:space="preserve">LA NOSTRA PRODUCTION</w:t>
            </w:r>
            <w:r>
              <w:rPr>
                <w:rFonts w:ascii="Inter" w:cs="Inter" w:eastAsia="Inter" w:hAnsi="Inter"/>
                <w:color w:val="18181F"/>
                <w:sz w:val="22"/>
                <w:szCs w:val="22"/>
              </w:rPr>
              <w:t xml:space="preserve">, (en adelante, </w:t>
            </w:r>
            <w:r>
              <w:rPr>
                <w:rFonts w:ascii="Inter" w:cs="Inter" w:eastAsia="Inter" w:hAnsi="Inter"/>
                <w:i/>
                <w:iCs/>
                <w:color w:val="18181F"/>
                <w:sz w:val="22"/>
                <w:szCs w:val="22"/>
              </w:rPr>
              <w:t xml:space="preserve">la PRODUCTORA</w:t>
            </w:r>
            <w:r>
              <w:rPr>
                <w:rFonts w:ascii="Inter" w:cs="Inter" w:eastAsia="Inter" w:hAnsi="Inter"/>
                <w:color w:val="18181F"/>
                <w:sz w:val="22"/>
                <w:szCs w:val="22"/>
              </w:rPr>
              <w:t xml:space="preserve">),</w:t>
            </w:r>
          </w:p>
          <w:p>
            <w:pPr>
              <w:spacing w:after="0"/>
            </w:pPr>
            <w:r>
              <w:rPr>
                <w:rFonts w:ascii="Inter" w:cs="Inter" w:eastAsia="Inter" w:hAnsi="Inter"/>
                <w:color w:val="18181F"/>
                <w:sz w:val="22"/>
                <w:szCs w:val="22"/>
              </w:rPr>
              <w:t xml:space="preserve">y </w:t>
            </w:r>
            <w:r>
              <w:rPr>
                <w:rFonts w:ascii="Inter" w:cs="Inter" w:eastAsia="Inter" w:hAnsi="Inter"/>
                <w:b/>
                <w:bCs/>
                <w:color w:val="18181F"/>
                <w:sz w:val="22"/>
                <w:szCs w:val="22"/>
              </w:rPr>
              <w:t xml:space="preserve">[NOMBRE DEL CLIENTE]</w:t>
            </w:r>
            <w:r>
              <w:rPr>
                <w:rFonts w:ascii="Inter" w:cs="Inter" w:eastAsia="Inter" w:hAnsi="Inter"/>
                <w:color w:val="18181F"/>
                <w:sz w:val="22"/>
                <w:szCs w:val="22"/>
              </w:rPr>
              <w:t xml:space="preserve"> (en adelante, </w:t>
            </w:r>
            <w:r>
              <w:rPr>
                <w:rFonts w:ascii="Inter" w:cs="Inter" w:eastAsia="Inter" w:hAnsi="Inter"/>
                <w:i/>
                <w:iCs/>
                <w:color w:val="18181F"/>
                <w:sz w:val="22"/>
                <w:szCs w:val="22"/>
              </w:rPr>
              <w:t xml:space="preserve">el CLIENTE</w:t>
            </w:r>
            <w:r>
              <w:rPr>
                <w:rFonts w:ascii="Inter" w:cs="Inter" w:eastAsia="Inter" w:hAnsi="Inter"/>
                <w:color w:val="18181F"/>
                <w:sz w:val="22"/>
                <w:szCs w:val="22"/>
              </w:rPr>
              <w:t xml:space="preserve">).</w:t>
            </w:r>
          </w:p>
        </w:tc>
      </w:tr>
    </w:tbl>
    <w:p>
      <w:pPr>
        <w:spacing w:after="320"/>
      </w:pPr>
      <w:r>
        <w:rPr>
          <w:rFonts w:ascii="Inter" w:cs="Inter" w:eastAsia="Inter" w:hAnsi="Inter"/>
          <w:color w:val="18181F"/>
          <w:sz w:val="21"/>
          <w:szCs w:val="21"/>
        </w:rPr>
        <w:t xml:space="preserve"/>
      </w:r>
    </w:p>
    <w:p>
      <w:pPr>
        <w:spacing w:after="140" w:before="400"/>
      </w:pPr>
      <w:r>
        <w:rPr>
          <w:rFonts w:ascii="Inter" w:cs="Inter" w:eastAsia="Inter" w:hAnsi="Inter"/>
          <w:b/>
          <w:bCs/>
          <w:color w:val="2A2AF0"/>
          <w:sz w:val="27"/>
          <w:szCs w:val="27"/>
        </w:rPr>
        <w:t xml:space="preserve">01</w:t>
      </w:r>
      <w:r>
        <w:rPr>
          <w:rFonts w:ascii="Inter" w:cs="Inter" w:eastAsia="Inter" w:hAnsi="Inter"/>
          <w:b/>
          <w:bCs/>
          <w:color w:val="18181F"/>
          <w:sz w:val="27"/>
          <w:szCs w:val="27"/>
        </w:rPr>
        <w:t xml:space="preserve">   OBJETO DEL ACUERDO</w:t>
      </w:r>
    </w:p>
    <w:p>
      <w:pPr>
        <w:spacing w:after="160"/>
      </w:pPr>
      <w:r>
        <w:rPr>
          <w:rFonts w:ascii="Inter" w:cs="Inter" w:eastAsia="Inter" w:hAnsi="Inter"/>
          <w:color w:val="18181F"/>
          <w:sz w:val="21"/>
          <w:szCs w:val="21"/>
        </w:rPr>
        <w:t xml:space="preserve">El presente documento establece los términos y condiciones generales que regirán la relación profesional entre la PRODUCTORA y el CLIENTE para la creación, dirección, producción y edición de contenido audiovisual, bajo la modalidad de paquetes mensuales de creación de contenido.</w:t>
      </w:r>
    </w:p>
    <w:p>
      <w:pPr>
        <w:spacing w:after="160"/>
      </w:pPr>
      <w:r>
        <w:rPr>
          <w:rFonts w:ascii="Inter" w:cs="Inter" w:eastAsia="Inter" w:hAnsi="Inter"/>
          <w:color w:val="18181F"/>
          <w:sz w:val="21"/>
          <w:szCs w:val="21"/>
        </w:rPr>
        <w:t xml:space="preserve">Este acuerdo tiene carácter marco y recurrente, no limitándose a un único proyecto, pieza o fecha específica.</w:t>
      </w:r>
    </w:p>
    <w:p>
      <w:pPr>
        <w:pBdr>
          <w:bottom w:val="single" w:color="DCDCE6" w:sz="4"/>
        </w:pBdr>
        <w:spacing w:after="280" w:before="40"/>
      </w:pPr>
      <w:r>
        <w:rPr>
          <w:rFonts w:ascii="Inter" w:cs="Inter" w:eastAsia="Inter" w:hAnsi="Inter"/>
          <w:color w:val="18181F"/>
          <w:sz w:val="21"/>
          <w:szCs w:val="21"/>
        </w:rPr>
        <w:t xml:space="preserve"/>
      </w:r>
    </w:p>
    <w:p>
      <w:pPr>
        <w:spacing w:after="140" w:before="400"/>
      </w:pPr>
      <w:r>
        <w:rPr>
          <w:rFonts w:ascii="Inter" w:cs="Inter" w:eastAsia="Inter" w:hAnsi="Inter"/>
          <w:b/>
          <w:bCs/>
          <w:color w:val="2A2AF0"/>
          <w:sz w:val="27"/>
          <w:szCs w:val="27"/>
        </w:rPr>
        <w:t xml:space="preserve">02</w:t>
      </w:r>
      <w:r>
        <w:rPr>
          <w:rFonts w:ascii="Inter" w:cs="Inter" w:eastAsia="Inter" w:hAnsi="Inter"/>
          <w:b/>
          <w:bCs/>
          <w:color w:val="18181F"/>
          <w:sz w:val="27"/>
          <w:szCs w:val="27"/>
        </w:rPr>
        <w:t xml:space="preserve">   PROCEDIMIENTO DE TRABAJO (PAQUETE DE CREACIÓN DE CONTENIDO)</w:t>
      </w:r>
    </w:p>
    <w:p>
      <w:pPr>
        <w:spacing w:after="160"/>
      </w:pPr>
      <w:r>
        <w:rPr>
          <w:rFonts w:ascii="Inter" w:cs="Inter" w:eastAsia="Inter" w:hAnsi="Inter"/>
          <w:color w:val="18181F"/>
          <w:sz w:val="21"/>
          <w:szCs w:val="21"/>
        </w:rPr>
        <w:t xml:space="preserve">El presente acuerdo aplica exclusivamente a los servicios de creación de contenido audiovisual recurrente, estructurados en paquetes mensuales.</w:t>
      </w:r>
    </w:p>
    <w:p>
      <w:pPr>
        <w:spacing w:after="160"/>
      </w:pPr>
      <w:r>
        <w:rPr>
          <w:rFonts w:ascii="Inter" w:cs="Inter" w:eastAsia="Inter" w:hAnsi="Inter"/>
          <w:color w:val="18181F"/>
          <w:sz w:val="21"/>
          <w:szCs w:val="21"/>
        </w:rPr>
        <w:t xml:space="preserve">Para cada mes de servicio, el flujo de trabajo será el siguiente:</w:t>
      </w:r>
    </w:p>
    <w:p>
      <w:pPr>
        <w:pStyle w:val="ListParagraph"/>
        <w:numPr>
          <w:ilvl w:val="0"/>
          <w:numId w:val="2"/>
        </w:numPr>
        <w:spacing w:after="140"/>
      </w:pPr>
      <w:r>
        <w:rPr>
          <w:rFonts w:ascii="Inter" w:cs="Inter" w:eastAsia="Inter" w:hAnsi="Inter"/>
          <w:b/>
          <w:bCs/>
          <w:color w:val="18181F"/>
          <w:sz w:val="21"/>
          <w:szCs w:val="21"/>
        </w:rPr>
        <w:t xml:space="preserve">Planificación: </w:t>
      </w:r>
      <w:r>
        <w:rPr>
          <w:rFonts w:ascii="Inter" w:cs="Inter" w:eastAsia="Inter" w:hAnsi="Inter"/>
          <w:color w:val="18181F"/>
          <w:sz w:val="21"/>
          <w:szCs w:val="21"/>
        </w:rPr>
        <w:t xml:space="preserve">Los guiones, ideas y lineamientos del contenido serán preparados, definidos y aprobados previo a cada fecha de rodaje, independientemente del inicio del mes de servicio.</w:t>
      </w:r>
    </w:p>
    <w:p>
      <w:pPr>
        <w:pStyle w:val="ListParagraph"/>
        <w:numPr>
          <w:ilvl w:val="0"/>
          <w:numId w:val="2"/>
        </w:numPr>
        <w:spacing w:after="140"/>
      </w:pPr>
      <w:r>
        <w:rPr>
          <w:rFonts w:ascii="Inter" w:cs="Inter" w:eastAsia="Inter" w:hAnsi="Inter"/>
          <w:b/>
          <w:bCs/>
          <w:color w:val="18181F"/>
          <w:sz w:val="21"/>
          <w:szCs w:val="21"/>
        </w:rPr>
        <w:t xml:space="preserve">Rodaje: </w:t>
      </w:r>
      <w:r>
        <w:rPr>
          <w:rFonts w:ascii="Inter" w:cs="Inter" w:eastAsia="Inter" w:hAnsi="Inter"/>
          <w:color w:val="18181F"/>
          <w:sz w:val="21"/>
          <w:szCs w:val="21"/>
        </w:rPr>
        <w:t xml:space="preserve">Las fechas de grabación se ejecutarán según lo previamente acordado.</w:t>
      </w:r>
    </w:p>
    <w:p>
      <w:pPr>
        <w:pStyle w:val="ListParagraph"/>
        <w:numPr>
          <w:ilvl w:val="0"/>
          <w:numId w:val="2"/>
        </w:numPr>
        <w:spacing w:after="140"/>
      </w:pPr>
      <w:r>
        <w:rPr>
          <w:rFonts w:ascii="Inter" w:cs="Inter" w:eastAsia="Inter" w:hAnsi="Inter"/>
          <w:b/>
          <w:bCs/>
          <w:color w:val="18181F"/>
          <w:sz w:val="21"/>
          <w:szCs w:val="21"/>
        </w:rPr>
        <w:t xml:space="preserve">Producción y entregas: </w:t>
      </w:r>
      <w:r>
        <w:rPr>
          <w:rFonts w:ascii="Inter" w:cs="Inter" w:eastAsia="Inter" w:hAnsi="Inter"/>
          <w:color w:val="18181F"/>
          <w:sz w:val="21"/>
          <w:szCs w:val="21"/>
        </w:rPr>
        <w:t xml:space="preserve">Por cada fecha de rodaje, el material será editado y entregado dentro de un plazo de cinco (5) a ocho (8) días posteriores a dicha fecha, distribuido en dos (2) entregas ("drops") de tres (3) reels cada una.</w:t>
      </w:r>
    </w:p>
    <w:p>
      <w:pPr>
        <w:pStyle w:val="ListParagraph"/>
        <w:numPr>
          <w:ilvl w:val="0"/>
          <w:numId w:val="2"/>
        </w:numPr>
        <w:spacing w:after="140"/>
      </w:pPr>
      <w:r>
        <w:rPr>
          <w:rFonts w:ascii="Inter" w:cs="Inter" w:eastAsia="Inter" w:hAnsi="Inter"/>
          <w:b/>
          <w:bCs/>
          <w:color w:val="18181F"/>
          <w:sz w:val="21"/>
          <w:szCs w:val="21"/>
        </w:rPr>
        <w:t xml:space="preserve">Continuidad: </w:t>
      </w:r>
      <w:r>
        <w:rPr>
          <w:rFonts w:ascii="Inter" w:cs="Inter" w:eastAsia="Inter" w:hAnsi="Inter"/>
          <w:color w:val="18181F"/>
          <w:sz w:val="21"/>
          <w:szCs w:val="21"/>
        </w:rPr>
        <w:t xml:space="preserve">Los términos del presente acuerdo se aplicarán automáticamente a cada mes de servicio sin necesidad de firmar contratos adicionales.</w:t>
      </w:r>
    </w:p>
    <w:p>
      <w:pPr>
        <w:pBdr>
          <w:bottom w:val="single" w:color="DCDCE6" w:sz="4"/>
        </w:pBdr>
        <w:spacing w:after="280" w:before="40"/>
      </w:pPr>
      <w:r>
        <w:rPr>
          <w:rFonts w:ascii="Inter" w:cs="Inter" w:eastAsia="Inter" w:hAnsi="Inter"/>
          <w:color w:val="18181F"/>
          <w:sz w:val="21"/>
          <w:szCs w:val="21"/>
        </w:rPr>
        <w:t xml:space="preserve"/>
      </w:r>
    </w:p>
    <w:p>
      <w:pPr>
        <w:spacing w:after="140" w:before="400"/>
      </w:pPr>
      <w:r>
        <w:rPr>
          <w:rFonts w:ascii="Inter" w:cs="Inter" w:eastAsia="Inter" w:hAnsi="Inter"/>
          <w:b/>
          <w:bCs/>
          <w:color w:val="2A2AF0"/>
          <w:sz w:val="27"/>
          <w:szCs w:val="27"/>
        </w:rPr>
        <w:t xml:space="preserve">03</w:t>
      </w:r>
      <w:r>
        <w:rPr>
          <w:rFonts w:ascii="Inter" w:cs="Inter" w:eastAsia="Inter" w:hAnsi="Inter"/>
          <w:b/>
          <w:bCs/>
          <w:color w:val="18181F"/>
          <w:sz w:val="27"/>
          <w:szCs w:val="27"/>
        </w:rPr>
        <w:t xml:space="preserve">   CONDICIONES ECONÓMICAS</w:t>
      </w:r>
    </w:p>
    <w:p>
      <w:pPr>
        <w:pStyle w:val="ListParagraph"/>
        <w:numPr>
          <w:ilvl w:val="0"/>
          <w:numId w:val="2"/>
        </w:numPr>
        <w:spacing w:after="140"/>
      </w:pPr>
      <w:r>
        <w:rPr>
          <w:rFonts w:ascii="Inter" w:cs="Inter" w:eastAsia="Inter" w:hAnsi="Inter"/>
          <w:b/>
          <w:bCs/>
          <w:color w:val="18181F"/>
          <w:sz w:val="21"/>
          <w:szCs w:val="21"/>
        </w:rPr>
        <w:t xml:space="preserve">Pago único mensual: </w:t>
      </w:r>
      <w:r>
        <w:rPr>
          <w:rFonts w:ascii="Inter" w:cs="Inter" w:eastAsia="Inter" w:hAnsi="Inter"/>
          <w:color w:val="18181F"/>
          <w:sz w:val="21"/>
          <w:szCs w:val="21"/>
        </w:rPr>
        <w:t xml:space="preserve">El CLIENTE deberá abonar el 100% (pago único) del valor del paquete contratado antes del inicio del mes de servicio correspondiente, específicamente antes de la primera fecha de rodaje programada para dicho mes.</w:t>
      </w:r>
    </w:p>
    <w:p>
      <w:pPr>
        <w:pStyle w:val="ListParagraph"/>
        <w:numPr>
          <w:ilvl w:val="0"/>
          <w:numId w:val="2"/>
        </w:numPr>
        <w:spacing w:after="140"/>
      </w:pPr>
      <w:r>
        <w:rPr>
          <w:rFonts w:ascii="Inter" w:cs="Inter" w:eastAsia="Inter" w:hAnsi="Inter"/>
          <w:b/>
          <w:bCs/>
          <w:color w:val="18181F"/>
          <w:sz w:val="21"/>
          <w:szCs w:val="21"/>
        </w:rPr>
        <w:t xml:space="preserve">Modalidad mes a mes: </w:t>
      </w:r>
      <w:r>
        <w:rPr>
          <w:rFonts w:ascii="Inter" w:cs="Inter" w:eastAsia="Inter" w:hAnsi="Inter"/>
          <w:color w:val="18181F"/>
          <w:sz w:val="21"/>
          <w:szCs w:val="21"/>
        </w:rPr>
        <w:t xml:space="preserve">El presente acuerdo opera bajo modalidad mes a mes, sin plazo mínimo de permanencia obligatorio. La continuidad del servicio para un nuevo mes queda condicionada exclusivamente a la recepción del pago correspondiente a dicho mes.</w:t>
      </w:r>
    </w:p>
    <w:p>
      <w:pPr>
        <w:pStyle w:val="ListParagraph"/>
        <w:numPr>
          <w:ilvl w:val="0"/>
          <w:numId w:val="2"/>
        </w:numPr>
        <w:spacing w:after="140"/>
      </w:pPr>
      <w:r>
        <w:rPr>
          <w:rFonts w:ascii="Inter" w:cs="Inter" w:eastAsia="Inter" w:hAnsi="Inter"/>
          <w:b/>
          <w:bCs/>
          <w:color w:val="18181F"/>
          <w:sz w:val="21"/>
          <w:szCs w:val="21"/>
        </w:rPr>
        <w:t xml:space="preserve">Finalización sin penalidad: </w:t>
      </w:r>
      <w:r>
        <w:rPr>
          <w:rFonts w:ascii="Inter" w:cs="Inter" w:eastAsia="Inter" w:hAnsi="Inter"/>
          <w:color w:val="18181F"/>
          <w:sz w:val="21"/>
          <w:szCs w:val="21"/>
        </w:rPr>
        <w:t xml:space="preserve">La ausencia de pago correspondiente al mes siguiente se entenderá como la finalización del servicio al término del mes en curso, sin que esto constituya incumplimiento contractual para ninguna de las partes ni genere penalidad alguna.</w:t>
      </w:r>
    </w:p>
    <w:p>
      <w:pPr>
        <w:pStyle w:val="ListParagraph"/>
        <w:numPr>
          <w:ilvl w:val="0"/>
          <w:numId w:val="2"/>
        </w:numPr>
        <w:spacing w:after="140"/>
      </w:pPr>
      <w:r>
        <w:rPr>
          <w:rFonts w:ascii="Inter" w:cs="Inter" w:eastAsia="Inter" w:hAnsi="Inter"/>
          <w:b/>
          <w:bCs/>
          <w:color w:val="18181F"/>
          <w:sz w:val="21"/>
          <w:szCs w:val="21"/>
        </w:rPr>
        <w:t xml:space="preserve">Entregas: </w:t>
      </w:r>
      <w:r>
        <w:rPr>
          <w:rFonts w:ascii="Inter" w:cs="Inter" w:eastAsia="Inter" w:hAnsi="Inter"/>
          <w:color w:val="18181F"/>
          <w:sz w:val="21"/>
          <w:szCs w:val="21"/>
        </w:rPr>
        <w:t xml:space="preserve">Las entregas del contenido se realizarán de forma progresiva durante el mes, una vez recibido el pago correspondiente a dicho mes.</w:t>
      </w:r>
    </w:p>
    <w:p>
      <w:pPr>
        <w:pStyle w:val="ListParagraph"/>
        <w:numPr>
          <w:ilvl w:val="0"/>
          <w:numId w:val="2"/>
        </w:numPr>
        <w:spacing w:after="140"/>
      </w:pPr>
      <w:r>
        <w:rPr>
          <w:rFonts w:ascii="Inter" w:cs="Inter" w:eastAsia="Inter" w:hAnsi="Inter"/>
          <w:b/>
          <w:bCs/>
          <w:color w:val="18181F"/>
          <w:sz w:val="21"/>
          <w:szCs w:val="21"/>
        </w:rPr>
        <w:t xml:space="preserve">Retrasos: </w:t>
      </w:r>
      <w:r>
        <w:rPr>
          <w:rFonts w:ascii="Inter" w:cs="Inter" w:eastAsia="Inter" w:hAnsi="Inter"/>
          <w:color w:val="18181F"/>
          <w:sz w:val="21"/>
          <w:szCs w:val="21"/>
        </w:rPr>
        <w:t xml:space="preserve">El incumplimiento o demora en el pago faculta a la PRODUCTORA a no iniciar o a pausar rodajes, ediciones o entregas, sin que esto constituya incumplimiento contractual de su parte.</w:t>
      </w:r>
    </w:p>
    <w:p>
      <w:pPr>
        <w:pBdr>
          <w:bottom w:val="single" w:color="DCDCE6" w:sz="4"/>
        </w:pBdr>
        <w:spacing w:after="280" w:before="40"/>
      </w:pPr>
      <w:r>
        <w:rPr>
          <w:rFonts w:ascii="Inter" w:cs="Inter" w:eastAsia="Inter" w:hAnsi="Inter"/>
          <w:color w:val="18181F"/>
          <w:sz w:val="21"/>
          <w:szCs w:val="21"/>
        </w:rPr>
        <w:t xml:space="preserve"/>
      </w:r>
    </w:p>
    <w:p>
      <w:pPr>
        <w:spacing w:after="140" w:before="400"/>
      </w:pPr>
      <w:r>
        <w:rPr>
          <w:rFonts w:ascii="Inter" w:cs="Inter" w:eastAsia="Inter" w:hAnsi="Inter"/>
          <w:b/>
          <w:bCs/>
          <w:color w:val="2A2AF0"/>
          <w:sz w:val="27"/>
          <w:szCs w:val="27"/>
        </w:rPr>
        <w:t xml:space="preserve">04</w:t>
      </w:r>
      <w:r>
        <w:rPr>
          <w:rFonts w:ascii="Inter" w:cs="Inter" w:eastAsia="Inter" w:hAnsi="Inter"/>
          <w:b/>
          <w:bCs/>
          <w:color w:val="18181F"/>
          <w:sz w:val="27"/>
          <w:szCs w:val="27"/>
        </w:rPr>
        <w:t xml:space="preserve">   PROCESO CREATIVO Y REVISIONES</w:t>
      </w:r>
    </w:p>
    <w:p>
      <w:pPr>
        <w:pStyle w:val="ListParagraph"/>
        <w:numPr>
          <w:ilvl w:val="0"/>
          <w:numId w:val="2"/>
        </w:numPr>
        <w:spacing w:after="140"/>
      </w:pPr>
      <w:r>
        <w:rPr>
          <w:rFonts w:ascii="Inter" w:cs="Inter" w:eastAsia="Inter" w:hAnsi="Inter"/>
          <w:b/>
          <w:bCs/>
          <w:color w:val="18181F"/>
          <w:sz w:val="21"/>
          <w:szCs w:val="21"/>
        </w:rPr>
        <w:t xml:space="preserve">Acompañamiento creativo: </w:t>
      </w:r>
      <w:r>
        <w:rPr>
          <w:rFonts w:ascii="Inter" w:cs="Inter" w:eastAsia="Inter" w:hAnsi="Inter"/>
          <w:color w:val="18181F"/>
          <w:sz w:val="21"/>
          <w:szCs w:val="21"/>
        </w:rPr>
        <w:t xml:space="preserve">La PRODUCTORA acompañará al CLIENTE durante todo el proceso creativo del contenido, incluyendo el desarrollo de guiones, dirección y estructura del contenido, aportando su criterio profesional en cada etapa de producción.</w:t>
      </w:r>
    </w:p>
    <w:p>
      <w:pPr>
        <w:pStyle w:val="ListParagraph"/>
        <w:numPr>
          <w:ilvl w:val="0"/>
          <w:numId w:val="2"/>
        </w:numPr>
        <w:spacing w:after="140"/>
      </w:pPr>
      <w:r>
        <w:rPr>
          <w:rFonts w:ascii="Inter" w:cs="Inter" w:eastAsia="Inter" w:hAnsi="Inter"/>
          <w:b/>
          <w:bCs/>
          <w:color w:val="18181F"/>
          <w:sz w:val="21"/>
          <w:szCs w:val="21"/>
        </w:rPr>
        <w:t xml:space="preserve">Aprobación previa: </w:t>
      </w:r>
      <w:r>
        <w:rPr>
          <w:rFonts w:ascii="Inter" w:cs="Inter" w:eastAsia="Inter" w:hAnsi="Inter"/>
          <w:color w:val="18181F"/>
          <w:sz w:val="21"/>
          <w:szCs w:val="21"/>
        </w:rPr>
        <w:t xml:space="preserve">Los guiones y conceptos serán previamente preparados y aprobados antes de cada fecha de rodaje, sirviendo como base creativa y estructural para la producción del contenido.</w:t>
      </w:r>
    </w:p>
    <w:p>
      <w:pPr>
        <w:pStyle w:val="ListParagraph"/>
        <w:numPr>
          <w:ilvl w:val="0"/>
          <w:numId w:val="2"/>
        </w:numPr>
        <w:spacing w:after="140"/>
      </w:pPr>
      <w:r>
        <w:rPr>
          <w:rFonts w:ascii="Inter" w:cs="Inter" w:eastAsia="Inter" w:hAnsi="Inter"/>
          <w:b/>
          <w:bCs/>
          <w:color w:val="18181F"/>
          <w:sz w:val="21"/>
          <w:szCs w:val="21"/>
        </w:rPr>
        <w:t xml:space="preserve">Revisión incluida: </w:t>
      </w:r>
      <w:r>
        <w:rPr>
          <w:rFonts w:ascii="Inter" w:cs="Inter" w:eastAsia="Inter" w:hAnsi="Inter"/>
          <w:color w:val="18181F"/>
          <w:sz w:val="21"/>
          <w:szCs w:val="21"/>
        </w:rPr>
        <w:t xml:space="preserve">Cada pieza de contenido incluye una (1) única ronda de revisión.</w:t>
      </w:r>
    </w:p>
    <w:p>
      <w:pPr>
        <w:pStyle w:val="ListParagraph"/>
        <w:numPr>
          <w:ilvl w:val="0"/>
          <w:numId w:val="2"/>
        </w:numPr>
        <w:spacing w:after="140"/>
      </w:pPr>
      <w:r>
        <w:rPr>
          <w:rFonts w:ascii="Inter" w:cs="Inter" w:eastAsia="Inter" w:hAnsi="Inter"/>
          <w:b/>
          <w:bCs/>
          <w:color w:val="18181F"/>
          <w:sz w:val="21"/>
          <w:szCs w:val="21"/>
        </w:rPr>
        <w:t xml:space="preserve">Correcciones: </w:t>
      </w:r>
      <w:r>
        <w:rPr>
          <w:rFonts w:ascii="Inter" w:cs="Inter" w:eastAsia="Inter" w:hAnsi="Inter"/>
          <w:color w:val="18181F"/>
          <w:sz w:val="21"/>
          <w:szCs w:val="21"/>
        </w:rPr>
        <w:t xml:space="preserve">El CLIENTE deberá enviar todas las correcciones de forma consolidada en dicha revisión.</w:t>
      </w:r>
    </w:p>
    <w:p>
      <w:pPr>
        <w:pStyle w:val="ListParagraph"/>
        <w:numPr>
          <w:ilvl w:val="0"/>
          <w:numId w:val="2"/>
        </w:numPr>
        <w:spacing w:after="140"/>
      </w:pPr>
      <w:r>
        <w:rPr>
          <w:rFonts w:ascii="Inter" w:cs="Inter" w:eastAsia="Inter" w:hAnsi="Inter"/>
          <w:b/>
          <w:bCs/>
          <w:color w:val="18181F"/>
          <w:sz w:val="21"/>
          <w:szCs w:val="21"/>
        </w:rPr>
        <w:t xml:space="preserve">Alcance de cambios: </w:t>
      </w:r>
      <w:r>
        <w:rPr>
          <w:rFonts w:ascii="Inter" w:cs="Inter" w:eastAsia="Inter" w:hAnsi="Inter"/>
          <w:color w:val="18181F"/>
          <w:sz w:val="21"/>
          <w:szCs w:val="21"/>
        </w:rPr>
        <w:t xml:space="preserve">Las revisiones se limitan a ajustes sencillos, tales como texto, cortes menores o ritmo.</w:t>
      </w:r>
    </w:p>
    <w:p>
      <w:pPr>
        <w:pStyle w:val="ListParagraph"/>
        <w:numPr>
          <w:ilvl w:val="0"/>
          <w:numId w:val="2"/>
        </w:numPr>
        <w:spacing w:after="140"/>
      </w:pPr>
      <w:r>
        <w:rPr>
          <w:rFonts w:ascii="Inter" w:cs="Inter" w:eastAsia="Inter" w:hAnsi="Inter"/>
          <w:b/>
          <w:bCs/>
          <w:color w:val="18181F"/>
          <w:sz w:val="21"/>
          <w:szCs w:val="21"/>
        </w:rPr>
        <w:t xml:space="preserve">Cambios adicionales: </w:t>
      </w:r>
      <w:r>
        <w:rPr>
          <w:rFonts w:ascii="Inter" w:cs="Inter" w:eastAsia="Inter" w:hAnsi="Inter"/>
          <w:color w:val="18181F"/>
          <w:sz w:val="21"/>
          <w:szCs w:val="21"/>
        </w:rPr>
        <w:t xml:space="preserve">Solicitudes que impliquen nuevas rondas de revisión o modificaciones estructurales del contenido aprobado tendrán costos adicionales.</w:t>
      </w:r>
    </w:p>
    <w:p>
      <w:pPr>
        <w:pStyle w:val="ListParagraph"/>
        <w:numPr>
          <w:ilvl w:val="0"/>
          <w:numId w:val="2"/>
        </w:numPr>
        <w:spacing w:after="140"/>
      </w:pPr>
      <w:r>
        <w:rPr>
          <w:rFonts w:ascii="Inter" w:cs="Inter" w:eastAsia="Inter" w:hAnsi="Inter"/>
          <w:b/>
          <w:bCs/>
          <w:color w:val="18181F"/>
          <w:sz w:val="21"/>
          <w:szCs w:val="21"/>
        </w:rPr>
        <w:t xml:space="preserve">Eficiencia: </w:t>
      </w:r>
      <w:r>
        <w:rPr>
          <w:rFonts w:ascii="Inter" w:cs="Inter" w:eastAsia="Inter" w:hAnsi="Inter"/>
          <w:color w:val="18181F"/>
          <w:sz w:val="21"/>
          <w:szCs w:val="21"/>
        </w:rPr>
        <w:t xml:space="preserve">Este esquema busca optimizar tiempos de producción y asegurar la continuidad del servicio mensual.</w:t>
      </w:r>
    </w:p>
    <w:p>
      <w:pPr>
        <w:pBdr>
          <w:bottom w:val="single" w:color="DCDCE6" w:sz="4"/>
        </w:pBdr>
        <w:spacing w:after="280" w:before="40"/>
      </w:pPr>
      <w:r>
        <w:rPr>
          <w:rFonts w:ascii="Inter" w:cs="Inter" w:eastAsia="Inter" w:hAnsi="Inter"/>
          <w:color w:val="18181F"/>
          <w:sz w:val="21"/>
          <w:szCs w:val="21"/>
        </w:rPr>
        <w:t xml:space="preserve"/>
      </w:r>
    </w:p>
    <w:p>
      <w:pPr>
        <w:spacing w:after="140" w:before="400"/>
      </w:pPr>
      <w:r>
        <w:rPr>
          <w:rFonts w:ascii="Inter" w:cs="Inter" w:eastAsia="Inter" w:hAnsi="Inter"/>
          <w:b/>
          <w:bCs/>
          <w:color w:val="2A2AF0"/>
          <w:sz w:val="27"/>
          <w:szCs w:val="27"/>
        </w:rPr>
        <w:t xml:space="preserve">05</w:t>
      </w:r>
      <w:r>
        <w:rPr>
          <w:rFonts w:ascii="Inter" w:cs="Inter" w:eastAsia="Inter" w:hAnsi="Inter"/>
          <w:b/>
          <w:bCs/>
          <w:color w:val="18181F"/>
          <w:sz w:val="27"/>
          <w:szCs w:val="27"/>
        </w:rPr>
        <w:t xml:space="preserve">   REAGENDAMIENTO DE FECHAS DE RODAJE</w:t>
      </w:r>
    </w:p>
    <w:p>
      <w:pPr>
        <w:pStyle w:val="ListParagraph"/>
        <w:numPr>
          <w:ilvl w:val="0"/>
          <w:numId w:val="2"/>
        </w:numPr>
        <w:spacing w:after="140"/>
      </w:pPr>
      <w:r>
        <w:rPr>
          <w:rFonts w:ascii="Inter" w:cs="Inter" w:eastAsia="Inter" w:hAnsi="Inter"/>
          <w:color w:val="18181F"/>
          <w:sz w:val="21"/>
          <w:szCs w:val="21"/>
        </w:rPr>
        <w:t xml:space="preserve">Las fechas y horarios de rodaje se consideran reservados en exclusiva para el CLIENTE una vez confirmados.</w:t>
      </w:r>
    </w:p>
    <w:p>
      <w:pPr>
        <w:pStyle w:val="ListParagraph"/>
        <w:numPr>
          <w:ilvl w:val="0"/>
          <w:numId w:val="2"/>
        </w:numPr>
        <w:spacing w:after="140"/>
      </w:pPr>
      <w:r>
        <w:rPr>
          <w:rFonts w:ascii="Inter" w:cs="Inter" w:eastAsia="Inter" w:hAnsi="Inter"/>
          <w:color w:val="18181F"/>
          <w:sz w:val="21"/>
          <w:szCs w:val="21"/>
        </w:rPr>
        <w:t xml:space="preserve">Cualquier solicitud de reagendamiento deberá comunicarse con un mínimo de dos (2) días de antelación.</w:t>
      </w:r>
    </w:p>
    <w:p>
      <w:pPr>
        <w:pStyle w:val="ListParagraph"/>
        <w:numPr>
          <w:ilvl w:val="0"/>
          <w:numId w:val="2"/>
        </w:numPr>
        <w:spacing w:after="140"/>
      </w:pPr>
      <w:r>
        <w:rPr>
          <w:rFonts w:ascii="Inter" w:cs="Inter" w:eastAsia="Inter" w:hAnsi="Inter"/>
          <w:color w:val="18181F"/>
          <w:sz w:val="21"/>
          <w:szCs w:val="21"/>
        </w:rPr>
        <w:t xml:space="preserve">Las solicitudes realizadas fuera de este plazo podrán generar un cargo adicional, ya que la fecha y el horario fueron bloqueados y no ofrecidos a otros clientes.</w:t>
      </w:r>
    </w:p>
    <w:p>
      <w:pPr>
        <w:pStyle w:val="ListParagraph"/>
        <w:numPr>
          <w:ilvl w:val="0"/>
          <w:numId w:val="2"/>
        </w:numPr>
        <w:spacing w:after="140"/>
      </w:pPr>
      <w:r>
        <w:rPr>
          <w:rFonts w:ascii="Inter" w:cs="Inter" w:eastAsia="Inter" w:hAnsi="Inter"/>
          <w:color w:val="18181F"/>
          <w:sz w:val="21"/>
          <w:szCs w:val="21"/>
        </w:rPr>
        <w:t xml:space="preserve">La disponibilidad de una nueva fecha estará sujeta a agenda y no se garantiza continuidad inmediata.</w:t>
      </w:r>
    </w:p>
    <w:p>
      <w:pPr>
        <w:pBdr>
          <w:bottom w:val="single" w:color="DCDCE6" w:sz="4"/>
        </w:pBdr>
        <w:spacing w:after="280" w:before="40"/>
      </w:pPr>
      <w:r>
        <w:rPr>
          <w:rFonts w:ascii="Inter" w:cs="Inter" w:eastAsia="Inter" w:hAnsi="Inter"/>
          <w:color w:val="18181F"/>
          <w:sz w:val="21"/>
          <w:szCs w:val="21"/>
        </w:rPr>
        <w:t xml:space="preserve"/>
      </w:r>
    </w:p>
    <w:p>
      <w:pPr>
        <w:spacing w:after="140" w:before="400"/>
      </w:pPr>
      <w:r>
        <w:rPr>
          <w:rFonts w:ascii="Inter" w:cs="Inter" w:eastAsia="Inter" w:hAnsi="Inter"/>
          <w:b/>
          <w:bCs/>
          <w:color w:val="2A2AF0"/>
          <w:sz w:val="27"/>
          <w:szCs w:val="27"/>
        </w:rPr>
        <w:t xml:space="preserve">06</w:t>
      </w:r>
      <w:r>
        <w:rPr>
          <w:rFonts w:ascii="Inter" w:cs="Inter" w:eastAsia="Inter" w:hAnsi="Inter"/>
          <w:b/>
          <w:bCs/>
          <w:color w:val="18181F"/>
          <w:sz w:val="27"/>
          <w:szCs w:val="27"/>
        </w:rPr>
        <w:t xml:space="preserve">   PROPIEDAD INTELECTUAL</w:t>
      </w:r>
    </w:p>
    <w:p>
      <w:pPr>
        <w:pStyle w:val="ListParagraph"/>
        <w:numPr>
          <w:ilvl w:val="0"/>
          <w:numId w:val="2"/>
        </w:numPr>
        <w:spacing w:after="140"/>
      </w:pPr>
      <w:r>
        <w:rPr>
          <w:rFonts w:ascii="Inter" w:cs="Inter" w:eastAsia="Inter" w:hAnsi="Inter"/>
          <w:b/>
          <w:bCs/>
          <w:color w:val="18181F"/>
          <w:sz w:val="21"/>
          <w:szCs w:val="21"/>
        </w:rPr>
        <w:t xml:space="preserve">Uso del cliente: </w:t>
      </w:r>
      <w:r>
        <w:rPr>
          <w:rFonts w:ascii="Inter" w:cs="Inter" w:eastAsia="Inter" w:hAnsi="Inter"/>
          <w:color w:val="18181F"/>
          <w:sz w:val="21"/>
          <w:szCs w:val="21"/>
        </w:rPr>
        <w:t xml:space="preserve">Una vez abonado el total del servicio, el CLIENTE obtiene derechos de uso del material final para sus plataformas digitales y campañas publicitarias.</w:t>
      </w:r>
    </w:p>
    <w:p>
      <w:pPr>
        <w:pStyle w:val="ListParagraph"/>
        <w:numPr>
          <w:ilvl w:val="0"/>
          <w:numId w:val="2"/>
        </w:numPr>
        <w:spacing w:after="140"/>
      </w:pPr>
      <w:r>
        <w:rPr>
          <w:rFonts w:ascii="Inter" w:cs="Inter" w:eastAsia="Inter" w:hAnsi="Inter"/>
          <w:b/>
          <w:bCs/>
          <w:color w:val="18181F"/>
          <w:sz w:val="21"/>
          <w:szCs w:val="21"/>
        </w:rPr>
        <w:t xml:space="preserve">Autoría: </w:t>
      </w:r>
      <w:r>
        <w:rPr>
          <w:rFonts w:ascii="Inter" w:cs="Inter" w:eastAsia="Inter" w:hAnsi="Inter"/>
          <w:color w:val="18181F"/>
          <w:sz w:val="21"/>
          <w:szCs w:val="21"/>
        </w:rPr>
        <w:t xml:space="preserve">La PRODUCTORA conserva el derecho de utilizar total o parcialmente las piezas creadas para su portafolio, reel y promoción profesional.</w:t>
      </w:r>
    </w:p>
    <w:p>
      <w:pPr>
        <w:pStyle w:val="ListParagraph"/>
        <w:numPr>
          <w:ilvl w:val="0"/>
          <w:numId w:val="2"/>
        </w:numPr>
        <w:spacing w:after="140"/>
      </w:pPr>
      <w:r>
        <w:rPr>
          <w:rFonts w:ascii="Inter" w:cs="Inter" w:eastAsia="Inter" w:hAnsi="Inter"/>
          <w:b/>
          <w:bCs/>
          <w:color w:val="18181F"/>
          <w:sz w:val="21"/>
          <w:szCs w:val="21"/>
        </w:rPr>
        <w:t xml:space="preserve">Material original (RAW): </w:t>
      </w:r>
      <w:r>
        <w:rPr>
          <w:rFonts w:ascii="Inter" w:cs="Inter" w:eastAsia="Inter" w:hAnsi="Inter"/>
          <w:color w:val="18181F"/>
          <w:sz w:val="21"/>
          <w:szCs w:val="21"/>
        </w:rPr>
        <w:t xml:space="preserve">El material bruto es propiedad de la PRODUCTORA. Su entrega no está incluida y solo se realizará mediante acuerdo y tarifa adicional.</w:t>
      </w:r>
    </w:p>
    <w:p>
      <w:pPr>
        <w:pStyle w:val="ListParagraph"/>
        <w:numPr>
          <w:ilvl w:val="0"/>
          <w:numId w:val="2"/>
        </w:numPr>
        <w:spacing w:after="140"/>
      </w:pPr>
      <w:r>
        <w:rPr>
          <w:rFonts w:ascii="Inter" w:cs="Inter" w:eastAsia="Inter" w:hAnsi="Inter"/>
          <w:b/>
          <w:bCs/>
          <w:color w:val="18181F"/>
          <w:sz w:val="21"/>
          <w:szCs w:val="21"/>
        </w:rPr>
        <w:t xml:space="preserve">Retención de archivos: </w:t>
      </w:r>
      <w:r>
        <w:rPr>
          <w:rFonts w:ascii="Inter" w:cs="Inter" w:eastAsia="Inter" w:hAnsi="Inter"/>
          <w:color w:val="18181F"/>
          <w:sz w:val="21"/>
          <w:szCs w:val="21"/>
        </w:rPr>
        <w:t xml:space="preserve">La PRODUCTORA conservará el material RAW y los proyectos de edición correspondientes durante un (1) mes posterior a la entrega final de cada pieza de contenido. Transcurrido dicho plazo, dicho material podrá ser eliminado sin responsabilidad para la PRODUCTORA.</w:t>
      </w:r>
    </w:p>
    <w:p>
      <w:pPr>
        <w:pBdr>
          <w:bottom w:val="single" w:color="DCDCE6" w:sz="4"/>
        </w:pBdr>
        <w:spacing w:after="280" w:before="40"/>
      </w:pPr>
      <w:r>
        <w:rPr>
          <w:rFonts w:ascii="Inter" w:cs="Inter" w:eastAsia="Inter" w:hAnsi="Inter"/>
          <w:color w:val="18181F"/>
          <w:sz w:val="21"/>
          <w:szCs w:val="21"/>
        </w:rPr>
        <w:t xml:space="preserve"/>
      </w:r>
    </w:p>
    <w:p>
      <w:pPr>
        <w:spacing w:after="140" w:before="400"/>
      </w:pPr>
      <w:r>
        <w:rPr>
          <w:rFonts w:ascii="Inter" w:cs="Inter" w:eastAsia="Inter" w:hAnsi="Inter"/>
          <w:b/>
          <w:bCs/>
          <w:color w:val="2A2AF0"/>
          <w:sz w:val="27"/>
          <w:szCs w:val="27"/>
        </w:rPr>
        <w:t xml:space="preserve">07</w:t>
      </w:r>
      <w:r>
        <w:rPr>
          <w:rFonts w:ascii="Inter" w:cs="Inter" w:eastAsia="Inter" w:hAnsi="Inter"/>
          <w:b/>
          <w:bCs/>
          <w:color w:val="18181F"/>
          <w:sz w:val="27"/>
          <w:szCs w:val="27"/>
        </w:rPr>
        <w:t xml:space="preserve">   TIEMPOS DE RESPUESTA DEL CLIENTE</w:t>
      </w:r>
    </w:p>
    <w:p>
      <w:pPr>
        <w:pStyle w:val="ListParagraph"/>
        <w:numPr>
          <w:ilvl w:val="0"/>
          <w:numId w:val="2"/>
        </w:numPr>
        <w:spacing w:after="140"/>
      </w:pPr>
      <w:r>
        <w:rPr>
          <w:rFonts w:ascii="Inter" w:cs="Inter" w:eastAsia="Inter" w:hAnsi="Inter"/>
          <w:color w:val="18181F"/>
          <w:sz w:val="21"/>
          <w:szCs w:val="21"/>
        </w:rPr>
        <w:t xml:space="preserve">El CLIENTE se compromete a responder solicitudes de aprobación, revisión o información en un plazo máximo de cuarenta y ocho (48) horas.</w:t>
      </w:r>
    </w:p>
    <w:p>
      <w:pPr>
        <w:pStyle w:val="ListParagraph"/>
        <w:numPr>
          <w:ilvl w:val="0"/>
          <w:numId w:val="2"/>
        </w:numPr>
        <w:spacing w:after="140"/>
      </w:pPr>
      <w:r>
        <w:rPr>
          <w:rFonts w:ascii="Inter" w:cs="Inter" w:eastAsia="Inter" w:hAnsi="Inter"/>
          <w:color w:val="18181F"/>
          <w:sz w:val="21"/>
          <w:szCs w:val="21"/>
        </w:rPr>
        <w:t xml:space="preserve">La falta de respuesta podrá afectar el calendario de rodaje, edición y entregas, sin responsabilidad para la PRODUCTORA.</w:t>
      </w:r>
    </w:p>
    <w:p>
      <w:pPr>
        <w:pStyle w:val="ListParagraph"/>
        <w:numPr>
          <w:ilvl w:val="0"/>
          <w:numId w:val="2"/>
        </w:numPr>
        <w:spacing w:after="140"/>
      </w:pPr>
      <w:r>
        <w:rPr>
          <w:rFonts w:ascii="Inter" w:cs="Inter" w:eastAsia="Inter" w:hAnsi="Inter"/>
          <w:color w:val="18181F"/>
          <w:sz w:val="21"/>
          <w:szCs w:val="21"/>
        </w:rPr>
        <w:t xml:space="preserve">En caso de inactividad prolongada, la PRODUCTORA podrá reprogramar entregas, pausar el servicio o considerar aprobadas las piezas según el último criterio validado.</w:t>
      </w:r>
    </w:p>
    <w:p>
      <w:pPr>
        <w:pStyle w:val="ListParagraph"/>
        <w:numPr>
          <w:ilvl w:val="0"/>
          <w:numId w:val="2"/>
        </w:numPr>
        <w:spacing w:after="140"/>
      </w:pPr>
      <w:r>
        <w:rPr>
          <w:rFonts w:ascii="Inter" w:cs="Inter" w:eastAsia="Inter" w:hAnsi="Inter"/>
          <w:color w:val="18181F"/>
          <w:sz w:val="21"/>
          <w:szCs w:val="21"/>
        </w:rPr>
        <w:t xml:space="preserve">El tiempo perdido por falta de respuesta del CLIENTE no será acumulable ni recuperable dentro del mismo mes de servicio.</w:t>
      </w:r>
    </w:p>
    <w:p>
      <w:pPr>
        <w:pBdr>
          <w:bottom w:val="single" w:color="DCDCE6" w:sz="4"/>
        </w:pBdr>
        <w:spacing w:after="280" w:before="40"/>
      </w:pPr>
      <w:r>
        <w:rPr>
          <w:rFonts w:ascii="Inter" w:cs="Inter" w:eastAsia="Inter" w:hAnsi="Inter"/>
          <w:color w:val="18181F"/>
          <w:sz w:val="21"/>
          <w:szCs w:val="21"/>
        </w:rPr>
        <w:t xml:space="preserve"/>
      </w:r>
    </w:p>
    <w:p>
      <w:pPr>
        <w:spacing w:after="140" w:before="400"/>
      </w:pPr>
      <w:r>
        <w:rPr>
          <w:rFonts w:ascii="Inter" w:cs="Inter" w:eastAsia="Inter" w:hAnsi="Inter"/>
          <w:b/>
          <w:bCs/>
          <w:color w:val="2A2AF0"/>
          <w:sz w:val="27"/>
          <w:szCs w:val="27"/>
        </w:rPr>
        <w:t xml:space="preserve">08</w:t>
      </w:r>
      <w:r>
        <w:rPr>
          <w:rFonts w:ascii="Inter" w:cs="Inter" w:eastAsia="Inter" w:hAnsi="Inter"/>
          <w:b/>
          <w:bCs/>
          <w:color w:val="18181F"/>
          <w:sz w:val="27"/>
          <w:szCs w:val="27"/>
        </w:rPr>
        <w:t xml:space="preserve">   INCUMPLIMIENTO Y SUSPENSIÓN DEL SERVICIO</w:t>
      </w:r>
    </w:p>
    <w:p>
      <w:pPr>
        <w:pStyle w:val="ListParagraph"/>
        <w:numPr>
          <w:ilvl w:val="0"/>
          <w:numId w:val="2"/>
        </w:numPr>
        <w:spacing w:after="140"/>
      </w:pPr>
      <w:r>
        <w:rPr>
          <w:rFonts w:ascii="Inter" w:cs="Inter" w:eastAsia="Inter" w:hAnsi="Inter"/>
          <w:color w:val="18181F"/>
          <w:sz w:val="21"/>
          <w:szCs w:val="21"/>
        </w:rPr>
        <w:t xml:space="preserve">En caso de que cualquiera de las partes incumpla los términos del presente acuerdo, la parte afectada podrá suspender de forma inmediata la ejecución del servicio.</w:t>
      </w:r>
    </w:p>
    <w:p>
      <w:pPr>
        <w:pStyle w:val="ListParagraph"/>
        <w:numPr>
          <w:ilvl w:val="0"/>
          <w:numId w:val="2"/>
        </w:numPr>
        <w:spacing w:after="140"/>
      </w:pPr>
      <w:r>
        <w:rPr>
          <w:rFonts w:ascii="Inter" w:cs="Inter" w:eastAsia="Inter" w:hAnsi="Inter"/>
          <w:color w:val="18181F"/>
          <w:sz w:val="21"/>
          <w:szCs w:val="21"/>
        </w:rPr>
        <w:t xml:space="preserve">La suspensión no exime a las partes de liquidar los trabajos, servicios o pagos ya ejecutados o comprometidos hasta la fecha.</w:t>
      </w:r>
    </w:p>
    <w:p>
      <w:pPr>
        <w:pBdr>
          <w:bottom w:val="single" w:color="DCDCE6" w:sz="4"/>
        </w:pBdr>
        <w:spacing w:after="280" w:before="40"/>
      </w:pPr>
      <w:r>
        <w:rPr>
          <w:rFonts w:ascii="Inter" w:cs="Inter" w:eastAsia="Inter" w:hAnsi="Inter"/>
          <w:color w:val="18181F"/>
          <w:sz w:val="21"/>
          <w:szCs w:val="21"/>
        </w:rPr>
        <w:t xml:space="preserve"/>
      </w:r>
    </w:p>
    <w:p>
      <w:pPr>
        <w:spacing w:after="140" w:before="400"/>
      </w:pPr>
      <w:r>
        <w:rPr>
          <w:rFonts w:ascii="Inter" w:cs="Inter" w:eastAsia="Inter" w:hAnsi="Inter"/>
          <w:b/>
          <w:bCs/>
          <w:color w:val="2A2AF0"/>
          <w:sz w:val="27"/>
          <w:szCs w:val="27"/>
        </w:rPr>
        <w:t xml:space="preserve">09</w:t>
      </w:r>
      <w:r>
        <w:rPr>
          <w:rFonts w:ascii="Inter" w:cs="Inter" w:eastAsia="Inter" w:hAnsi="Inter"/>
          <w:b/>
          <w:bCs/>
          <w:color w:val="18181F"/>
          <w:sz w:val="27"/>
          <w:szCs w:val="27"/>
        </w:rPr>
        <w:t xml:space="preserve">   RESPONSABILIDAD</w:t>
      </w:r>
    </w:p>
    <w:p>
      <w:pPr>
        <w:spacing w:after="160"/>
      </w:pPr>
      <w:r>
        <w:rPr>
          <w:rFonts w:ascii="Inter" w:cs="Inter" w:eastAsia="Inter" w:hAnsi="Inter"/>
          <w:color w:val="18181F"/>
          <w:sz w:val="21"/>
          <w:szCs w:val="21"/>
        </w:rPr>
        <w:t xml:space="preserve">La PRODUCTORA no será responsable por retrasos o incumplimientos derivados de causas técnicas, climáticas, de fuerza mayor o ajenas a su control razonable.</w:t>
      </w:r>
    </w:p>
    <w:p>
      <w:pPr>
        <w:pBdr>
          <w:bottom w:val="single" w:color="DCDCE6" w:sz="4"/>
        </w:pBdr>
        <w:spacing w:after="280" w:before="40"/>
      </w:pPr>
      <w:r>
        <w:rPr>
          <w:rFonts w:ascii="Inter" w:cs="Inter" w:eastAsia="Inter" w:hAnsi="Inter"/>
          <w:color w:val="18181F"/>
          <w:sz w:val="21"/>
          <w:szCs w:val="21"/>
        </w:rPr>
        <w:t xml:space="preserve"/>
      </w:r>
    </w:p>
    <w:p>
      <w:pPr>
        <w:spacing w:after="140" w:before="400"/>
      </w:pPr>
      <w:r>
        <w:rPr>
          <w:rFonts w:ascii="Inter" w:cs="Inter" w:eastAsia="Inter" w:hAnsi="Inter"/>
          <w:b/>
          <w:bCs/>
          <w:color w:val="2A2AF0"/>
          <w:sz w:val="27"/>
          <w:szCs w:val="27"/>
        </w:rPr>
        <w:t xml:space="preserve">10</w:t>
      </w:r>
      <w:r>
        <w:rPr>
          <w:rFonts w:ascii="Inter" w:cs="Inter" w:eastAsia="Inter" w:hAnsi="Inter"/>
          <w:b/>
          <w:bCs/>
          <w:color w:val="18181F"/>
          <w:sz w:val="27"/>
          <w:szCs w:val="27"/>
        </w:rPr>
        <w:t xml:space="preserve">   LEY APLICABLE</w:t>
      </w:r>
    </w:p>
    <w:p>
      <w:pPr>
        <w:spacing w:after="160"/>
      </w:pPr>
      <w:r>
        <w:rPr>
          <w:rFonts w:ascii="Inter" w:cs="Inter" w:eastAsia="Inter" w:hAnsi="Inter"/>
          <w:color w:val="18181F"/>
          <w:sz w:val="21"/>
          <w:szCs w:val="21"/>
        </w:rPr>
        <w:t xml:space="preserve">El presente acuerdo se regirá e interpretará conforme a las leyes del Estado de Florida, Estados Unidos.</w:t>
      </w:r>
    </w:p>
    <w:p>
      <w:pPr>
        <w:pBdr>
          <w:bottom w:val="single" w:color="DCDCE6" w:sz="4"/>
        </w:pBdr>
        <w:spacing w:after="280" w:before="40"/>
      </w:pPr>
      <w:r>
        <w:rPr>
          <w:rFonts w:ascii="Inter" w:cs="Inter" w:eastAsia="Inter" w:hAnsi="Inter"/>
          <w:color w:val="18181F"/>
          <w:sz w:val="21"/>
          <w:szCs w:val="21"/>
        </w:rPr>
        <w:t xml:space="preserve"/>
      </w:r>
    </w:p>
    <w:p>
      <w:pPr>
        <w:spacing w:after="140" w:before="400"/>
      </w:pPr>
      <w:r>
        <w:rPr>
          <w:rFonts w:ascii="Inter" w:cs="Inter" w:eastAsia="Inter" w:hAnsi="Inter"/>
          <w:b/>
          <w:bCs/>
          <w:color w:val="2A2AF0"/>
          <w:sz w:val="27"/>
          <w:szCs w:val="27"/>
        </w:rPr>
        <w:t xml:space="preserve">11</w:t>
      </w:r>
      <w:r>
        <w:rPr>
          <w:rFonts w:ascii="Inter" w:cs="Inter" w:eastAsia="Inter" w:hAnsi="Inter"/>
          <w:b/>
          <w:bCs/>
          <w:color w:val="18181F"/>
          <w:sz w:val="27"/>
          <w:szCs w:val="27"/>
        </w:rPr>
        <w:t xml:space="preserve">   ACEPTACIÓN</w:t>
      </w:r>
    </w:p>
    <w:p>
      <w:pPr>
        <w:spacing w:after="160"/>
      </w:pPr>
      <w:r>
        <w:rPr>
          <w:rFonts w:ascii="Inter" w:cs="Inter" w:eastAsia="Inter" w:hAnsi="Inter"/>
          <w:color w:val="18181F"/>
          <w:sz w:val="21"/>
          <w:szCs w:val="21"/>
        </w:rPr>
        <w:t xml:space="preserve">La aceptación del presente acuerdo podrá realizarse mediante firma física, firma digital o confirmación escrita vía correo electrónico o mensajería, teniendo plena validez legal.</w:t>
      </w:r>
    </w:p>
    <w:p>
      <w:pPr>
        <w:spacing w:after="200"/>
      </w:pPr>
      <w:r>
        <w:rPr>
          <w:rFonts w:ascii="Inter" w:cs="Inter" w:eastAsia="Inter" w:hAnsi="Inter"/>
          <w:color w:val="18181F"/>
          <w:sz w:val="21"/>
          <w:szCs w:val="21"/>
        </w:rPr>
        <w:t xml:space="preserve"/>
      </w:r>
    </w:p>
    <w:p>
      <w:pPr>
        <w:spacing w:after="60" w:before="0"/>
      </w:pPr>
      <w:r>
        <w:rPr>
          <w:rFonts w:ascii="Inter" w:cs="Inter" w:eastAsia="Inter" w:hAnsi="Inter"/>
          <w:b/>
          <w:bCs/>
          <w:color w:val="18181F"/>
          <w:sz w:val="21"/>
          <w:szCs w:val="21"/>
        </w:rPr>
        <w:t xml:space="preserve">Presidente/Dueño de [NOMBRE DEL CLIENTE]:</w:t>
      </w:r>
    </w:p>
    <w:p>
      <w:pPr>
        <w:spacing w:after="300"/>
      </w:pPr>
      <w:r>
        <w:rPr>
          <w:rFonts w:ascii="Inter" w:cs="Inter" w:eastAsia="Inter" w:hAnsi="Inter"/>
          <w:color w:val="18181F"/>
          <w:sz w:val="21"/>
          <w:szCs w:val="21"/>
        </w:rPr>
        <w:t xml:space="preserve">Firma: ______________________________</w:t>
      </w:r>
    </w:p>
    <w:p>
      <w:pPr>
        <w:spacing w:after="60"/>
      </w:pPr>
      <w:r>
        <w:rPr>
          <w:rFonts w:ascii="Inter" w:cs="Inter" w:eastAsia="Inter" w:hAnsi="Inter"/>
          <w:b/>
          <w:bCs/>
          <w:color w:val="18181F"/>
          <w:sz w:val="21"/>
          <w:szCs w:val="21"/>
        </w:rPr>
        <w:t xml:space="preserve">POR LA PRODUCTORA:</w:t>
      </w:r>
    </w:p>
    <w:p>
      <w:pPr>
        <w:spacing w:after="160"/>
      </w:pPr>
      <w:r>
        <w:rPr>
          <w:rFonts w:ascii="Inter" w:cs="Inter" w:eastAsia="Inter" w:hAnsi="Inter"/>
          <w:color w:val="18181F"/>
          <w:sz w:val="21"/>
          <w:szCs w:val="21"/>
        </w:rPr>
        <w:t xml:space="preserve">Juan Morón – Director</w:t>
      </w:r>
    </w:p>
    <w:p>
      <w:r>
        <w:rPr>
          <w:rFonts w:ascii="Inter" w:cs="Inter" w:eastAsia="Inter" w:hAnsi="Inter"/>
          <w:i/>
          <w:iCs/>
          <w:color w:val="6E6E7C"/>
          <w:sz w:val="21"/>
          <w:szCs w:val="21"/>
        </w:rPr>
        <w:t xml:space="preserve">La Nostra Production</w:t>
      </w:r>
    </w:p>
    <w:p>
      <w:pPr>
        <w:spacing w:before="200"/>
      </w:pPr>
      <w:r>
        <w:rPr>
          <w:rFonts w:ascii="Inter" w:cs="Inter" w:eastAsia="Inter" w:hAnsi="Inter"/>
          <w:color w:val="18181F"/>
          <w:sz w:val="21"/>
          <w:szCs w:val="21"/>
        </w:rPr>
        <w:t xml:space="preserve">Fecha: ______________</w:t>
      </w:r>
    </w:p>
    <w:p>
      <w:pPr>
        <w:sectPr>
          <w:headerReference w:type="default" r:id="rId7"/>
          <w:pgSz w:w="12240" w:h="15840" w:orient="portrait"/>
          <w:pgMar w:top="1260" w:right="1080" w:bottom="1080" w:left="1080" w:header="620" w:footer="620" w:gutter="0"/>
          <w:pgNumType/>
          <w:docGrid w:linePitch="360"/>
        </w:sectPr>
      </w:pPr>
    </w:p>
    <w:p>
      <w:pPr>
        <w:spacing w:after="160"/>
      </w:pPr>
      <w:r>
        <w:rPr>
          <w:rFonts w:ascii="Inter" w:cs="Inter" w:eastAsia="Inter" w:hAnsi="Inter"/>
          <w:b/>
          <w:bCs/>
          <w:color w:val="6E6E7C"/>
          <w:sz w:val="15"/>
          <w:szCs w:val="15"/>
        </w:rPr>
        <w:t xml:space="preserve">LA NOSTRA PRODUCTION</w:t>
      </w:r>
    </w:p>
    <w:p>
      <w:pPr>
        <w:spacing w:after="60" w:before="40"/>
      </w:pPr>
      <w:r>
        <w:rPr>
          <w:rFonts w:ascii="Inter" w:cs="Inter" w:eastAsia="Inter" w:hAnsi="Inter"/>
          <w:b/>
          <w:bCs/>
          <w:color w:val="18181F"/>
          <w:sz w:val="52"/>
          <w:szCs w:val="52"/>
        </w:rPr>
        <w:t xml:space="preserve">ANEXO A —</w:t>
      </w:r>
    </w:p>
    <w:p>
      <w:pPr>
        <w:pBdr>
          <w:bottom w:val="single" w:color="2A2AF0" w:sz="16"/>
        </w:pBdr>
        <w:spacing w:after="260" w:before="0"/>
      </w:pPr>
      <w:r>
        <w:rPr>
          <w:rFonts w:ascii="Inter" w:cs="Inter" w:eastAsia="Inter" w:hAnsi="Inter"/>
          <w:b/>
          <w:bCs/>
          <w:color w:val="2A2AF0"/>
          <w:sz w:val="52"/>
          <w:szCs w:val="52"/>
        </w:rPr>
        <w:t xml:space="preserve">PAQUETE DE CONTENIDO</w:t>
      </w:r>
    </w:p>
    <w:p>
      <w:pPr>
        <w:spacing w:after="160"/>
      </w:pPr>
      <w:r>
        <w:rPr>
          <w:rFonts w:ascii="Inter" w:cs="Inter" w:eastAsia="Inter" w:hAnsi="Inter"/>
          <w:color w:val="18181F"/>
          <w:sz w:val="21"/>
          <w:szCs w:val="21"/>
        </w:rPr>
        <w:t xml:space="preserve">Este Anexo A forma parte integral del Acuerdo Marco de Colaboración Audiovisual suscrito entre la PRODUCTORA y el CLIENTE, y se rige por los términos y condiciones allí establecidos.</w:t>
      </w:r>
    </w:p>
    <w:p>
      <w:pPr>
        <w:spacing w:after="200"/>
      </w:pPr>
      <w:r>
        <w:rPr>
          <w:rFonts w:ascii="Inter" w:cs="Inter" w:eastAsia="Inter" w:hAnsi="Inter"/>
          <w:color w:val="18181F"/>
          <w:sz w:val="21"/>
          <w:szCs w:val="21"/>
        </w:rPr>
        <w:t xml:space="preserve"/>
      </w:r>
    </w:p>
    <w:p>
      <w:pPr>
        <w:spacing w:after="120" w:before="260"/>
      </w:pPr>
      <w:r>
        <w:rPr>
          <w:rFonts w:ascii="Inter" w:cs="Inter" w:eastAsia="Inter" w:hAnsi="Inter"/>
          <w:b/>
          <w:bCs/>
          <w:color w:val="18181F"/>
          <w:sz w:val="23"/>
          <w:szCs w:val="23"/>
        </w:rPr>
        <w:t xml:space="preserve">PAQUETE MENSUAL ESTÁNDAR</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shd w:fill="E9E9FF" w:val="clear"/>
            <w:tcMar>
              <w:top w:type="dxa" w:w="220"/>
              <w:left w:type="dxa" w:w="300"/>
              <w:bottom w:type="dxa" w:w="220"/>
              <w:right w:type="dxa" w:w="300"/>
            </w:tcMar>
          </w:tcPr>
          <w:p>
            <w:pPr>
              <w:spacing w:after="100"/>
            </w:pPr>
            <w:r>
              <w:rPr>
                <w:rFonts w:ascii="Inter" w:cs="Inter" w:eastAsia="Inter" w:hAnsi="Inter"/>
                <w:b/>
                <w:bCs/>
                <w:color w:val="6E6E7C"/>
                <w:sz w:val="15"/>
                <w:szCs w:val="15"/>
              </w:rPr>
              <w:t xml:space="preserve">INCLUYE</w:t>
            </w:r>
          </w:p>
          <w:p>
            <w:pPr>
              <w:spacing w:after="60"/>
            </w:pPr>
            <w:r>
              <w:rPr>
                <w:rFonts w:ascii="Inter" w:cs="Inter" w:eastAsia="Inter" w:hAnsi="Inter"/>
                <w:b/>
                <w:bCs/>
                <w:color w:val="18181F"/>
                <w:sz w:val="24"/>
                <w:szCs w:val="24"/>
              </w:rPr>
              <w:t xml:space="preserve">12 reels editados por mes</w:t>
            </w:r>
          </w:p>
          <w:p>
            <w:pPr>
              <w:spacing w:after="220"/>
            </w:pPr>
            <w:r>
              <w:rPr>
                <w:rFonts w:ascii="Inter" w:cs="Inter" w:eastAsia="Inter" w:hAnsi="Inter"/>
                <w:b/>
                <w:bCs/>
                <w:color w:val="18181F"/>
                <w:sz w:val="24"/>
                <w:szCs w:val="24"/>
              </w:rPr>
              <w:t xml:space="preserve">20 fotografías editadas por mes</w:t>
            </w:r>
          </w:p>
          <w:p>
            <w:pPr>
              <w:pBdr>
                <w:top w:val="single" w:color="C7C7FA" w:sz="4"/>
              </w:pBdr>
              <w:spacing w:after="220" w:before="100"/>
            </w:pPr>
            <w:r>
              <w:rPr>
                <w:rFonts w:ascii="Inter" w:cs="Inter" w:eastAsia="Inter" w:hAnsi="Inter"/>
                <w:color w:val="18181F"/>
                <w:sz w:val="21"/>
                <w:szCs w:val="21"/>
              </w:rPr>
              <w:t xml:space="preserve"/>
            </w:r>
          </w:p>
          <w:p>
            <w:pPr>
              <w:spacing w:after="40"/>
            </w:pPr>
            <w:r>
              <w:rPr>
                <w:rFonts w:ascii="Inter" w:cs="Inter" w:eastAsia="Inter" w:hAnsi="Inter"/>
                <w:b/>
                <w:bCs/>
                <w:color w:val="6E6E7C"/>
                <w:sz w:val="15"/>
                <w:szCs w:val="15"/>
              </w:rPr>
              <w:t xml:space="preserve">PRECIO</w:t>
            </w:r>
          </w:p>
          <w:p>
            <w:pPr>
              <w:spacing w:after="0"/>
            </w:pPr>
            <w:r>
              <w:rPr>
                <w:rFonts w:ascii="Inter" w:cs="Inter" w:eastAsia="Inter" w:hAnsi="Inter"/>
                <w:b/>
                <w:bCs/>
                <w:color w:val="2A2AF0"/>
                <w:sz w:val="36"/>
                <w:szCs w:val="36"/>
              </w:rPr>
              <w:t xml:space="preserve">USD $1,500.00</w:t>
            </w:r>
            <w:r>
              <w:rPr>
                <w:rFonts w:ascii="Inter" w:cs="Inter" w:eastAsia="Inter" w:hAnsi="Inter"/>
                <w:color w:val="6E6E7C"/>
                <w:sz w:val="18"/>
                <w:szCs w:val="18"/>
              </w:rPr>
              <w:t xml:space="preserve">  / mes  ·  pago único (Sección 3)</w:t>
            </w:r>
          </w:p>
        </w:tc>
      </w:tr>
    </w:tbl>
    <w:p>
      <w:pPr>
        <w:spacing w:after="320"/>
      </w:pPr>
      <w:r>
        <w:rPr>
          <w:rFonts w:ascii="Inter" w:cs="Inter" w:eastAsia="Inter" w:hAnsi="Inter"/>
          <w:color w:val="18181F"/>
          <w:sz w:val="21"/>
          <w:szCs w:val="21"/>
        </w:rPr>
        <w:t xml:space="preserve"/>
      </w:r>
    </w:p>
    <w:p>
      <w:pPr>
        <w:spacing w:after="120" w:before="260"/>
      </w:pPr>
      <w:r>
        <w:rPr>
          <w:rFonts w:ascii="Inter" w:cs="Inter" w:eastAsia="Inter" w:hAnsi="Inter"/>
          <w:b/>
          <w:bCs/>
          <w:color w:val="18181F"/>
          <w:sz w:val="23"/>
          <w:szCs w:val="23"/>
        </w:rPr>
        <w:t xml:space="preserve">CONDICIONES ESPECÍFICAS DEL PAQUETE</w:t>
      </w:r>
    </w:p>
    <w:p>
      <w:pPr>
        <w:pStyle w:val="ListParagraph"/>
        <w:numPr>
          <w:ilvl w:val="0"/>
          <w:numId w:val="2"/>
        </w:numPr>
        <w:spacing w:after="140"/>
      </w:pPr>
      <w:r>
        <w:rPr>
          <w:rFonts w:ascii="Inter" w:cs="Inter" w:eastAsia="Inter" w:hAnsi="Inter"/>
          <w:b/>
          <w:bCs/>
          <w:color w:val="18181F"/>
          <w:sz w:val="21"/>
          <w:szCs w:val="21"/>
        </w:rPr>
        <w:t xml:space="preserve">Contenido no utilizado: </w:t>
      </w:r>
      <w:r>
        <w:rPr>
          <w:rFonts w:ascii="Inter" w:cs="Inter" w:eastAsia="Inter" w:hAnsi="Inter"/>
          <w:color w:val="18181F"/>
          <w:sz w:val="21"/>
          <w:szCs w:val="21"/>
        </w:rPr>
        <w:t xml:space="preserve">Las piezas (reels o fotografías) no utilizadas dentro del mes correspondiente no serán acumulables ni transferibles a meses posteriores.</w:t>
      </w:r>
    </w:p>
    <w:sectPr>
      <w:headerReference w:type="default" r:id="rId8"/>
      <w:pgSz w:w="12240" w:h="15840" w:orient="portrait"/>
      <w:pgMar w:top="1260" w:right="1080" w:bottom="1080" w:left="1080" w:header="620" w:footer="6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rPr>
        <w:rFonts w:ascii="Inter" w:cs="Inter" w:eastAsia="Inter" w:hAnsi="Inter"/>
        <w:b/>
        <w:bCs/>
        <w:color w:val="6E6E7C"/>
        <w:sz w:val="15"/>
        <w:szCs w:val="15"/>
      </w:rPr>
      <w:t xml:space="preserve">LA NOSTRA PRODUCTION</w:t>
      <w:ptab w:alignment="right" w:relativeTo="margin" w:leader="none"/>
      <w:t xml:space="preserve">ACUERDO MARCO — CONTRATO DE SERVICIOS</w:t>
    </w:r>
  </w:p>
  <w:p>
    <w:pPr>
      <w:pBdr>
        <w:bottom w:val="single" w:color="DCDCE6" w:sz="4"/>
      </w:pBdr>
      <w:spacing w:after="0" w:before="80"/>
    </w:pPr>
    <w:r>
      <w:rPr>
        <w:rFonts w:ascii="Inter" w:cs="Inter" w:eastAsia="Inter" w:hAnsi="Inter"/>
        <w:color w:val="18181F"/>
        <w:sz w:val="21"/>
        <w:szCs w:val="21"/>
      </w:rPr>
      <w:t xml:space="preserv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rPr>
        <w:rFonts w:ascii="Inter" w:cs="Inter" w:eastAsia="Inter" w:hAnsi="Inter"/>
        <w:b/>
        <w:bCs/>
        <w:color w:val="6E6E7C"/>
        <w:sz w:val="15"/>
        <w:szCs w:val="15"/>
      </w:rPr>
      <w:t xml:space="preserve">LA NOSTRA PRODUCTION</w:t>
      <w:ptab w:alignment="right" w:relativeTo="margin" w:leader="none"/>
      <w:t xml:space="preserve">ANEXO A — DESCRIPCIÓN DEL PAQUETE</w:t>
    </w:r>
  </w:p>
  <w:p>
    <w:pPr>
      <w:pBdr>
        <w:bottom w:val="single" w:color="DCDCE6" w:sz="4"/>
      </w:pBdr>
      <w:spacing w:after="0" w:before="80"/>
    </w:pPr>
    <w:r>
      <w:rPr>
        <w:rFonts w:ascii="Inter" w:cs="Inter" w:eastAsia="Inter" w:hAnsi="Inter"/>
        <w:color w:val="18181F"/>
        <w:sz w:val="21"/>
        <w:szCs w:val="21"/>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Inter" w:cs="Inter" w:eastAsia="Inter" w:hAnsi="Inter"/>
        <w:color w:val="2A2AF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2026-07-22T22:55:22.580Z</dcterms:created>
  <dcterms:modified xsi:type="dcterms:W3CDTF">2026-07-22T22:55:22.580Z</dcterms:modified>
</cp:coreProperties>
</file>

<file path=docProps/custom.xml><?xml version="1.0" encoding="utf-8"?>
<Properties xmlns="http://schemas.openxmlformats.org/officeDocument/2006/custom-properties" xmlns:vt="http://schemas.openxmlformats.org/officeDocument/2006/docPropsVTypes"/>
</file>