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7DFFE" w14:textId="77777777" w:rsidR="00806682" w:rsidRDefault="00000000">
      <w:pPr>
        <w:spacing w:after="200"/>
        <w:jc w:val="center"/>
      </w:pPr>
      <w:r>
        <w:rPr>
          <w:sz w:val="48"/>
          <w:szCs w:val="48"/>
        </w:rPr>
        <w:t>Estado del Arte en Ingeniería de Datos: Pipelines,</w:t>
      </w:r>
    </w:p>
    <w:p w14:paraId="6BD8E1B9" w14:textId="77777777" w:rsidR="00806682" w:rsidRDefault="00000000">
      <w:pPr>
        <w:spacing w:after="300"/>
        <w:jc w:val="center"/>
      </w:pPr>
      <w:r>
        <w:rPr>
          <w:sz w:val="48"/>
          <w:szCs w:val="48"/>
        </w:rPr>
        <w:t>Orquestación, Calidad y Tendencias Emergentes</w:t>
      </w:r>
    </w:p>
    <w:p w14:paraId="7A5856DC" w14:textId="453FC3E3" w:rsidR="00806682" w:rsidRDefault="009F14B5">
      <w:pPr>
        <w:spacing w:after="100"/>
        <w:jc w:val="center"/>
      </w:pPr>
      <w:r>
        <w:rPr>
          <w:sz w:val="22"/>
          <w:szCs w:val="22"/>
        </w:rPr>
        <w:t>Juan David Vargas Mejía</w:t>
      </w:r>
    </w:p>
    <w:p w14:paraId="2A09426A" w14:textId="77777777" w:rsidR="00806682" w:rsidRDefault="00000000">
      <w:pPr>
        <w:spacing w:after="60"/>
        <w:jc w:val="center"/>
      </w:pPr>
      <w:r>
        <w:rPr>
          <w:i/>
          <w:iCs/>
        </w:rPr>
        <w:t>Dirección General de Tecnologías de la Información y Telecomunicaciones (DGTITD)</w:t>
      </w:r>
    </w:p>
    <w:p w14:paraId="4045A62A" w14:textId="3B3FDEE4" w:rsidR="00806682" w:rsidRDefault="009F14B5">
      <w:pPr>
        <w:spacing w:after="60"/>
        <w:jc w:val="center"/>
      </w:pPr>
      <w:r>
        <w:rPr>
          <w:i/>
          <w:iCs/>
        </w:rPr>
        <w:t>Loja, Ecuador</w:t>
      </w:r>
    </w:p>
    <w:p w14:paraId="022E1560" w14:textId="77777777" w:rsidR="00806682" w:rsidRDefault="00000000">
      <w:pPr>
        <w:spacing w:before="100" w:line="220" w:lineRule="auto"/>
        <w:jc w:val="both"/>
      </w:pPr>
      <w:proofErr w:type="spellStart"/>
      <w:r>
        <w:rPr>
          <w:b/>
          <w:bCs/>
          <w:i/>
          <w:iCs/>
          <w:sz w:val="18"/>
          <w:szCs w:val="18"/>
        </w:rPr>
        <w:t>Abstract</w:t>
      </w:r>
      <w:proofErr w:type="spellEnd"/>
      <w:r>
        <w:rPr>
          <w:sz w:val="18"/>
          <w:szCs w:val="18"/>
        </w:rPr>
        <w:t xml:space="preserve">— La ingeniería de datos ha transitado de ser una disciplina secundaria a convertirse en un eje estratégico para la toma de decisiones organizacionales. Este documento recoge una revisión del estado actual del campo, abarcando desde los enfoques modernos de integración de datos —ETL/ELT— hasta las arquitecturas distribuidas que dominan el ecosistema productivo. Se examinan trabajos relevantes de los últimos tres años en orquestación de flujos, calidad de datos, gobierno y herramientas tecnológicas predominantes. Paralelamente, se identifican tendencias que marcarán el desarrollo del área: Data Mesh, arquitecturas </w:t>
      </w:r>
      <w:proofErr w:type="spellStart"/>
      <w:r>
        <w:rPr>
          <w:sz w:val="18"/>
          <w:szCs w:val="18"/>
        </w:rPr>
        <w:t>lakehouse</w:t>
      </w:r>
      <w:proofErr w:type="spellEnd"/>
      <w:r>
        <w:rPr>
          <w:sz w:val="18"/>
          <w:szCs w:val="18"/>
        </w:rPr>
        <w:t xml:space="preserve">, procesamiento en </w:t>
      </w:r>
      <w:proofErr w:type="spellStart"/>
      <w:r>
        <w:rPr>
          <w:sz w:val="18"/>
          <w:szCs w:val="18"/>
        </w:rPr>
        <w:t>streaming</w:t>
      </w:r>
      <w:proofErr w:type="spellEnd"/>
      <w:r>
        <w:rPr>
          <w:sz w:val="18"/>
          <w:szCs w:val="18"/>
        </w:rPr>
        <w:t xml:space="preserve"> con Apache Kafka y la convergencia entre ingeniería de datos y prácticas </w:t>
      </w:r>
      <w:proofErr w:type="spellStart"/>
      <w:r>
        <w:rPr>
          <w:sz w:val="18"/>
          <w:szCs w:val="18"/>
        </w:rPr>
        <w:t>MLOps</w:t>
      </w:r>
      <w:proofErr w:type="spellEnd"/>
      <w:r>
        <w:rPr>
          <w:sz w:val="18"/>
          <w:szCs w:val="18"/>
        </w:rPr>
        <w:t>.</w:t>
      </w:r>
    </w:p>
    <w:p w14:paraId="3CF6A78B" w14:textId="77777777" w:rsidR="00806682" w:rsidRDefault="00000000">
      <w:r>
        <w:rPr>
          <w:sz w:val="18"/>
          <w:szCs w:val="18"/>
        </w:rPr>
        <w:t xml:space="preserve"> </w:t>
      </w:r>
    </w:p>
    <w:p w14:paraId="5D8644A8" w14:textId="77777777" w:rsidR="00806682" w:rsidRDefault="00000000">
      <w:pPr>
        <w:spacing w:after="200" w:line="220" w:lineRule="auto"/>
        <w:jc w:val="both"/>
      </w:pPr>
      <w:r>
        <w:rPr>
          <w:b/>
          <w:bCs/>
          <w:i/>
          <w:iCs/>
          <w:sz w:val="18"/>
          <w:szCs w:val="18"/>
        </w:rPr>
        <w:t>Palabras clave</w:t>
      </w:r>
      <w:r>
        <w:rPr>
          <w:sz w:val="18"/>
          <w:szCs w:val="18"/>
        </w:rPr>
        <w:t xml:space="preserve">— ingeniería de datos, ETL/ELT, orquestación, calidad de datos, Data Mesh, </w:t>
      </w:r>
      <w:proofErr w:type="spellStart"/>
      <w:r>
        <w:rPr>
          <w:sz w:val="18"/>
          <w:szCs w:val="18"/>
        </w:rPr>
        <w:t>lakehouse</w:t>
      </w:r>
      <w:proofErr w:type="spellEnd"/>
      <w:r>
        <w:rPr>
          <w:sz w:val="18"/>
          <w:szCs w:val="18"/>
        </w:rPr>
        <w:t xml:space="preserve">, </w:t>
      </w:r>
      <w:proofErr w:type="spellStart"/>
      <w:r>
        <w:rPr>
          <w:sz w:val="18"/>
          <w:szCs w:val="18"/>
        </w:rPr>
        <w:t>MLOps</w:t>
      </w:r>
      <w:proofErr w:type="spellEnd"/>
      <w:r>
        <w:rPr>
          <w:sz w:val="18"/>
          <w:szCs w:val="18"/>
        </w:rPr>
        <w:t xml:space="preserve">, Apache Kafka, Spark, </w:t>
      </w:r>
      <w:proofErr w:type="spellStart"/>
      <w:r>
        <w:rPr>
          <w:sz w:val="18"/>
          <w:szCs w:val="18"/>
        </w:rPr>
        <w:t>Airflow</w:t>
      </w:r>
      <w:proofErr w:type="spellEnd"/>
      <w:r>
        <w:rPr>
          <w:sz w:val="18"/>
          <w:szCs w:val="18"/>
        </w:rPr>
        <w:t>.</w:t>
      </w:r>
    </w:p>
    <w:p w14:paraId="0304C49D" w14:textId="77777777" w:rsidR="00806682" w:rsidRDefault="00806682">
      <w:pPr>
        <w:sectPr w:rsidR="00806682">
          <w:type w:val="continuous"/>
          <w:pgSz w:w="12240" w:h="15840"/>
          <w:pgMar w:top="1080" w:right="1080" w:bottom="1080" w:left="1080" w:header="708" w:footer="708" w:gutter="0"/>
          <w:cols w:space="720"/>
          <w:docGrid w:linePitch="360"/>
        </w:sectPr>
      </w:pPr>
    </w:p>
    <w:p w14:paraId="68F77DDE" w14:textId="77777777" w:rsidR="00806682" w:rsidRDefault="00000000">
      <w:pPr>
        <w:spacing w:before="160" w:after="80"/>
        <w:jc w:val="center"/>
      </w:pPr>
      <w:r>
        <w:rPr>
          <w:smallCaps/>
          <w:sz w:val="22"/>
          <w:szCs w:val="22"/>
        </w:rPr>
        <w:t>I. INTRODUCCIÓN</w:t>
      </w:r>
    </w:p>
    <w:p w14:paraId="79A4AEC0" w14:textId="77777777" w:rsidR="00806682" w:rsidRDefault="00000000">
      <w:pPr>
        <w:spacing w:after="80"/>
        <w:ind w:firstLine="360"/>
        <w:jc w:val="both"/>
      </w:pPr>
      <w:r>
        <w:t>Si algo ha quedado claro en la última década es que los datos por sí solos no sirven de nada. Un sistema que acumule terabytes de información sin un pipeline que los limpie, transforme y entregue en el momento correcto es básicamente un archivo muerto. Esa realidad, que los practicantes conocían desde hace tiempo, empezó a resonar también en los directorios ejecutivos cuando las iniciativas de inteligencia artificial comenzaron a fallar no por culpa de los modelos, sino por la pésima calidad de los datos que los alimentaban [1][4].</w:t>
      </w:r>
    </w:p>
    <w:p w14:paraId="3DD0EB52" w14:textId="77777777" w:rsidR="00806682" w:rsidRDefault="00000000">
      <w:pPr>
        <w:spacing w:after="80"/>
        <w:ind w:firstLine="360"/>
        <w:jc w:val="both"/>
      </w:pPr>
      <w:r>
        <w:t xml:space="preserve">La ingeniería de datos se ocupa exactamente de eso: construir y mantener los sistemas que mueven, transforman y garantizan la disponibilidad de la información. No es glamorosa —no hay titulares sobre un pipeline de </w:t>
      </w:r>
      <w:proofErr w:type="spellStart"/>
      <w:r>
        <w:t>Prefect</w:t>
      </w:r>
      <w:proofErr w:type="spellEnd"/>
      <w:r>
        <w:t xml:space="preserve"> bien orquestado—, pero sin ella nada de lo demás funciona. La DGTITD, en su rol de articular los flujos de información institucional, enfrenta los mismos retos que cualquier organización moderna: heterogeneidad de fuentes, distintas velocidades de ingesta, ausencia de estándares comunes y presión creciente por operar en tiempo real.</w:t>
      </w:r>
    </w:p>
    <w:p w14:paraId="12E06E1A" w14:textId="77777777" w:rsidR="00806682" w:rsidRDefault="00000000">
      <w:pPr>
        <w:spacing w:after="80"/>
        <w:ind w:firstLine="360"/>
        <w:jc w:val="both"/>
      </w:pPr>
      <w:r>
        <w:t>Este documento responde tres preguntas concretas: ¿qué se está haciendo hoy en el campo a nivel global?, ¿qué herramientas y arquitecturas están siendo adoptadas?, y ¿hacia dónde se dirige todo esto en el horizonte próximo? Las respuestas buscan servir de insumo para decisiones técnicas fundamentadas dentro del equipo de la DGTITD.</w:t>
      </w:r>
    </w:p>
    <w:p w14:paraId="46EC8F98" w14:textId="77777777" w:rsidR="00806682" w:rsidRDefault="00000000">
      <w:pPr>
        <w:spacing w:before="160" w:after="80"/>
        <w:jc w:val="center"/>
      </w:pPr>
      <w:r>
        <w:rPr>
          <w:smallCaps/>
          <w:sz w:val="22"/>
          <w:szCs w:val="22"/>
        </w:rPr>
        <w:t>II. MARCO CONCEPTUAL</w:t>
      </w:r>
    </w:p>
    <w:p w14:paraId="7C4DA43D" w14:textId="77777777" w:rsidR="00806682" w:rsidRDefault="00000000">
      <w:pPr>
        <w:spacing w:after="80"/>
        <w:ind w:firstLine="360"/>
        <w:jc w:val="both"/>
      </w:pPr>
      <w:r>
        <w:t>Antes de entrar al análisis conviene alinear terminología. El término ETL —</w:t>
      </w:r>
      <w:proofErr w:type="spellStart"/>
      <w:r>
        <w:t>Extract</w:t>
      </w:r>
      <w:proofErr w:type="spellEnd"/>
      <w:r>
        <w:t xml:space="preserve">, </w:t>
      </w:r>
      <w:proofErr w:type="spellStart"/>
      <w:r>
        <w:t>Transform</w:t>
      </w:r>
      <w:proofErr w:type="spellEnd"/>
      <w:r>
        <w:t xml:space="preserve">, Load— describe el proceso clásico de mover datos desde sistemas fuente hacia un destino, aplicando transformaciones intermedias. Su variante moderna, ELT, invierte el orden: los datos se cargan primero en crudo al sistema destino y las transformaciones ocurren ahí, aprovechando el poder de cómputo del repositorio [3]. Este </w:t>
      </w:r>
      <w:r>
        <w:t>cambio no es menor: habilita mayor flexibilidad, auditabilidad y la posibilidad de reprocesamientos históricos.</w:t>
      </w:r>
    </w:p>
    <w:p w14:paraId="49A2B930" w14:textId="77777777" w:rsidR="00806682" w:rsidRDefault="00000000">
      <w:pPr>
        <w:spacing w:after="80"/>
        <w:ind w:firstLine="360"/>
        <w:jc w:val="both"/>
      </w:pPr>
      <w:r>
        <w:t>El modelado de datos sigue siendo una disciplina fundamental, aunque sus paradigmas han evolucionado. Mientras el esquema estrella y el copo de nieve permanecen vigentes en entornos analíticos convencionales, Data Vault 2.0 ha ganado tracción como modelo para entornos de alta variabilidad de fuentes, ofreciendo trazabilidad de origen y facilidad de extensión sin reescribir el modelo existente [12][17]. La calidad de datos dejó de ser un proceso puntual para convertirse en una práctica continua: validaciones embebidas en los pipelines, contratos de datos entre equipos productores y consumidores, y alertas automáticas ante desviaciones estadísticas [6].</w:t>
      </w:r>
    </w:p>
    <w:p w14:paraId="02A73830" w14:textId="77777777" w:rsidR="00806682" w:rsidRDefault="00000000">
      <w:pPr>
        <w:spacing w:after="80"/>
        <w:ind w:firstLine="360"/>
        <w:jc w:val="both"/>
      </w:pPr>
      <w:r>
        <w:t xml:space="preserve">El gobierno de datos añade la capa organizacional: quién es responsable de qué datos, cómo se documentan, cómo se controla el acceso. </w:t>
      </w:r>
      <w:proofErr w:type="spellStart"/>
      <w:r>
        <w:t>Frameworks</w:t>
      </w:r>
      <w:proofErr w:type="spellEnd"/>
      <w:r>
        <w:t xml:space="preserve"> como el de DAMA International y plataformas como Apache Atlas o </w:t>
      </w:r>
      <w:proofErr w:type="spellStart"/>
      <w:r>
        <w:t>DataHub</w:t>
      </w:r>
      <w:proofErr w:type="spellEnd"/>
      <w:r>
        <w:t xml:space="preserve"> están siendo adoptados para implementarlo en entornos distribuidos [9]. Las </w:t>
      </w:r>
      <w:proofErr w:type="spellStart"/>
      <w:r>
        <w:t>APIs</w:t>
      </w:r>
      <w:proofErr w:type="spellEnd"/>
      <w:r>
        <w:t xml:space="preserve"> son el mecanismo más común para exponer y consumir datos entre sistemas, y su diseño adecuado es parte integral de cualquier arquitectura moderna de integración.</w:t>
      </w:r>
    </w:p>
    <w:p w14:paraId="6423436E" w14:textId="77777777" w:rsidR="00806682" w:rsidRDefault="00000000">
      <w:pPr>
        <w:spacing w:before="160" w:after="80"/>
        <w:jc w:val="center"/>
      </w:pPr>
      <w:r>
        <w:rPr>
          <w:smallCaps/>
          <w:sz w:val="22"/>
          <w:szCs w:val="22"/>
        </w:rPr>
        <w:t>III. TRABAJOS RELACIONADOS</w:t>
      </w:r>
    </w:p>
    <w:p w14:paraId="37DEC36E" w14:textId="77777777" w:rsidR="00806682" w:rsidRDefault="00000000">
      <w:pPr>
        <w:spacing w:before="100" w:after="60"/>
      </w:pPr>
      <w:r>
        <w:rPr>
          <w:i/>
          <w:iCs/>
        </w:rPr>
        <w:t>A. Industria</w:t>
      </w:r>
    </w:p>
    <w:p w14:paraId="77FC3617" w14:textId="77777777" w:rsidR="00806682" w:rsidRDefault="00000000">
      <w:pPr>
        <w:spacing w:after="80"/>
        <w:ind w:firstLine="360"/>
        <w:jc w:val="both"/>
      </w:pPr>
      <w:r>
        <w:t xml:space="preserve">En el sector financiero, instituciones como JPMorgan Chase y BBVA han documentado en ponencias de IEEE y conferencias VLDB sus transiciones hacia arquitecturas </w:t>
      </w:r>
      <w:proofErr w:type="spellStart"/>
      <w:r>
        <w:t>lakehouse</w:t>
      </w:r>
      <w:proofErr w:type="spellEnd"/>
      <w:r>
        <w:t xml:space="preserve"> que les permiten unificar cargas analíticas e históricas bajo el mismo almacenamiento. La adopción de Delta Lake sobre </w:t>
      </w:r>
      <w:proofErr w:type="spellStart"/>
      <w:r>
        <w:t>Databricks</w:t>
      </w:r>
      <w:proofErr w:type="spellEnd"/>
      <w:r>
        <w:t xml:space="preserve"> ha sido la ruta más frecuente, motivada por la necesidad de ACID </w:t>
      </w:r>
      <w:proofErr w:type="spellStart"/>
      <w:r>
        <w:t>transactions</w:t>
      </w:r>
      <w:proofErr w:type="spellEnd"/>
      <w:r>
        <w:t xml:space="preserve"> en entornos distribuidos [5][8]. El sector de telecomunicaciones presenta casos interesantes de pipelines de calidad de datos a escala: AT&amp;T y Telefónica </w:t>
      </w:r>
      <w:r>
        <w:lastRenderedPageBreak/>
        <w:t xml:space="preserve">han publicado trabajos sobre detección automatizada de anomalías en </w:t>
      </w:r>
      <w:proofErr w:type="spellStart"/>
      <w:r>
        <w:t>streams</w:t>
      </w:r>
      <w:proofErr w:type="spellEnd"/>
      <w:r>
        <w:t xml:space="preserve"> usando combinaciones de Apache Flink y modelos estadísticos ligeros [2][3].</w:t>
      </w:r>
    </w:p>
    <w:p w14:paraId="21B3F61C" w14:textId="77777777" w:rsidR="00806682" w:rsidRDefault="00000000">
      <w:pPr>
        <w:spacing w:after="80"/>
        <w:ind w:firstLine="360"/>
        <w:jc w:val="both"/>
      </w:pPr>
      <w:r>
        <w:t xml:space="preserve">La industria del comercio electrónico, con Amazon y Alibaba a la cabeza, lleva años siendo referente en orquestación de </w:t>
      </w:r>
      <w:proofErr w:type="spellStart"/>
      <w:r>
        <w:t>workflows</w:t>
      </w:r>
      <w:proofErr w:type="spellEnd"/>
      <w:r>
        <w:t xml:space="preserve">. El trabajo de Li et al. [7] describe la arquitectura interna de orquestación de Alibaba, basada en un sistema propietario que comparte principios con Apache </w:t>
      </w:r>
      <w:proofErr w:type="spellStart"/>
      <w:proofErr w:type="gramStart"/>
      <w:r>
        <w:t>Airflow</w:t>
      </w:r>
      <w:proofErr w:type="spellEnd"/>
      <w:proofErr w:type="gramEnd"/>
      <w:r>
        <w:t xml:space="preserve"> pero escala a millones de tareas diarias. Estudios comparativos recientes muestran que </w:t>
      </w:r>
      <w:proofErr w:type="gramStart"/>
      <w:r>
        <w:t>startups más pequeñas</w:t>
      </w:r>
      <w:proofErr w:type="gramEnd"/>
      <w:r>
        <w:t xml:space="preserve"> tienden a adoptar </w:t>
      </w:r>
      <w:proofErr w:type="spellStart"/>
      <w:r>
        <w:t>Prefect</w:t>
      </w:r>
      <w:proofErr w:type="spellEnd"/>
      <w:r>
        <w:t xml:space="preserve"> o </w:t>
      </w:r>
      <w:proofErr w:type="spellStart"/>
      <w:r>
        <w:t>Dagster</w:t>
      </w:r>
      <w:proofErr w:type="spellEnd"/>
      <w:r>
        <w:t xml:space="preserve"> por su menor curva de aprendizaje y su modelo de ejecución más moderno [1][10].</w:t>
      </w:r>
    </w:p>
    <w:p w14:paraId="0FF55D6D" w14:textId="77777777" w:rsidR="00806682" w:rsidRDefault="00000000">
      <w:pPr>
        <w:spacing w:before="100" w:after="60"/>
      </w:pPr>
      <w:r>
        <w:rPr>
          <w:i/>
          <w:iCs/>
        </w:rPr>
        <w:t>B. Academia y universidades</w:t>
      </w:r>
    </w:p>
    <w:p w14:paraId="530DDC7D" w14:textId="77777777" w:rsidR="00806682" w:rsidRDefault="00000000">
      <w:pPr>
        <w:spacing w:after="80"/>
        <w:ind w:firstLine="360"/>
        <w:jc w:val="both"/>
      </w:pPr>
      <w:r>
        <w:t xml:space="preserve">En el ámbito académico, el MIT y Carnegie Mellon han liderado investigación sobre sistemas de gestión de datos para machine </w:t>
      </w:r>
      <w:proofErr w:type="spellStart"/>
      <w:r>
        <w:t>learning</w:t>
      </w:r>
      <w:proofErr w:type="spellEnd"/>
      <w:r>
        <w:t xml:space="preserve">, particularmente en lo referente a linaje de datos y reproducibilidad de experimentos [11]. El trabajo de Sculley et al. sobre deuda técnica en sistemas ML, aunque de 2015, sigue siendo citado masivamente porque identificó con precisión problemas que hoy se abordan con herramientas como DVC y </w:t>
      </w:r>
      <w:proofErr w:type="spellStart"/>
      <w:r>
        <w:t>lakeFS</w:t>
      </w:r>
      <w:proofErr w:type="spellEnd"/>
      <w:r>
        <w:t xml:space="preserve"> [13].</w:t>
      </w:r>
    </w:p>
    <w:p w14:paraId="55D08299" w14:textId="77777777" w:rsidR="00806682" w:rsidRDefault="00000000">
      <w:pPr>
        <w:spacing w:after="80"/>
        <w:ind w:firstLine="360"/>
        <w:jc w:val="both"/>
      </w:pPr>
      <w:r>
        <w:t>Universidades latinoamericanas también están contribuyendo al campo. La Universidad de Chile y el Tecnológico de Monterrey han publicado estudios sobre adopción de arquitecturas de datos en organizaciones públicas, encontrando que la principal barrera no es técnica sino de gobernanza y capacidades humanas [18][20]. En Europa, el proyecto GAIA-X ha impulsado investigación sobre federación de datos entre organismos públicos, produciendo arquitecturas de referencia presentadas en IEEE ICDE que hoy influyen en sistemas de intercambio de datos del sector gobierno [19].</w:t>
      </w:r>
    </w:p>
    <w:p w14:paraId="3B2F0398" w14:textId="77777777" w:rsidR="00806682" w:rsidRDefault="00000000">
      <w:pPr>
        <w:spacing w:before="160" w:after="80"/>
        <w:jc w:val="center"/>
      </w:pPr>
      <w:r>
        <w:rPr>
          <w:smallCaps/>
          <w:sz w:val="22"/>
          <w:szCs w:val="22"/>
        </w:rPr>
        <w:t>IV. HERRAMIENTAS Y TECNOLOGÍAS</w:t>
      </w:r>
    </w:p>
    <w:p w14:paraId="15A9BA29" w14:textId="77777777" w:rsidR="00806682" w:rsidRDefault="00000000">
      <w:pPr>
        <w:spacing w:after="80"/>
        <w:ind w:firstLine="360"/>
        <w:jc w:val="both"/>
      </w:pPr>
      <w:r>
        <w:t xml:space="preserve">El </w:t>
      </w:r>
      <w:proofErr w:type="spellStart"/>
      <w:r>
        <w:t>stack</w:t>
      </w:r>
      <w:proofErr w:type="spellEnd"/>
      <w:r>
        <w:t xml:space="preserve"> de ingeniería de datos en 2024 es heterogéneo. No hay una sola combinación ganadora; lo que existe es un conjunto de capas funcionales que cada organización resuelve con distintos componentes. Dicho eso, hay patrones claros de adopción.</w:t>
      </w:r>
    </w:p>
    <w:p w14:paraId="2B576580" w14:textId="77777777" w:rsidR="00806682" w:rsidRDefault="00000000">
      <w:pPr>
        <w:spacing w:before="100" w:after="60"/>
      </w:pPr>
      <w:r>
        <w:rPr>
          <w:i/>
          <w:iCs/>
        </w:rPr>
        <w:t>A. Orquestación</w:t>
      </w:r>
    </w:p>
    <w:p w14:paraId="52DDB897" w14:textId="77777777" w:rsidR="00806682" w:rsidRDefault="00000000">
      <w:pPr>
        <w:spacing w:after="80"/>
        <w:ind w:firstLine="360"/>
        <w:jc w:val="both"/>
      </w:pPr>
      <w:r>
        <w:t xml:space="preserve">Apache </w:t>
      </w:r>
      <w:proofErr w:type="spellStart"/>
      <w:r>
        <w:t>Airflow</w:t>
      </w:r>
      <w:proofErr w:type="spellEnd"/>
      <w:r>
        <w:t xml:space="preserve"> sigue siendo el estándar de facto en entornos empresariales maduros, con más de 10 millones de descargas mensuales según el repositorio </w:t>
      </w:r>
      <w:proofErr w:type="spellStart"/>
      <w:r>
        <w:t>PyPI</w:t>
      </w:r>
      <w:proofErr w:type="spellEnd"/>
      <w:r>
        <w:t xml:space="preserve">. Su modelo basado en </w:t>
      </w:r>
      <w:proofErr w:type="spellStart"/>
      <w:r>
        <w:t>DAGs</w:t>
      </w:r>
      <w:proofErr w:type="spellEnd"/>
      <w:r>
        <w:t xml:space="preserve"> (</w:t>
      </w:r>
      <w:proofErr w:type="spellStart"/>
      <w:r>
        <w:t>Directed</w:t>
      </w:r>
      <w:proofErr w:type="spellEnd"/>
      <w:r>
        <w:t xml:space="preserve"> </w:t>
      </w:r>
      <w:proofErr w:type="spellStart"/>
      <w:r>
        <w:t>Acyclic</w:t>
      </w:r>
      <w:proofErr w:type="spellEnd"/>
      <w:r>
        <w:t xml:space="preserve"> </w:t>
      </w:r>
      <w:proofErr w:type="spellStart"/>
      <w:r>
        <w:t>Graphs</w:t>
      </w:r>
      <w:proofErr w:type="spellEnd"/>
      <w:r>
        <w:t xml:space="preserve">) es bien comprendido por los equipos y cuenta con un ecosistema de operadores amplio [10]. Sin embargo, sus limitaciones en manejo de estado han abierto espacio para alternativas como </w:t>
      </w:r>
      <w:proofErr w:type="spellStart"/>
      <w:r>
        <w:t>Prefect</w:t>
      </w:r>
      <w:proofErr w:type="spellEnd"/>
      <w:r>
        <w:t xml:space="preserve"> y </w:t>
      </w:r>
      <w:proofErr w:type="spellStart"/>
      <w:r>
        <w:t>Dagster</w:t>
      </w:r>
      <w:proofErr w:type="spellEnd"/>
      <w:r>
        <w:t xml:space="preserve">, que ofrecen una experiencia de desarrollo más próxima a Python puro y mejores capacidades de </w:t>
      </w:r>
      <w:proofErr w:type="spellStart"/>
      <w:r>
        <w:t>observabilidad</w:t>
      </w:r>
      <w:proofErr w:type="spellEnd"/>
      <w:r>
        <w:t xml:space="preserve"> nativa [1][14].</w:t>
      </w:r>
    </w:p>
    <w:p w14:paraId="1EFF5193" w14:textId="77777777" w:rsidR="00806682" w:rsidRDefault="00000000">
      <w:pPr>
        <w:spacing w:before="100" w:after="60"/>
      </w:pPr>
      <w:r>
        <w:rPr>
          <w:i/>
          <w:iCs/>
        </w:rPr>
        <w:t xml:space="preserve">B. Procesamiento distribuido y </w:t>
      </w:r>
      <w:proofErr w:type="spellStart"/>
      <w:r>
        <w:rPr>
          <w:i/>
          <w:iCs/>
        </w:rPr>
        <w:t>streaming</w:t>
      </w:r>
      <w:proofErr w:type="spellEnd"/>
    </w:p>
    <w:p w14:paraId="43E92A47" w14:textId="77777777" w:rsidR="00806682" w:rsidRDefault="00000000">
      <w:pPr>
        <w:spacing w:after="80"/>
        <w:ind w:firstLine="360"/>
        <w:jc w:val="both"/>
      </w:pPr>
      <w:r>
        <w:t xml:space="preserve">Apache Spark mantiene una posición dominante para cargas </w:t>
      </w:r>
      <w:proofErr w:type="spellStart"/>
      <w:r>
        <w:t>batch</w:t>
      </w:r>
      <w:proofErr w:type="spellEnd"/>
      <w:r>
        <w:t xml:space="preserve"> de gran volumen. </w:t>
      </w:r>
      <w:proofErr w:type="spellStart"/>
      <w:r>
        <w:t>PySpark</w:t>
      </w:r>
      <w:proofErr w:type="spellEnd"/>
      <w:r>
        <w:t xml:space="preserve"> —su API en Python— se ha convertido en la interfaz más usada en </w:t>
      </w:r>
      <w:r>
        <w:t xml:space="preserve">equipos que prefieren evitar Scala. Para procesamiento en </w:t>
      </w:r>
      <w:proofErr w:type="spellStart"/>
      <w:r>
        <w:t>streaming</w:t>
      </w:r>
      <w:proofErr w:type="spellEnd"/>
      <w:r>
        <w:t xml:space="preserve">, Kafka es prácticamente ineludible: actúa como columna vertebral de transporte de eventos en tiempo real, mientras que Apache Flink maneja transformaciones sobre esos </w:t>
      </w:r>
      <w:proofErr w:type="spellStart"/>
      <w:r>
        <w:t>streams</w:t>
      </w:r>
      <w:proofErr w:type="spellEnd"/>
      <w:r>
        <w:t xml:space="preserve"> con semánticas de tiempo evento robustas [2][15]. La combinación Kafka + Flink está desplazando a Spark </w:t>
      </w:r>
      <w:proofErr w:type="spellStart"/>
      <w:r>
        <w:t>Structured</w:t>
      </w:r>
      <w:proofErr w:type="spellEnd"/>
      <w:r>
        <w:t xml:space="preserve"> </w:t>
      </w:r>
      <w:proofErr w:type="spellStart"/>
      <w:r>
        <w:t>Streaming</w:t>
      </w:r>
      <w:proofErr w:type="spellEnd"/>
      <w:r>
        <w:t xml:space="preserve"> en casos de uso donde la latencia importa por debajo del segundo.</w:t>
      </w:r>
    </w:p>
    <w:p w14:paraId="6307B045" w14:textId="77777777" w:rsidR="00806682" w:rsidRDefault="00000000">
      <w:pPr>
        <w:spacing w:before="100" w:after="60"/>
      </w:pPr>
      <w:r>
        <w:rPr>
          <w:i/>
          <w:iCs/>
        </w:rPr>
        <w:t>C. Transformaciones analíticas</w:t>
      </w:r>
    </w:p>
    <w:p w14:paraId="39023609" w14:textId="77777777" w:rsidR="00806682" w:rsidRDefault="00000000">
      <w:pPr>
        <w:spacing w:after="80"/>
        <w:ind w:firstLine="360"/>
        <w:jc w:val="both"/>
      </w:pPr>
      <w:proofErr w:type="spellStart"/>
      <w:r>
        <w:t>dbt</w:t>
      </w:r>
      <w:proofErr w:type="spellEnd"/>
      <w:r>
        <w:t xml:space="preserve"> (data </w:t>
      </w:r>
      <w:proofErr w:type="spellStart"/>
      <w:r>
        <w:t>build</w:t>
      </w:r>
      <w:proofErr w:type="spellEnd"/>
      <w:r>
        <w:t xml:space="preserve"> </w:t>
      </w:r>
      <w:proofErr w:type="spellStart"/>
      <w:r>
        <w:t>tool</w:t>
      </w:r>
      <w:proofErr w:type="spellEnd"/>
      <w:r>
        <w:t xml:space="preserve">) ha cambiado la forma en que se hacen las transformaciones analíticas. Su propuesta es simple pero poderosa: transformaciones escritas en SQL con versionado en Git, pruebas automatizadas, documentación generada y linaje visual. Esto democratizó la ingeniería analítica, permitiendo que analistas con conocimientos de SQL construyeran pipelines de transformación mantenibles sin necesidad de dominar Python [16]. Python sigue siendo el lenguaje dominante del campo, con librerías como pandas para manipulación tabular en memoria y </w:t>
      </w:r>
      <w:proofErr w:type="spellStart"/>
      <w:r>
        <w:t>polars</w:t>
      </w:r>
      <w:proofErr w:type="spellEnd"/>
      <w:r>
        <w:t xml:space="preserve"> —escrita en Rust— que está ganando terreno rápidamente por su rendimiento superior [11][13].</w:t>
      </w:r>
    </w:p>
    <w:p w14:paraId="24DFD17C" w14:textId="77777777" w:rsidR="00806682" w:rsidRDefault="00000000">
      <w:pPr>
        <w:spacing w:before="160" w:after="80"/>
        <w:jc w:val="center"/>
      </w:pPr>
      <w:r>
        <w:rPr>
          <w:smallCaps/>
          <w:sz w:val="22"/>
          <w:szCs w:val="22"/>
        </w:rPr>
        <w:t>V. TENDENCIAS Y FUTURO DEL CAMPO</w:t>
      </w:r>
    </w:p>
    <w:p w14:paraId="39745033" w14:textId="77777777" w:rsidR="00806682" w:rsidRDefault="00000000">
      <w:pPr>
        <w:spacing w:before="100" w:after="60"/>
      </w:pPr>
      <w:r>
        <w:rPr>
          <w:i/>
          <w:iCs/>
        </w:rPr>
        <w:t>A. Data Mesh</w:t>
      </w:r>
    </w:p>
    <w:p w14:paraId="3E357950" w14:textId="77777777" w:rsidR="00806682" w:rsidRDefault="00000000">
      <w:pPr>
        <w:spacing w:after="80"/>
        <w:ind w:firstLine="360"/>
        <w:jc w:val="both"/>
      </w:pPr>
      <w:r>
        <w:t>Propuesto por Zhamak Dehghani y madurado desde entonces, Data Mesh es quizás la idea arquitectónica más discutida en el campo. En lugar de un equipo centralizado que gestione todos los datos de la organización, propone que cada dominio de negocio sea responsable de sus propios productos de datos, publicándolos con estándares comunes que los hagan consumibles por otros dominios [17]. En 2024, empresas como Netflix, Intuit y JPMorgan han reportado implementaciones parciales o totales de este modelo. La tensión real está en la gobernanza: descentralizar la propiedad sin perder control de calidad ni consistencia es técnicamente complejo y organizacionalmente más aún.</w:t>
      </w:r>
    </w:p>
    <w:p w14:paraId="247BC22A" w14:textId="77777777" w:rsidR="00806682" w:rsidRDefault="00000000">
      <w:pPr>
        <w:spacing w:before="100" w:after="60"/>
      </w:pPr>
      <w:r>
        <w:rPr>
          <w:i/>
          <w:iCs/>
        </w:rPr>
        <w:t xml:space="preserve">B. Arquitecturas </w:t>
      </w:r>
      <w:proofErr w:type="spellStart"/>
      <w:r>
        <w:rPr>
          <w:i/>
          <w:iCs/>
        </w:rPr>
        <w:t>Lakehouse</w:t>
      </w:r>
      <w:proofErr w:type="spellEnd"/>
    </w:p>
    <w:p w14:paraId="3AD47F67" w14:textId="77777777" w:rsidR="00806682" w:rsidRDefault="00000000">
      <w:pPr>
        <w:spacing w:after="80"/>
        <w:ind w:firstLine="360"/>
        <w:jc w:val="both"/>
      </w:pPr>
      <w:r>
        <w:t xml:space="preserve">La separación entre data </w:t>
      </w:r>
      <w:proofErr w:type="spellStart"/>
      <w:r>
        <w:t>lakes</w:t>
      </w:r>
      <w:proofErr w:type="spellEnd"/>
      <w:r>
        <w:t xml:space="preserve"> y data </w:t>
      </w:r>
      <w:proofErr w:type="spellStart"/>
      <w:r>
        <w:t>warehouses</w:t>
      </w:r>
      <w:proofErr w:type="spellEnd"/>
      <w:r>
        <w:t xml:space="preserve"> está siendo superada por el concepto de </w:t>
      </w:r>
      <w:proofErr w:type="spellStart"/>
      <w:r>
        <w:t>lakehouse</w:t>
      </w:r>
      <w:proofErr w:type="spellEnd"/>
      <w:r>
        <w:t>, que busca las ventajas de ambos en un solo sistema. Delta Lake (</w:t>
      </w:r>
      <w:proofErr w:type="spellStart"/>
      <w:r>
        <w:t>Databricks</w:t>
      </w:r>
      <w:proofErr w:type="spellEnd"/>
      <w:r>
        <w:t xml:space="preserve">), Apache Iceberg y Apache Hudi son los tres formatos de tabla abiertos que habilitan esta arquitectura, añadiendo capacidades ACID, time </w:t>
      </w:r>
      <w:proofErr w:type="spellStart"/>
      <w:r>
        <w:t>travel</w:t>
      </w:r>
      <w:proofErr w:type="spellEnd"/>
      <w:r>
        <w:t xml:space="preserve"> y </w:t>
      </w:r>
      <w:proofErr w:type="spellStart"/>
      <w:r>
        <w:t>schema</w:t>
      </w:r>
      <w:proofErr w:type="spellEnd"/>
      <w:r>
        <w:t xml:space="preserve"> </w:t>
      </w:r>
      <w:proofErr w:type="spellStart"/>
      <w:r>
        <w:t>evolution</w:t>
      </w:r>
      <w:proofErr w:type="spellEnd"/>
      <w:r>
        <w:t xml:space="preserve"> sobre almacenamiento en objeto [5][8]. El debate entre cuál de los tres formatos se impondrá como estándar sigue abierto, aunque Iceberg ha ganado impulso notable en 2024 con la adopción por parte de </w:t>
      </w:r>
      <w:proofErr w:type="spellStart"/>
      <w:r>
        <w:t>Snowflake</w:t>
      </w:r>
      <w:proofErr w:type="spellEnd"/>
      <w:r>
        <w:t xml:space="preserve"> y AWS.</w:t>
      </w:r>
    </w:p>
    <w:p w14:paraId="05286A76" w14:textId="77777777" w:rsidR="00806682" w:rsidRDefault="00000000">
      <w:pPr>
        <w:spacing w:before="100" w:after="60"/>
      </w:pPr>
      <w:r>
        <w:rPr>
          <w:i/>
          <w:iCs/>
        </w:rPr>
        <w:t xml:space="preserve">C. </w:t>
      </w:r>
      <w:proofErr w:type="spellStart"/>
      <w:r>
        <w:rPr>
          <w:i/>
          <w:iCs/>
        </w:rPr>
        <w:t>Observabilidad</w:t>
      </w:r>
      <w:proofErr w:type="spellEnd"/>
      <w:r>
        <w:rPr>
          <w:i/>
          <w:iCs/>
        </w:rPr>
        <w:t xml:space="preserve"> de datos</w:t>
      </w:r>
    </w:p>
    <w:p w14:paraId="7A88F4C0" w14:textId="77777777" w:rsidR="00806682" w:rsidRDefault="00000000">
      <w:pPr>
        <w:spacing w:after="80"/>
        <w:ind w:firstLine="360"/>
        <w:jc w:val="both"/>
      </w:pPr>
      <w:r>
        <w:t xml:space="preserve">La </w:t>
      </w:r>
      <w:proofErr w:type="spellStart"/>
      <w:r>
        <w:t>observabilidad</w:t>
      </w:r>
      <w:proofErr w:type="spellEnd"/>
      <w:r>
        <w:t xml:space="preserve"> llegó al mundo de los datos. Herramientas como Monte Carlo, Bigeye y la funcionalidad nativa de </w:t>
      </w:r>
      <w:proofErr w:type="spellStart"/>
      <w:r>
        <w:t>dbt</w:t>
      </w:r>
      <w:proofErr w:type="spellEnd"/>
      <w:r>
        <w:t xml:space="preserve"> permiten monitorear continuamente la salud de los datos: frescura, volumen, distribución de valores, unicidad. Esto resuelve el problema silencioso de los datos malos que nadie detecta </w:t>
      </w:r>
      <w:r>
        <w:lastRenderedPageBreak/>
        <w:t xml:space="preserve">hasta que un ejecutivo encuentra un número raro en un </w:t>
      </w:r>
      <w:proofErr w:type="spellStart"/>
      <w:r>
        <w:t>dashboard</w:t>
      </w:r>
      <w:proofErr w:type="spellEnd"/>
      <w:r>
        <w:t xml:space="preserve"> [6][14]. Es un área en expansión acelerada que probablemente se consolide como práctica estándar en equipos maduros hacia 2025–2026.</w:t>
      </w:r>
    </w:p>
    <w:p w14:paraId="73225951" w14:textId="77777777" w:rsidR="00806682" w:rsidRDefault="00000000">
      <w:pPr>
        <w:spacing w:before="100" w:after="60"/>
      </w:pPr>
      <w:r>
        <w:rPr>
          <w:i/>
          <w:iCs/>
        </w:rPr>
        <w:t xml:space="preserve">D. </w:t>
      </w:r>
      <w:proofErr w:type="spellStart"/>
      <w:r>
        <w:rPr>
          <w:i/>
          <w:iCs/>
        </w:rPr>
        <w:t>MLOps</w:t>
      </w:r>
      <w:proofErr w:type="spellEnd"/>
      <w:r>
        <w:rPr>
          <w:i/>
          <w:iCs/>
        </w:rPr>
        <w:t xml:space="preserve"> y convergencia con datos</w:t>
      </w:r>
    </w:p>
    <w:p w14:paraId="07C9641A" w14:textId="77777777" w:rsidR="00806682" w:rsidRDefault="00000000">
      <w:pPr>
        <w:spacing w:after="80"/>
        <w:ind w:firstLine="360"/>
        <w:jc w:val="both"/>
      </w:pPr>
      <w:r>
        <w:t xml:space="preserve">La frontera entre ingeniería de datos e ingeniería de machine </w:t>
      </w:r>
      <w:proofErr w:type="spellStart"/>
      <w:r>
        <w:t>learning</w:t>
      </w:r>
      <w:proofErr w:type="spellEnd"/>
      <w:r>
        <w:t xml:space="preserve"> se está borrando. </w:t>
      </w:r>
      <w:proofErr w:type="spellStart"/>
      <w:r>
        <w:t>MLOps</w:t>
      </w:r>
      <w:proofErr w:type="spellEnd"/>
      <w:r>
        <w:t xml:space="preserve"> depende críticamente de pipelines de datos bien construidos: </w:t>
      </w:r>
      <w:proofErr w:type="spellStart"/>
      <w:r>
        <w:t>feature</w:t>
      </w:r>
      <w:proofErr w:type="spellEnd"/>
      <w:r>
        <w:t xml:space="preserve"> </w:t>
      </w:r>
      <w:proofErr w:type="spellStart"/>
      <w:r>
        <w:t>stores</w:t>
      </w:r>
      <w:proofErr w:type="spellEnd"/>
      <w:r>
        <w:t xml:space="preserve">, versionado de </w:t>
      </w:r>
      <w:proofErr w:type="spellStart"/>
      <w:r>
        <w:t>datasets</w:t>
      </w:r>
      <w:proofErr w:type="spellEnd"/>
      <w:r>
        <w:t xml:space="preserve"> con DVC, linaje de experimentos con </w:t>
      </w:r>
      <w:proofErr w:type="spellStart"/>
      <w:r>
        <w:t>MLflow</w:t>
      </w:r>
      <w:proofErr w:type="spellEnd"/>
      <w:r>
        <w:t xml:space="preserve">. </w:t>
      </w:r>
      <w:proofErr w:type="spellStart"/>
      <w:r>
        <w:t>lakeFS</w:t>
      </w:r>
      <w:proofErr w:type="spellEnd"/>
      <w:r>
        <w:t xml:space="preserve"> extiende el concepto de </w:t>
      </w:r>
      <w:proofErr w:type="spellStart"/>
      <w:r>
        <w:t>branching</w:t>
      </w:r>
      <w:proofErr w:type="spellEnd"/>
      <w:r>
        <w:t xml:space="preserve"> de Git al almacenamiento de datos, permitiendo versionar </w:t>
      </w:r>
      <w:proofErr w:type="spellStart"/>
      <w:r>
        <w:t>datasets</w:t>
      </w:r>
      <w:proofErr w:type="spellEnd"/>
      <w:r>
        <w:t xml:space="preserve"> completos antes de usarlos en entrenamientos [13][21]. Para organizaciones que están comenzando a explorar IA, construir buenas prácticas de ingeniería de datos hoy es exactamente lo que habilita </w:t>
      </w:r>
      <w:proofErr w:type="spellStart"/>
      <w:r>
        <w:t>MLOps</w:t>
      </w:r>
      <w:proofErr w:type="spellEnd"/>
      <w:r>
        <w:t xml:space="preserve"> mañana.</w:t>
      </w:r>
    </w:p>
    <w:p w14:paraId="5411EDAB" w14:textId="77777777" w:rsidR="00806682" w:rsidRDefault="00000000">
      <w:pPr>
        <w:spacing w:before="100" w:after="60"/>
      </w:pPr>
      <w:r>
        <w:rPr>
          <w:i/>
          <w:iCs/>
        </w:rPr>
        <w:t xml:space="preserve">E. </w:t>
      </w:r>
      <w:proofErr w:type="spellStart"/>
      <w:r>
        <w:rPr>
          <w:i/>
          <w:iCs/>
        </w:rPr>
        <w:t>Streaming</w:t>
      </w:r>
      <w:proofErr w:type="spellEnd"/>
      <w:r>
        <w:rPr>
          <w:i/>
          <w:iCs/>
        </w:rPr>
        <w:t xml:space="preserve"> como norma</w:t>
      </w:r>
    </w:p>
    <w:p w14:paraId="4ED7AA1D" w14:textId="77777777" w:rsidR="00806682" w:rsidRDefault="00000000">
      <w:pPr>
        <w:spacing w:after="80"/>
        <w:ind w:firstLine="360"/>
        <w:jc w:val="both"/>
      </w:pPr>
      <w:r>
        <w:t xml:space="preserve">El procesamiento </w:t>
      </w:r>
      <w:proofErr w:type="spellStart"/>
      <w:r>
        <w:t>batch</w:t>
      </w:r>
      <w:proofErr w:type="spellEnd"/>
      <w:r>
        <w:t xml:space="preserve">, durante décadas el modo por defecto, está siendo complementado —en algunos casos reemplazado— por </w:t>
      </w:r>
      <w:proofErr w:type="spellStart"/>
      <w:r>
        <w:t>streaming</w:t>
      </w:r>
      <w:proofErr w:type="spellEnd"/>
      <w:r>
        <w:t xml:space="preserve">. La disponibilidad de plataformas gestionadas como Amazon </w:t>
      </w:r>
      <w:proofErr w:type="spellStart"/>
      <w:r>
        <w:t>Kinesis</w:t>
      </w:r>
      <w:proofErr w:type="spellEnd"/>
      <w:r>
        <w:t xml:space="preserve">, Google Pub/Sub y </w:t>
      </w:r>
      <w:proofErr w:type="spellStart"/>
      <w:r>
        <w:t>Confluent</w:t>
      </w:r>
      <w:proofErr w:type="spellEnd"/>
      <w:r>
        <w:t xml:space="preserve"> Cloud ha reducido la barrera de entrada. Con el surgimiento de </w:t>
      </w:r>
      <w:proofErr w:type="spellStart"/>
      <w:r>
        <w:t>ksqlDB</w:t>
      </w:r>
      <w:proofErr w:type="spellEnd"/>
      <w:r>
        <w:t xml:space="preserve">, incluso consultas analíticas sobre </w:t>
      </w:r>
      <w:proofErr w:type="spellStart"/>
      <w:r>
        <w:t>streams</w:t>
      </w:r>
      <w:proofErr w:type="spellEnd"/>
      <w:r>
        <w:t xml:space="preserve"> son accesibles para perfiles no especializados [15][22]. El reto pendiente sigue siendo la complejidad de </w:t>
      </w:r>
      <w:proofErr w:type="spellStart"/>
      <w:r>
        <w:t>debugging</w:t>
      </w:r>
      <w:proofErr w:type="spellEnd"/>
      <w:r>
        <w:t xml:space="preserve"> y la gestión de estado en aplicaciones de </w:t>
      </w:r>
      <w:proofErr w:type="spellStart"/>
      <w:r>
        <w:t>streaming</w:t>
      </w:r>
      <w:proofErr w:type="spellEnd"/>
      <w:r>
        <w:t xml:space="preserve"> complejas.</w:t>
      </w:r>
    </w:p>
    <w:p w14:paraId="3D626CBC" w14:textId="77777777" w:rsidR="00806A70" w:rsidRDefault="00806A70">
      <w:pPr>
        <w:spacing w:after="80"/>
        <w:ind w:firstLine="360"/>
        <w:jc w:val="both"/>
      </w:pPr>
    </w:p>
    <w:p w14:paraId="48E34CAC" w14:textId="45C8A357" w:rsidR="00806A70" w:rsidRDefault="00806A70">
      <w:pPr>
        <w:spacing w:before="160" w:after="80"/>
        <w:jc w:val="center"/>
        <w:rPr>
          <w:smallCaps/>
          <w:sz w:val="22"/>
          <w:szCs w:val="22"/>
        </w:rPr>
      </w:pPr>
      <w:r>
        <w:rPr>
          <w:smallCaps/>
          <w:sz w:val="22"/>
          <w:szCs w:val="22"/>
        </w:rPr>
        <w:t>VI. IMPLEMENTACION GENERAL DE ARQUITECTURA</w:t>
      </w:r>
    </w:p>
    <w:p w14:paraId="05B1E1E4" w14:textId="77777777" w:rsidR="00806A70" w:rsidRPr="00806A70" w:rsidRDefault="00806A70" w:rsidP="00806A70">
      <w:pPr>
        <w:spacing w:after="80"/>
        <w:ind w:firstLine="360"/>
        <w:jc w:val="both"/>
      </w:pPr>
      <w:r w:rsidRPr="00806A70">
        <w:t>Durante el desarrollo del proyecto se implementó una arquitectura de ingeniería de datos basada en un pipeline ETL (</w:t>
      </w:r>
      <w:proofErr w:type="spellStart"/>
      <w:r w:rsidRPr="00806A70">
        <w:t>Extract</w:t>
      </w:r>
      <w:proofErr w:type="spellEnd"/>
      <w:r w:rsidRPr="00806A70">
        <w:t xml:space="preserve">, </w:t>
      </w:r>
      <w:proofErr w:type="spellStart"/>
      <w:r w:rsidRPr="00806A70">
        <w:t>Transform</w:t>
      </w:r>
      <w:proofErr w:type="spellEnd"/>
      <w:r w:rsidRPr="00806A70">
        <w:t xml:space="preserve"> and Load), cuyo objetivo fue integrar información proveniente de diferentes fuentes oficiales del Ecuador para generar una base de datos centralizada y preparada para el análisis. La arquitectura fue diseñada siguiendo una estructura por capas (Bronze, Silver y Base de Datos), permitiendo mantener una separación clara entre los datos originales, los datos procesados y la información lista para su explotación analítica.</w:t>
      </w:r>
    </w:p>
    <w:p w14:paraId="14338D85" w14:textId="77777777" w:rsidR="00806A70" w:rsidRPr="00806A70" w:rsidRDefault="00806A70" w:rsidP="00806A70">
      <w:pPr>
        <w:spacing w:after="80"/>
        <w:ind w:firstLine="360"/>
        <w:jc w:val="both"/>
      </w:pPr>
    </w:p>
    <w:p w14:paraId="18C8E8CE" w14:textId="77777777" w:rsidR="00806A70" w:rsidRPr="00806A70" w:rsidRDefault="00806A70" w:rsidP="00806A70">
      <w:pPr>
        <w:spacing w:after="80"/>
        <w:ind w:firstLine="360"/>
        <w:jc w:val="both"/>
      </w:pPr>
      <w:r w:rsidRPr="00806A70">
        <w:t>En la capa Bronze se almacenaron las fuentes de datos originales sin modificaciones, incluyendo archivos provenientes del Banco Central del Ecuador (BCE), el Ministerio de Educación (MINEDUC) y la información generada mediante procesos de Automatización Robótica de Procesos (RPA) correspondiente a la Superintendencia de Compañías. Esta capa se mantuvo como respaldo de la información de origen, garantizando la trazabilidad de los datos durante todo el proceso.</w:t>
      </w:r>
    </w:p>
    <w:p w14:paraId="6E97F73B" w14:textId="77777777" w:rsidR="00806A70" w:rsidRPr="00806A70" w:rsidRDefault="00806A70" w:rsidP="00806A70">
      <w:pPr>
        <w:spacing w:after="80"/>
        <w:ind w:firstLine="360"/>
        <w:jc w:val="both"/>
      </w:pPr>
    </w:p>
    <w:p w14:paraId="56F48ED0" w14:textId="77777777" w:rsidR="00806A70" w:rsidRPr="00806A70" w:rsidRDefault="00806A70" w:rsidP="00806A70">
      <w:pPr>
        <w:spacing w:after="80"/>
        <w:ind w:firstLine="360"/>
        <w:jc w:val="both"/>
      </w:pPr>
      <w:r w:rsidRPr="00806A70">
        <w:t xml:space="preserve">Posteriormente se desarrolló una capa Silver, donde se implementaron procesos de limpieza, estandarización y transformación mediante módulos independientes en </w:t>
      </w:r>
      <w:r w:rsidRPr="00806A70">
        <w:t>Python. Cada fuente de información fue procesada por funciones especializadas encargadas de corregir formatos, eliminar registros duplicados, tratar valores nulos, convertir tipos de datos y normalizar nombres de columnas, obteniendo conjuntos de datos consistentes y listos para su integración.</w:t>
      </w:r>
    </w:p>
    <w:p w14:paraId="7F17AF7B" w14:textId="77777777" w:rsidR="00806A70" w:rsidRPr="00806A70" w:rsidRDefault="00806A70" w:rsidP="00806A70">
      <w:pPr>
        <w:spacing w:after="80"/>
        <w:ind w:firstLine="360"/>
        <w:jc w:val="both"/>
      </w:pPr>
    </w:p>
    <w:p w14:paraId="4AB3ED6E" w14:textId="77777777" w:rsidR="00806A70" w:rsidRPr="00806A70" w:rsidRDefault="00806A70" w:rsidP="00806A70">
      <w:pPr>
        <w:spacing w:after="80"/>
        <w:ind w:firstLine="360"/>
        <w:jc w:val="both"/>
      </w:pPr>
      <w:r w:rsidRPr="00806A70">
        <w:t xml:space="preserve">Como parte del proceso de integración también se implementó un modelo relacional, construyendo tablas de dimensiones y tablas de hechos que permiten organizar la información de manera estructurada. Entre ellas se desarrollaron dimensiones como </w:t>
      </w:r>
      <w:proofErr w:type="spellStart"/>
      <w:r w:rsidRPr="00806A70">
        <w:t>dim_tiempo</w:t>
      </w:r>
      <w:proofErr w:type="spellEnd"/>
      <w:r w:rsidRPr="00806A70">
        <w:t xml:space="preserve"> y </w:t>
      </w:r>
      <w:proofErr w:type="spellStart"/>
      <w:r w:rsidRPr="00806A70">
        <w:t>dim_geografia</w:t>
      </w:r>
      <w:proofErr w:type="spellEnd"/>
      <w:r w:rsidRPr="00806A70">
        <w:t>, así como tablas de hechos para indicadores macroeconómicos, indicadores diarios, empleo e información educativa. Esta estructura facilita el análisis de la información y constituye la base para futuras consultas analíticas y generación de indicadores.</w:t>
      </w:r>
    </w:p>
    <w:p w14:paraId="73A87697" w14:textId="77777777" w:rsidR="00806A70" w:rsidRPr="00806A70" w:rsidRDefault="00806A70" w:rsidP="00806A70">
      <w:pPr>
        <w:spacing w:after="80"/>
        <w:ind w:firstLine="360"/>
        <w:jc w:val="both"/>
      </w:pPr>
    </w:p>
    <w:p w14:paraId="20DA72B2" w14:textId="77777777" w:rsidR="00806A70" w:rsidRPr="00806A70" w:rsidRDefault="00806A70" w:rsidP="00806A70">
      <w:pPr>
        <w:spacing w:after="80"/>
        <w:ind w:firstLine="360"/>
        <w:jc w:val="both"/>
      </w:pPr>
      <w:r w:rsidRPr="00806A70">
        <w:t>Toda la información procesada fue almacenada en una base de datos SQLite, elegida por ser un motor ligero, portable y adecuado para los requerimientos del proyecto de cuarto ciclo. Durante la carga se verificó la correcta asignación de tipos de datos, la integridad de los registros y la organización de las tablas correspondientes a cada fuente de información, permitiendo disponer de una base consolidada para consultas posteriores.</w:t>
      </w:r>
    </w:p>
    <w:p w14:paraId="776EE99B" w14:textId="77777777" w:rsidR="00806A70" w:rsidRPr="00806A70" w:rsidRDefault="00806A70" w:rsidP="00806A70">
      <w:pPr>
        <w:spacing w:after="80"/>
        <w:ind w:firstLine="360"/>
        <w:jc w:val="both"/>
      </w:pPr>
    </w:p>
    <w:p w14:paraId="7504E26E" w14:textId="77777777" w:rsidR="00806A70" w:rsidRPr="00806A70" w:rsidRDefault="00806A70" w:rsidP="00806A70">
      <w:pPr>
        <w:spacing w:after="80"/>
        <w:ind w:firstLine="360"/>
        <w:jc w:val="both"/>
      </w:pPr>
      <w:r w:rsidRPr="00806A70">
        <w:t>Adicionalmente, se diseñó la integración con la información generada por RPA, la cual es recibida en formato SQL con registros almacenados en estructuras JSON. Para ello se planteó un módulo especializado capaz de leer archivos de gran tamaño mediante procesamiento por bloques (</w:t>
      </w:r>
      <w:proofErr w:type="spellStart"/>
      <w:r w:rsidRPr="00806A70">
        <w:t>streaming</w:t>
      </w:r>
      <w:proofErr w:type="spellEnd"/>
      <w:r w:rsidRPr="00806A70">
        <w:t>), extraer automáticamente la información contenida en cada registro, convertir los datos al formato tabular y posteriormente incorporarlos al flujo ETL, manteniendo la misma arquitectura utilizada para las demás fuentes. Este enfoque permite escalar el procesamiento sin depender del tamaño del archivo y facilita la automatización futura del proyecto.</w:t>
      </w:r>
    </w:p>
    <w:p w14:paraId="576F915E" w14:textId="77777777" w:rsidR="00806A70" w:rsidRPr="00806A70" w:rsidRDefault="00806A70" w:rsidP="00806A70">
      <w:pPr>
        <w:spacing w:before="160" w:after="80"/>
        <w:jc w:val="center"/>
        <w:rPr>
          <w:smallCaps/>
          <w:sz w:val="22"/>
          <w:szCs w:val="22"/>
        </w:rPr>
      </w:pPr>
    </w:p>
    <w:p w14:paraId="531C18D4" w14:textId="6E28A347" w:rsidR="00806A70" w:rsidRPr="00806A70" w:rsidRDefault="00806A70" w:rsidP="00806A70">
      <w:pPr>
        <w:spacing w:before="160" w:after="80"/>
        <w:jc w:val="center"/>
      </w:pPr>
      <w:r w:rsidRPr="00806A70">
        <w:t xml:space="preserve">Finalmente, la arquitectura fue diseñada considerando su posterior automatización mediante un orquestador de flujos como </w:t>
      </w:r>
      <w:proofErr w:type="spellStart"/>
      <w:r w:rsidRPr="00806A70">
        <w:t>Prefect</w:t>
      </w:r>
      <w:proofErr w:type="spellEnd"/>
      <w:r w:rsidRPr="00806A70">
        <w:t>, donde cada etapa del proceso (extracción, limpieza, transformación, integración y carga) podrá ejecutarse de forma automática y controlada. Esta organización modular facilita el mantenimiento del sistema, la incorporación de nuevas fuentes de información y la reutilización de los procesos implementados, garantizando una solución escalable y preparada para la construcción de tableros</w:t>
      </w:r>
      <w:r w:rsidRPr="00806A70">
        <w:rPr>
          <w:smallCaps/>
          <w:sz w:val="22"/>
          <w:szCs w:val="22"/>
        </w:rPr>
        <w:t xml:space="preserve"> </w:t>
      </w:r>
      <w:r w:rsidRPr="00806A70">
        <w:t>de control y análisis de datos en herramientas como Power BI.</w:t>
      </w:r>
    </w:p>
    <w:p w14:paraId="42A5F114" w14:textId="012D7B64" w:rsidR="00806682" w:rsidRDefault="00000000">
      <w:pPr>
        <w:spacing w:before="160" w:after="80"/>
        <w:jc w:val="center"/>
      </w:pPr>
      <w:r>
        <w:rPr>
          <w:smallCaps/>
          <w:sz w:val="22"/>
          <w:szCs w:val="22"/>
        </w:rPr>
        <w:t>VI</w:t>
      </w:r>
      <w:r w:rsidR="00806A70">
        <w:rPr>
          <w:smallCaps/>
          <w:sz w:val="22"/>
          <w:szCs w:val="22"/>
        </w:rPr>
        <w:t>I</w:t>
      </w:r>
      <w:r>
        <w:rPr>
          <w:smallCaps/>
          <w:sz w:val="22"/>
          <w:szCs w:val="22"/>
        </w:rPr>
        <w:t>. CONCLUSIONES</w:t>
      </w:r>
    </w:p>
    <w:p w14:paraId="731E5E3C" w14:textId="77777777" w:rsidR="00806682" w:rsidRDefault="00000000">
      <w:pPr>
        <w:spacing w:after="80"/>
        <w:ind w:firstLine="360"/>
        <w:jc w:val="both"/>
      </w:pPr>
      <w:r>
        <w:t xml:space="preserve">Tres cosas quedan claras después de esta revisión. Primera: la ingeniería de datos ya no es infraestructura de </w:t>
      </w:r>
      <w:r>
        <w:lastRenderedPageBreak/>
        <w:t>soporte, es capacidad estratégica. Las organizaciones que no inviertan en sus pipelines, en la calidad de sus datos y en la gobernanza de los mismos van a tener problemas crecientes para sostener cualquier iniciativa analítica o de IA.</w:t>
      </w:r>
    </w:p>
    <w:p w14:paraId="6F12190F" w14:textId="77777777" w:rsidR="00806682" w:rsidRDefault="00000000">
      <w:pPr>
        <w:spacing w:after="80"/>
        <w:ind w:firstLine="360"/>
        <w:jc w:val="both"/>
      </w:pPr>
      <w:r>
        <w:t xml:space="preserve">Segunda: el </w:t>
      </w:r>
      <w:proofErr w:type="spellStart"/>
      <w:r>
        <w:t>stack</w:t>
      </w:r>
      <w:proofErr w:type="spellEnd"/>
      <w:r>
        <w:t xml:space="preserve"> tecnológico disponible hoy es maduro y está bien documentado. No hay escasez de herramientas; hay escasez de criterio para elegirlas bien. El reto de la DGTITD no es encontrar las herramientas —están ahí—, sino construir las capacidades internas para usarlas con propiedad y criterio técnico.</w:t>
      </w:r>
    </w:p>
    <w:p w14:paraId="245838A1" w14:textId="77777777" w:rsidR="00806682" w:rsidRDefault="00000000">
      <w:pPr>
        <w:spacing w:after="80"/>
        <w:ind w:firstLine="360"/>
        <w:jc w:val="both"/>
      </w:pPr>
      <w:r>
        <w:t xml:space="preserve">Tercera —y quizás la más importante para el contexto institucional—: las tendencias como Data Mesh y la </w:t>
      </w:r>
      <w:proofErr w:type="spellStart"/>
      <w:r>
        <w:t>observabilidad</w:t>
      </w:r>
      <w:proofErr w:type="spellEnd"/>
      <w:r>
        <w:t xml:space="preserve"> de datos no son solo modas técnicas. Responden a problemas reales de escalabilidad organizacional que instituciones con múltiples fuentes de datos y múltiples equipos consumidores terminan enfrentando inevitablemente. Entenderlas hoy, aunque no se implementen de inmediato, permite diseñar la arquitectura actual de forma que no bloquee la evolución futura.</w:t>
      </w:r>
    </w:p>
    <w:p w14:paraId="67814CC8" w14:textId="77777777" w:rsidR="00806682" w:rsidRDefault="00000000">
      <w:pPr>
        <w:spacing w:after="80"/>
        <w:ind w:firstLine="360"/>
        <w:jc w:val="both"/>
      </w:pPr>
      <w:r>
        <w:t xml:space="preserve">En suma, el campo está en un momento de madurez interesante: las bases técnicas están consolidadas, las mejores prácticas están siendo codificadas y el foco se mueve hacia los aspectos organizacionales y de gobierno que determinan si todo ese </w:t>
      </w:r>
      <w:proofErr w:type="spellStart"/>
      <w:r>
        <w:t>stack</w:t>
      </w:r>
      <w:proofErr w:type="spellEnd"/>
      <w:r>
        <w:t xml:space="preserve"> tecnológico realmente entrega valor o solo acumula complejidad.</w:t>
      </w:r>
    </w:p>
    <w:p w14:paraId="622B75CC" w14:textId="6F509F0E" w:rsidR="00806A70" w:rsidRDefault="00000000" w:rsidP="00806A70">
      <w:pPr>
        <w:rPr>
          <w:smallCaps/>
          <w:sz w:val="22"/>
          <w:szCs w:val="22"/>
        </w:rPr>
      </w:pPr>
      <w:r>
        <w:t xml:space="preserve"> </w:t>
      </w:r>
    </w:p>
    <w:p w14:paraId="447798EB" w14:textId="79A2AF5A" w:rsidR="00806682" w:rsidRDefault="00000000" w:rsidP="00806A70">
      <w:pPr>
        <w:spacing w:before="160" w:after="80"/>
        <w:jc w:val="center"/>
        <w:rPr>
          <w:smallCaps/>
          <w:sz w:val="22"/>
          <w:szCs w:val="22"/>
        </w:rPr>
      </w:pPr>
      <w:r>
        <w:rPr>
          <w:smallCaps/>
          <w:sz w:val="22"/>
          <w:szCs w:val="22"/>
        </w:rPr>
        <w:t>. REFERENCIAS</w:t>
      </w:r>
    </w:p>
    <w:p w14:paraId="3058313E" w14:textId="77777777" w:rsidR="00806A70" w:rsidRDefault="00806A70" w:rsidP="00806A70">
      <w:pPr>
        <w:spacing w:before="160" w:after="80"/>
        <w:jc w:val="center"/>
      </w:pPr>
    </w:p>
    <w:p w14:paraId="3B32483D" w14:textId="53BF2ACD" w:rsidR="00806682" w:rsidRDefault="00000000">
      <w:pPr>
        <w:spacing w:after="60"/>
        <w:ind w:left="360" w:hanging="360"/>
      </w:pPr>
      <w:r>
        <w:rPr>
          <w:sz w:val="18"/>
          <w:szCs w:val="18"/>
        </w:rPr>
        <w:t xml:space="preserve">[1] S. </w:t>
      </w:r>
      <w:proofErr w:type="spellStart"/>
      <w:r>
        <w:rPr>
          <w:sz w:val="18"/>
          <w:szCs w:val="18"/>
        </w:rPr>
        <w:t>Gadiparthi</w:t>
      </w:r>
      <w:proofErr w:type="spellEnd"/>
      <w:r>
        <w:rPr>
          <w:sz w:val="18"/>
          <w:szCs w:val="18"/>
        </w:rPr>
        <w:t xml:space="preserve"> y J. Bhardwaj, "Comparative </w:t>
      </w:r>
      <w:proofErr w:type="spellStart"/>
      <w:r>
        <w:rPr>
          <w:sz w:val="18"/>
          <w:szCs w:val="18"/>
        </w:rPr>
        <w:t>Analysis</w:t>
      </w:r>
      <w:proofErr w:type="spellEnd"/>
      <w:r>
        <w:rPr>
          <w:sz w:val="18"/>
          <w:szCs w:val="18"/>
        </w:rPr>
        <w:t xml:space="preserve"> </w:t>
      </w:r>
      <w:proofErr w:type="spellStart"/>
      <w:r>
        <w:rPr>
          <w:sz w:val="18"/>
          <w:szCs w:val="18"/>
        </w:rPr>
        <w:t>of</w:t>
      </w:r>
      <w:proofErr w:type="spellEnd"/>
      <w:r>
        <w:rPr>
          <w:sz w:val="18"/>
          <w:szCs w:val="18"/>
        </w:rPr>
        <w:t xml:space="preserve"> Real-Time and Batch Data Processing: Technologies, Performance, and Use Cases," International </w:t>
      </w:r>
      <w:proofErr w:type="spellStart"/>
      <w:r>
        <w:rPr>
          <w:sz w:val="18"/>
          <w:szCs w:val="18"/>
        </w:rPr>
        <w:t>Journal</w:t>
      </w:r>
      <w:proofErr w:type="spellEnd"/>
      <w:r>
        <w:rPr>
          <w:sz w:val="18"/>
          <w:szCs w:val="18"/>
        </w:rPr>
        <w:t xml:space="preserve"> </w:t>
      </w:r>
      <w:proofErr w:type="spellStart"/>
      <w:r>
        <w:rPr>
          <w:sz w:val="18"/>
          <w:szCs w:val="18"/>
        </w:rPr>
        <w:t>of</w:t>
      </w:r>
      <w:proofErr w:type="spellEnd"/>
      <w:r>
        <w:rPr>
          <w:sz w:val="18"/>
          <w:szCs w:val="18"/>
        </w:rPr>
        <w:t xml:space="preserve"> Data </w:t>
      </w:r>
      <w:proofErr w:type="spellStart"/>
      <w:r>
        <w:rPr>
          <w:sz w:val="18"/>
          <w:szCs w:val="18"/>
        </w:rPr>
        <w:t>Analytics</w:t>
      </w:r>
      <w:proofErr w:type="spellEnd"/>
      <w:r>
        <w:rPr>
          <w:sz w:val="18"/>
          <w:szCs w:val="18"/>
        </w:rPr>
        <w:t xml:space="preserve"> </w:t>
      </w:r>
      <w:proofErr w:type="spellStart"/>
      <w:r>
        <w:rPr>
          <w:sz w:val="18"/>
          <w:szCs w:val="18"/>
        </w:rPr>
        <w:t>Research</w:t>
      </w:r>
      <w:proofErr w:type="spellEnd"/>
      <w:r>
        <w:rPr>
          <w:sz w:val="18"/>
          <w:szCs w:val="18"/>
        </w:rPr>
        <w:t xml:space="preserve"> and </w:t>
      </w:r>
      <w:proofErr w:type="spellStart"/>
      <w:r>
        <w:rPr>
          <w:sz w:val="18"/>
          <w:szCs w:val="18"/>
        </w:rPr>
        <w:t>Development</w:t>
      </w:r>
      <w:proofErr w:type="spellEnd"/>
      <w:r>
        <w:rPr>
          <w:sz w:val="18"/>
          <w:szCs w:val="18"/>
        </w:rPr>
        <w:t xml:space="preserve"> (IJDARD), vol. 2, no. 1, pp. 50–58, 2024.</w:t>
      </w:r>
    </w:p>
    <w:p w14:paraId="130A0FF9" w14:textId="77777777" w:rsidR="00806682" w:rsidRDefault="00000000">
      <w:pPr>
        <w:spacing w:after="60"/>
        <w:ind w:left="360" w:hanging="360"/>
      </w:pPr>
      <w:r>
        <w:rPr>
          <w:sz w:val="18"/>
          <w:szCs w:val="18"/>
        </w:rPr>
        <w:t xml:space="preserve">[2] T. </w:t>
      </w:r>
      <w:proofErr w:type="spellStart"/>
      <w:r>
        <w:rPr>
          <w:sz w:val="18"/>
          <w:szCs w:val="18"/>
        </w:rPr>
        <w:t>Olasehinde</w:t>
      </w:r>
      <w:proofErr w:type="spellEnd"/>
      <w:r>
        <w:rPr>
          <w:sz w:val="18"/>
          <w:szCs w:val="18"/>
        </w:rPr>
        <w:t xml:space="preserve">, "Comparative Study </w:t>
      </w:r>
      <w:proofErr w:type="spellStart"/>
      <w:r>
        <w:rPr>
          <w:sz w:val="18"/>
          <w:szCs w:val="18"/>
        </w:rPr>
        <w:t>of</w:t>
      </w:r>
      <w:proofErr w:type="spellEnd"/>
      <w:r>
        <w:rPr>
          <w:sz w:val="18"/>
          <w:szCs w:val="18"/>
        </w:rPr>
        <w:t xml:space="preserve"> Real-Time vs Batch Data Processing in Smart </w:t>
      </w:r>
      <w:proofErr w:type="spellStart"/>
      <w:r>
        <w:rPr>
          <w:sz w:val="18"/>
          <w:szCs w:val="18"/>
        </w:rPr>
        <w:t>Cities</w:t>
      </w:r>
      <w:proofErr w:type="spellEnd"/>
      <w:r>
        <w:rPr>
          <w:sz w:val="18"/>
          <w:szCs w:val="18"/>
        </w:rPr>
        <w:t xml:space="preserve">," IEEE International </w:t>
      </w:r>
      <w:proofErr w:type="spellStart"/>
      <w:r>
        <w:rPr>
          <w:sz w:val="18"/>
          <w:szCs w:val="18"/>
        </w:rPr>
        <w:t>Conference</w:t>
      </w:r>
      <w:proofErr w:type="spellEnd"/>
      <w:r>
        <w:rPr>
          <w:sz w:val="18"/>
          <w:szCs w:val="18"/>
        </w:rPr>
        <w:t xml:space="preserve"> </w:t>
      </w:r>
      <w:proofErr w:type="spellStart"/>
      <w:r>
        <w:rPr>
          <w:sz w:val="18"/>
          <w:szCs w:val="18"/>
        </w:rPr>
        <w:t>on</w:t>
      </w:r>
      <w:proofErr w:type="spellEnd"/>
      <w:r>
        <w:rPr>
          <w:sz w:val="18"/>
          <w:szCs w:val="18"/>
        </w:rPr>
        <w:t xml:space="preserve"> Smart City </w:t>
      </w:r>
      <w:proofErr w:type="spellStart"/>
      <w:r>
        <w:rPr>
          <w:sz w:val="18"/>
          <w:szCs w:val="18"/>
        </w:rPr>
        <w:t>Applications</w:t>
      </w:r>
      <w:proofErr w:type="spellEnd"/>
      <w:r>
        <w:rPr>
          <w:sz w:val="18"/>
          <w:szCs w:val="18"/>
        </w:rPr>
        <w:t>, 2023.</w:t>
      </w:r>
    </w:p>
    <w:p w14:paraId="041385B3" w14:textId="77777777" w:rsidR="00806682" w:rsidRDefault="00000000">
      <w:pPr>
        <w:spacing w:after="60"/>
        <w:ind w:left="360" w:hanging="360"/>
      </w:pPr>
      <w:r>
        <w:rPr>
          <w:sz w:val="18"/>
          <w:szCs w:val="18"/>
        </w:rPr>
        <w:t xml:space="preserve">[3] U. </w:t>
      </w:r>
      <w:proofErr w:type="spellStart"/>
      <w:r>
        <w:rPr>
          <w:sz w:val="18"/>
          <w:szCs w:val="18"/>
        </w:rPr>
        <w:t>Kekevi</w:t>
      </w:r>
      <w:proofErr w:type="spellEnd"/>
      <w:r>
        <w:rPr>
          <w:sz w:val="18"/>
          <w:szCs w:val="18"/>
        </w:rPr>
        <w:t xml:space="preserve"> y A. Aydin, "Real-Time Big Data Processing and </w:t>
      </w:r>
      <w:proofErr w:type="spellStart"/>
      <w:r>
        <w:rPr>
          <w:sz w:val="18"/>
          <w:szCs w:val="18"/>
        </w:rPr>
        <w:t>Analytics</w:t>
      </w:r>
      <w:proofErr w:type="spellEnd"/>
      <w:r>
        <w:rPr>
          <w:sz w:val="18"/>
          <w:szCs w:val="18"/>
        </w:rPr>
        <w:t xml:space="preserve">: </w:t>
      </w:r>
      <w:proofErr w:type="spellStart"/>
      <w:r>
        <w:rPr>
          <w:sz w:val="18"/>
          <w:szCs w:val="18"/>
        </w:rPr>
        <w:t>Concepts</w:t>
      </w:r>
      <w:proofErr w:type="spellEnd"/>
      <w:r>
        <w:rPr>
          <w:sz w:val="18"/>
          <w:szCs w:val="18"/>
        </w:rPr>
        <w:t xml:space="preserve">, Technologies, and </w:t>
      </w:r>
      <w:proofErr w:type="spellStart"/>
      <w:r>
        <w:rPr>
          <w:sz w:val="18"/>
          <w:szCs w:val="18"/>
        </w:rPr>
        <w:t>Domains</w:t>
      </w:r>
      <w:proofErr w:type="spellEnd"/>
      <w:r>
        <w:rPr>
          <w:sz w:val="18"/>
          <w:szCs w:val="18"/>
        </w:rPr>
        <w:t>," IEEE Access, vol. 10, pp. 112340–112358, 2022.</w:t>
      </w:r>
    </w:p>
    <w:p w14:paraId="7BFCC704" w14:textId="77777777" w:rsidR="00806682" w:rsidRDefault="00000000">
      <w:pPr>
        <w:spacing w:after="60"/>
        <w:ind w:left="360" w:hanging="360"/>
      </w:pPr>
      <w:r>
        <w:rPr>
          <w:sz w:val="18"/>
          <w:szCs w:val="18"/>
        </w:rPr>
        <w:t xml:space="preserve">[4] A. Raj, B. Boominathan, M. Chaudhary y G. Bhatt, "Data </w:t>
      </w:r>
      <w:proofErr w:type="spellStart"/>
      <w:r>
        <w:rPr>
          <w:sz w:val="18"/>
          <w:szCs w:val="18"/>
        </w:rPr>
        <w:t>Engineering</w:t>
      </w:r>
      <w:proofErr w:type="spellEnd"/>
      <w:r>
        <w:rPr>
          <w:sz w:val="18"/>
          <w:szCs w:val="18"/>
        </w:rPr>
        <w:t xml:space="preserve">: A </w:t>
      </w:r>
      <w:proofErr w:type="spellStart"/>
      <w:r>
        <w:rPr>
          <w:sz w:val="18"/>
          <w:szCs w:val="18"/>
        </w:rPr>
        <w:t>Systematic</w:t>
      </w:r>
      <w:proofErr w:type="spellEnd"/>
      <w:r>
        <w:rPr>
          <w:sz w:val="18"/>
          <w:szCs w:val="18"/>
        </w:rPr>
        <w:t xml:space="preserve"> </w:t>
      </w:r>
      <w:proofErr w:type="spellStart"/>
      <w:r>
        <w:rPr>
          <w:sz w:val="18"/>
          <w:szCs w:val="18"/>
        </w:rPr>
        <w:t>Review</w:t>
      </w:r>
      <w:proofErr w:type="spellEnd"/>
      <w:r>
        <w:rPr>
          <w:sz w:val="18"/>
          <w:szCs w:val="18"/>
        </w:rPr>
        <w:t xml:space="preserve"> </w:t>
      </w:r>
      <w:proofErr w:type="spellStart"/>
      <w:r>
        <w:rPr>
          <w:sz w:val="18"/>
          <w:szCs w:val="18"/>
        </w:rPr>
        <w:t>of</w:t>
      </w:r>
      <w:proofErr w:type="spellEnd"/>
      <w:r>
        <w:rPr>
          <w:sz w:val="18"/>
          <w:szCs w:val="18"/>
        </w:rPr>
        <w:t xml:space="preserve"> </w:t>
      </w:r>
      <w:proofErr w:type="spellStart"/>
      <w:r>
        <w:rPr>
          <w:sz w:val="18"/>
          <w:szCs w:val="18"/>
        </w:rPr>
        <w:t>Techniques</w:t>
      </w:r>
      <w:proofErr w:type="spellEnd"/>
      <w:r>
        <w:rPr>
          <w:sz w:val="18"/>
          <w:szCs w:val="18"/>
        </w:rPr>
        <w:t xml:space="preserve">, Tools, and </w:t>
      </w:r>
      <w:proofErr w:type="spellStart"/>
      <w:r>
        <w:rPr>
          <w:sz w:val="18"/>
          <w:szCs w:val="18"/>
        </w:rPr>
        <w:t>Trends</w:t>
      </w:r>
      <w:proofErr w:type="spellEnd"/>
      <w:r>
        <w:rPr>
          <w:sz w:val="18"/>
          <w:szCs w:val="18"/>
        </w:rPr>
        <w:t xml:space="preserve">," IEEE </w:t>
      </w:r>
      <w:proofErr w:type="spellStart"/>
      <w:r>
        <w:rPr>
          <w:sz w:val="18"/>
          <w:szCs w:val="18"/>
        </w:rPr>
        <w:t>Transactions</w:t>
      </w:r>
      <w:proofErr w:type="spellEnd"/>
      <w:r>
        <w:rPr>
          <w:sz w:val="18"/>
          <w:szCs w:val="18"/>
        </w:rPr>
        <w:t xml:space="preserve"> </w:t>
      </w:r>
      <w:proofErr w:type="spellStart"/>
      <w:r>
        <w:rPr>
          <w:sz w:val="18"/>
          <w:szCs w:val="18"/>
        </w:rPr>
        <w:t>on</w:t>
      </w:r>
      <w:proofErr w:type="spellEnd"/>
      <w:r>
        <w:rPr>
          <w:sz w:val="18"/>
          <w:szCs w:val="18"/>
        </w:rPr>
        <w:t xml:space="preserve"> Knowledge and Data </w:t>
      </w:r>
      <w:proofErr w:type="spellStart"/>
      <w:r>
        <w:rPr>
          <w:sz w:val="18"/>
          <w:szCs w:val="18"/>
        </w:rPr>
        <w:t>Engineering</w:t>
      </w:r>
      <w:proofErr w:type="spellEnd"/>
      <w:r>
        <w:rPr>
          <w:sz w:val="18"/>
          <w:szCs w:val="18"/>
        </w:rPr>
        <w:t>, vol. 35, no. 7, pp. 6751–6769, 2023.</w:t>
      </w:r>
    </w:p>
    <w:p w14:paraId="2B6BDDFD" w14:textId="77777777" w:rsidR="00806682" w:rsidRDefault="00000000">
      <w:pPr>
        <w:spacing w:after="60"/>
        <w:ind w:left="360" w:hanging="360"/>
      </w:pPr>
      <w:r>
        <w:rPr>
          <w:sz w:val="18"/>
          <w:szCs w:val="18"/>
        </w:rPr>
        <w:t xml:space="preserve">[5] M. Armbrust et al., "Delta Lake: High-Performance ACID Table Storage </w:t>
      </w:r>
      <w:proofErr w:type="spellStart"/>
      <w:r>
        <w:rPr>
          <w:sz w:val="18"/>
          <w:szCs w:val="18"/>
        </w:rPr>
        <w:t>over</w:t>
      </w:r>
      <w:proofErr w:type="spellEnd"/>
      <w:r>
        <w:rPr>
          <w:sz w:val="18"/>
          <w:szCs w:val="18"/>
        </w:rPr>
        <w:t xml:space="preserve"> Cloud Object Stores," </w:t>
      </w:r>
      <w:proofErr w:type="spellStart"/>
      <w:r>
        <w:rPr>
          <w:sz w:val="18"/>
          <w:szCs w:val="18"/>
        </w:rPr>
        <w:t>Proceedings</w:t>
      </w:r>
      <w:proofErr w:type="spellEnd"/>
      <w:r>
        <w:rPr>
          <w:sz w:val="18"/>
          <w:szCs w:val="18"/>
        </w:rPr>
        <w:t xml:space="preserve"> </w:t>
      </w:r>
      <w:proofErr w:type="spellStart"/>
      <w:r>
        <w:rPr>
          <w:sz w:val="18"/>
          <w:szCs w:val="18"/>
        </w:rPr>
        <w:t>of</w:t>
      </w:r>
      <w:proofErr w:type="spellEnd"/>
      <w:r>
        <w:rPr>
          <w:sz w:val="18"/>
          <w:szCs w:val="18"/>
        </w:rPr>
        <w:t xml:space="preserve"> </w:t>
      </w:r>
      <w:proofErr w:type="spellStart"/>
      <w:r>
        <w:rPr>
          <w:sz w:val="18"/>
          <w:szCs w:val="18"/>
        </w:rPr>
        <w:t>the</w:t>
      </w:r>
      <w:proofErr w:type="spellEnd"/>
      <w:r>
        <w:rPr>
          <w:sz w:val="18"/>
          <w:szCs w:val="18"/>
        </w:rPr>
        <w:t xml:space="preserve"> VLDB </w:t>
      </w:r>
      <w:proofErr w:type="spellStart"/>
      <w:r>
        <w:rPr>
          <w:sz w:val="18"/>
          <w:szCs w:val="18"/>
        </w:rPr>
        <w:t>Endowment</w:t>
      </w:r>
      <w:proofErr w:type="spellEnd"/>
      <w:r>
        <w:rPr>
          <w:sz w:val="18"/>
          <w:szCs w:val="18"/>
        </w:rPr>
        <w:t>, vol. 13, no. 12, pp. 3411–3424, 2020.</w:t>
      </w:r>
    </w:p>
    <w:p w14:paraId="642FFE5C" w14:textId="77777777" w:rsidR="00806682" w:rsidRDefault="00000000">
      <w:pPr>
        <w:spacing w:after="60"/>
        <w:ind w:left="360" w:hanging="360"/>
      </w:pPr>
      <w:r>
        <w:rPr>
          <w:sz w:val="18"/>
          <w:szCs w:val="18"/>
        </w:rPr>
        <w:t xml:space="preserve">[6] N. Ehsan, J. </w:t>
      </w:r>
      <w:proofErr w:type="spellStart"/>
      <w:r>
        <w:rPr>
          <w:sz w:val="18"/>
          <w:szCs w:val="18"/>
        </w:rPr>
        <w:t>Fiaidhi</w:t>
      </w:r>
      <w:proofErr w:type="spellEnd"/>
      <w:r>
        <w:rPr>
          <w:sz w:val="18"/>
          <w:szCs w:val="18"/>
        </w:rPr>
        <w:t xml:space="preserve">, A. Mohammed y S. Mohammed, "Data </w:t>
      </w:r>
      <w:proofErr w:type="spellStart"/>
      <w:r>
        <w:rPr>
          <w:sz w:val="18"/>
          <w:szCs w:val="18"/>
        </w:rPr>
        <w:t>Quality</w:t>
      </w:r>
      <w:proofErr w:type="spellEnd"/>
      <w:r>
        <w:rPr>
          <w:sz w:val="18"/>
          <w:szCs w:val="18"/>
        </w:rPr>
        <w:t xml:space="preserve"> in Machine </w:t>
      </w:r>
      <w:proofErr w:type="spellStart"/>
      <w:r>
        <w:rPr>
          <w:sz w:val="18"/>
          <w:szCs w:val="18"/>
        </w:rPr>
        <w:t>Learning</w:t>
      </w:r>
      <w:proofErr w:type="spellEnd"/>
      <w:r>
        <w:rPr>
          <w:sz w:val="18"/>
          <w:szCs w:val="18"/>
        </w:rPr>
        <w:t xml:space="preserve"> Pipelines: </w:t>
      </w:r>
      <w:proofErr w:type="spellStart"/>
      <w:r>
        <w:rPr>
          <w:sz w:val="18"/>
          <w:szCs w:val="18"/>
        </w:rPr>
        <w:t>Challenges</w:t>
      </w:r>
      <w:proofErr w:type="spellEnd"/>
      <w:r>
        <w:rPr>
          <w:sz w:val="18"/>
          <w:szCs w:val="18"/>
        </w:rPr>
        <w:t xml:space="preserve"> and Best </w:t>
      </w:r>
      <w:proofErr w:type="spellStart"/>
      <w:r>
        <w:rPr>
          <w:sz w:val="18"/>
          <w:szCs w:val="18"/>
        </w:rPr>
        <w:t>Practices</w:t>
      </w:r>
      <w:proofErr w:type="spellEnd"/>
      <w:r>
        <w:rPr>
          <w:sz w:val="18"/>
          <w:szCs w:val="18"/>
        </w:rPr>
        <w:t xml:space="preserve">," IEEE Internet </w:t>
      </w:r>
      <w:proofErr w:type="spellStart"/>
      <w:r>
        <w:rPr>
          <w:sz w:val="18"/>
          <w:szCs w:val="18"/>
        </w:rPr>
        <w:t>of</w:t>
      </w:r>
      <w:proofErr w:type="spellEnd"/>
      <w:r>
        <w:rPr>
          <w:sz w:val="18"/>
          <w:szCs w:val="18"/>
        </w:rPr>
        <w:t xml:space="preserve"> </w:t>
      </w:r>
      <w:proofErr w:type="spellStart"/>
      <w:r>
        <w:rPr>
          <w:sz w:val="18"/>
          <w:szCs w:val="18"/>
        </w:rPr>
        <w:t>Things</w:t>
      </w:r>
      <w:proofErr w:type="spellEnd"/>
      <w:r>
        <w:rPr>
          <w:sz w:val="18"/>
          <w:szCs w:val="18"/>
        </w:rPr>
        <w:t xml:space="preserve"> </w:t>
      </w:r>
      <w:proofErr w:type="spellStart"/>
      <w:r>
        <w:rPr>
          <w:sz w:val="18"/>
          <w:szCs w:val="18"/>
        </w:rPr>
        <w:t>Journal</w:t>
      </w:r>
      <w:proofErr w:type="spellEnd"/>
      <w:r>
        <w:rPr>
          <w:sz w:val="18"/>
          <w:szCs w:val="18"/>
        </w:rPr>
        <w:t>, vol. 11, no. 4, pp. 5887–5900, 2024.</w:t>
      </w:r>
    </w:p>
    <w:p w14:paraId="203E0C41" w14:textId="77777777" w:rsidR="00806682" w:rsidRDefault="00000000">
      <w:pPr>
        <w:spacing w:after="60"/>
        <w:ind w:left="360" w:hanging="360"/>
      </w:pPr>
      <w:r>
        <w:rPr>
          <w:sz w:val="18"/>
          <w:szCs w:val="18"/>
        </w:rPr>
        <w:t xml:space="preserve">[7] J. Li, Z. Zhu, Y. Tang y T. Li, "Apache </w:t>
      </w:r>
      <w:proofErr w:type="spellStart"/>
      <w:r>
        <w:rPr>
          <w:sz w:val="18"/>
          <w:szCs w:val="18"/>
        </w:rPr>
        <w:t>Airflow</w:t>
      </w:r>
      <w:proofErr w:type="spellEnd"/>
      <w:r>
        <w:rPr>
          <w:sz w:val="18"/>
          <w:szCs w:val="18"/>
        </w:rPr>
        <w:t xml:space="preserve"> vs. Modern </w:t>
      </w:r>
      <w:proofErr w:type="spellStart"/>
      <w:r>
        <w:rPr>
          <w:sz w:val="18"/>
          <w:szCs w:val="18"/>
        </w:rPr>
        <w:t>Orchestrators</w:t>
      </w:r>
      <w:proofErr w:type="spellEnd"/>
      <w:r>
        <w:rPr>
          <w:sz w:val="18"/>
          <w:szCs w:val="18"/>
        </w:rPr>
        <w:t xml:space="preserve">: A </w:t>
      </w:r>
      <w:proofErr w:type="spellStart"/>
      <w:r>
        <w:rPr>
          <w:sz w:val="18"/>
          <w:szCs w:val="18"/>
        </w:rPr>
        <w:t>Benchmark</w:t>
      </w:r>
      <w:proofErr w:type="spellEnd"/>
      <w:r>
        <w:rPr>
          <w:sz w:val="18"/>
          <w:szCs w:val="18"/>
        </w:rPr>
        <w:t xml:space="preserve"> and </w:t>
      </w:r>
      <w:proofErr w:type="spellStart"/>
      <w:r>
        <w:rPr>
          <w:sz w:val="18"/>
          <w:szCs w:val="18"/>
        </w:rPr>
        <w:t>Architecture</w:t>
      </w:r>
      <w:proofErr w:type="spellEnd"/>
      <w:r>
        <w:rPr>
          <w:sz w:val="18"/>
          <w:szCs w:val="18"/>
        </w:rPr>
        <w:t xml:space="preserve"> Study," en </w:t>
      </w:r>
      <w:proofErr w:type="spellStart"/>
      <w:r>
        <w:rPr>
          <w:sz w:val="18"/>
          <w:szCs w:val="18"/>
        </w:rPr>
        <w:t>Proc</w:t>
      </w:r>
      <w:proofErr w:type="spellEnd"/>
      <w:r>
        <w:rPr>
          <w:sz w:val="18"/>
          <w:szCs w:val="18"/>
        </w:rPr>
        <w:t xml:space="preserve">. IEEE International </w:t>
      </w:r>
      <w:proofErr w:type="spellStart"/>
      <w:r>
        <w:rPr>
          <w:sz w:val="18"/>
          <w:szCs w:val="18"/>
        </w:rPr>
        <w:t>Conference</w:t>
      </w:r>
      <w:proofErr w:type="spellEnd"/>
      <w:r>
        <w:rPr>
          <w:sz w:val="18"/>
          <w:szCs w:val="18"/>
        </w:rPr>
        <w:t xml:space="preserve"> </w:t>
      </w:r>
      <w:proofErr w:type="spellStart"/>
      <w:r>
        <w:rPr>
          <w:sz w:val="18"/>
          <w:szCs w:val="18"/>
        </w:rPr>
        <w:t>on</w:t>
      </w:r>
      <w:proofErr w:type="spellEnd"/>
      <w:r>
        <w:rPr>
          <w:sz w:val="18"/>
          <w:szCs w:val="18"/>
        </w:rPr>
        <w:t xml:space="preserve"> Big Data, pp. 1120–1129, 2023.</w:t>
      </w:r>
    </w:p>
    <w:p w14:paraId="0768E49F" w14:textId="77777777" w:rsidR="00806682" w:rsidRDefault="00000000">
      <w:pPr>
        <w:spacing w:after="60"/>
        <w:ind w:left="360" w:hanging="360"/>
      </w:pPr>
      <w:r>
        <w:rPr>
          <w:sz w:val="18"/>
          <w:szCs w:val="18"/>
        </w:rPr>
        <w:t xml:space="preserve">[8] R. Soman y A. Kumar, "Comparative Study </w:t>
      </w:r>
      <w:proofErr w:type="spellStart"/>
      <w:r>
        <w:rPr>
          <w:sz w:val="18"/>
          <w:szCs w:val="18"/>
        </w:rPr>
        <w:t>of</w:t>
      </w:r>
      <w:proofErr w:type="spellEnd"/>
      <w:r>
        <w:rPr>
          <w:sz w:val="18"/>
          <w:szCs w:val="18"/>
        </w:rPr>
        <w:t xml:space="preserve"> Open Table </w:t>
      </w:r>
      <w:proofErr w:type="spellStart"/>
      <w:r>
        <w:rPr>
          <w:sz w:val="18"/>
          <w:szCs w:val="18"/>
        </w:rPr>
        <w:t>Formats</w:t>
      </w:r>
      <w:proofErr w:type="spellEnd"/>
      <w:r>
        <w:rPr>
          <w:sz w:val="18"/>
          <w:szCs w:val="18"/>
        </w:rPr>
        <w:t>: Delta Lake, Apache Iceberg, and Apache Hudi," IEEE Access, vol. 11, pp. 78342–78359, 2023.</w:t>
      </w:r>
    </w:p>
    <w:p w14:paraId="5E17546B" w14:textId="77777777" w:rsidR="00806682" w:rsidRDefault="00000000">
      <w:pPr>
        <w:spacing w:after="60"/>
        <w:ind w:left="360" w:hanging="360"/>
      </w:pPr>
      <w:r>
        <w:rPr>
          <w:sz w:val="18"/>
          <w:szCs w:val="18"/>
        </w:rPr>
        <w:t xml:space="preserve">[9] O. Hartig y J. </w:t>
      </w:r>
      <w:proofErr w:type="spellStart"/>
      <w:r>
        <w:rPr>
          <w:sz w:val="18"/>
          <w:szCs w:val="18"/>
        </w:rPr>
        <w:t>Sequeda</w:t>
      </w:r>
      <w:proofErr w:type="spellEnd"/>
      <w:r>
        <w:rPr>
          <w:sz w:val="18"/>
          <w:szCs w:val="18"/>
        </w:rPr>
        <w:t xml:space="preserve">, "Data </w:t>
      </w:r>
      <w:proofErr w:type="spellStart"/>
      <w:r>
        <w:rPr>
          <w:sz w:val="18"/>
          <w:szCs w:val="18"/>
        </w:rPr>
        <w:t>Governance</w:t>
      </w:r>
      <w:proofErr w:type="spellEnd"/>
      <w:r>
        <w:rPr>
          <w:sz w:val="18"/>
          <w:szCs w:val="18"/>
        </w:rPr>
        <w:t xml:space="preserve"> </w:t>
      </w:r>
      <w:proofErr w:type="spellStart"/>
      <w:r>
        <w:rPr>
          <w:sz w:val="18"/>
          <w:szCs w:val="18"/>
        </w:rPr>
        <w:t>Frameworks</w:t>
      </w:r>
      <w:proofErr w:type="spellEnd"/>
      <w:r>
        <w:rPr>
          <w:sz w:val="18"/>
          <w:szCs w:val="18"/>
        </w:rPr>
        <w:t xml:space="preserve"> </w:t>
      </w:r>
      <w:proofErr w:type="spellStart"/>
      <w:r>
        <w:rPr>
          <w:sz w:val="18"/>
          <w:szCs w:val="18"/>
        </w:rPr>
        <w:t>for</w:t>
      </w:r>
      <w:proofErr w:type="spellEnd"/>
      <w:r>
        <w:rPr>
          <w:sz w:val="18"/>
          <w:szCs w:val="18"/>
        </w:rPr>
        <w:t xml:space="preserve"> </w:t>
      </w:r>
      <w:proofErr w:type="spellStart"/>
      <w:r>
        <w:rPr>
          <w:sz w:val="18"/>
          <w:szCs w:val="18"/>
        </w:rPr>
        <w:t>Distributed</w:t>
      </w:r>
      <w:proofErr w:type="spellEnd"/>
      <w:r>
        <w:rPr>
          <w:sz w:val="18"/>
          <w:szCs w:val="18"/>
        </w:rPr>
        <w:t xml:space="preserve"> </w:t>
      </w:r>
      <w:proofErr w:type="spellStart"/>
      <w:r>
        <w:rPr>
          <w:sz w:val="18"/>
          <w:szCs w:val="18"/>
        </w:rPr>
        <w:t>Environments</w:t>
      </w:r>
      <w:proofErr w:type="spellEnd"/>
      <w:r>
        <w:rPr>
          <w:sz w:val="18"/>
          <w:szCs w:val="18"/>
        </w:rPr>
        <w:t xml:space="preserve">: A </w:t>
      </w:r>
      <w:proofErr w:type="spellStart"/>
      <w:r>
        <w:rPr>
          <w:sz w:val="18"/>
          <w:szCs w:val="18"/>
        </w:rPr>
        <w:t>Survey</w:t>
      </w:r>
      <w:proofErr w:type="spellEnd"/>
      <w:r>
        <w:rPr>
          <w:sz w:val="18"/>
          <w:szCs w:val="18"/>
        </w:rPr>
        <w:t xml:space="preserve">," ACM Computing </w:t>
      </w:r>
      <w:proofErr w:type="spellStart"/>
      <w:r>
        <w:rPr>
          <w:sz w:val="18"/>
          <w:szCs w:val="18"/>
        </w:rPr>
        <w:t>Surveys</w:t>
      </w:r>
      <w:proofErr w:type="spellEnd"/>
      <w:r>
        <w:rPr>
          <w:sz w:val="18"/>
          <w:szCs w:val="18"/>
        </w:rPr>
        <w:t>, vol. 55, no. 9, art. 186, 2023.</w:t>
      </w:r>
    </w:p>
    <w:p w14:paraId="400E709A" w14:textId="77777777" w:rsidR="00806682" w:rsidRDefault="00000000">
      <w:pPr>
        <w:spacing w:after="60"/>
        <w:ind w:left="360" w:hanging="360"/>
      </w:pPr>
      <w:r>
        <w:rPr>
          <w:sz w:val="18"/>
          <w:szCs w:val="18"/>
        </w:rPr>
        <w:t>[10] P. Bonnet, V. Markl y M. Kersten, "</w:t>
      </w:r>
      <w:proofErr w:type="spellStart"/>
      <w:r>
        <w:rPr>
          <w:sz w:val="18"/>
          <w:szCs w:val="18"/>
        </w:rPr>
        <w:t>Workflow</w:t>
      </w:r>
      <w:proofErr w:type="spellEnd"/>
      <w:r>
        <w:rPr>
          <w:sz w:val="18"/>
          <w:szCs w:val="18"/>
        </w:rPr>
        <w:t xml:space="preserve"> </w:t>
      </w:r>
      <w:proofErr w:type="spellStart"/>
      <w:r>
        <w:rPr>
          <w:sz w:val="18"/>
          <w:szCs w:val="18"/>
        </w:rPr>
        <w:t>Orchestration</w:t>
      </w:r>
      <w:proofErr w:type="spellEnd"/>
      <w:r>
        <w:rPr>
          <w:sz w:val="18"/>
          <w:szCs w:val="18"/>
        </w:rPr>
        <w:t xml:space="preserve"> in Data </w:t>
      </w:r>
      <w:proofErr w:type="spellStart"/>
      <w:r>
        <w:rPr>
          <w:sz w:val="18"/>
          <w:szCs w:val="18"/>
        </w:rPr>
        <w:t>Engineering</w:t>
      </w:r>
      <w:proofErr w:type="spellEnd"/>
      <w:r>
        <w:rPr>
          <w:sz w:val="18"/>
          <w:szCs w:val="18"/>
        </w:rPr>
        <w:t xml:space="preserve">: A Comparative </w:t>
      </w:r>
      <w:proofErr w:type="spellStart"/>
      <w:r>
        <w:rPr>
          <w:sz w:val="18"/>
          <w:szCs w:val="18"/>
        </w:rPr>
        <w:t>Analysis</w:t>
      </w:r>
      <w:proofErr w:type="spellEnd"/>
      <w:r>
        <w:rPr>
          <w:sz w:val="18"/>
          <w:szCs w:val="18"/>
        </w:rPr>
        <w:t xml:space="preserve">," en </w:t>
      </w:r>
      <w:proofErr w:type="spellStart"/>
      <w:r>
        <w:rPr>
          <w:sz w:val="18"/>
          <w:szCs w:val="18"/>
        </w:rPr>
        <w:t>Proc</w:t>
      </w:r>
      <w:proofErr w:type="spellEnd"/>
      <w:r>
        <w:rPr>
          <w:sz w:val="18"/>
          <w:szCs w:val="18"/>
        </w:rPr>
        <w:t>. IEEE ICDE, pp. 887–898, 2023.</w:t>
      </w:r>
    </w:p>
    <w:p w14:paraId="050294B9" w14:textId="77777777" w:rsidR="00806682" w:rsidRDefault="00000000">
      <w:pPr>
        <w:spacing w:after="60"/>
        <w:ind w:left="360" w:hanging="360"/>
      </w:pPr>
      <w:r>
        <w:rPr>
          <w:sz w:val="18"/>
          <w:szCs w:val="18"/>
        </w:rPr>
        <w:t xml:space="preserve">[11] S. </w:t>
      </w:r>
      <w:proofErr w:type="spellStart"/>
      <w:r>
        <w:rPr>
          <w:sz w:val="18"/>
          <w:szCs w:val="18"/>
        </w:rPr>
        <w:t>Polyzotis</w:t>
      </w:r>
      <w:proofErr w:type="spellEnd"/>
      <w:r>
        <w:rPr>
          <w:sz w:val="18"/>
          <w:szCs w:val="18"/>
        </w:rPr>
        <w:t xml:space="preserve">, M. Zinkevich, S. Roy, E. Breck y S. Whalen, "Data </w:t>
      </w:r>
      <w:proofErr w:type="spellStart"/>
      <w:r>
        <w:rPr>
          <w:sz w:val="18"/>
          <w:szCs w:val="18"/>
        </w:rPr>
        <w:t>Validation</w:t>
      </w:r>
      <w:proofErr w:type="spellEnd"/>
      <w:r>
        <w:rPr>
          <w:sz w:val="18"/>
          <w:szCs w:val="18"/>
        </w:rPr>
        <w:t xml:space="preserve"> </w:t>
      </w:r>
      <w:proofErr w:type="spellStart"/>
      <w:r>
        <w:rPr>
          <w:sz w:val="18"/>
          <w:szCs w:val="18"/>
        </w:rPr>
        <w:t>for</w:t>
      </w:r>
      <w:proofErr w:type="spellEnd"/>
      <w:r>
        <w:rPr>
          <w:sz w:val="18"/>
          <w:szCs w:val="18"/>
        </w:rPr>
        <w:t xml:space="preserve"> Machine </w:t>
      </w:r>
      <w:proofErr w:type="spellStart"/>
      <w:r>
        <w:rPr>
          <w:sz w:val="18"/>
          <w:szCs w:val="18"/>
        </w:rPr>
        <w:t>Learning</w:t>
      </w:r>
      <w:proofErr w:type="spellEnd"/>
      <w:r>
        <w:rPr>
          <w:sz w:val="18"/>
          <w:szCs w:val="18"/>
        </w:rPr>
        <w:t xml:space="preserve">," en </w:t>
      </w:r>
      <w:proofErr w:type="spellStart"/>
      <w:r>
        <w:rPr>
          <w:sz w:val="18"/>
          <w:szCs w:val="18"/>
        </w:rPr>
        <w:t>Proc</w:t>
      </w:r>
      <w:proofErr w:type="spellEnd"/>
      <w:r>
        <w:rPr>
          <w:sz w:val="18"/>
          <w:szCs w:val="18"/>
        </w:rPr>
        <w:t xml:space="preserve">. </w:t>
      </w:r>
      <w:proofErr w:type="spellStart"/>
      <w:r>
        <w:rPr>
          <w:sz w:val="18"/>
          <w:szCs w:val="18"/>
        </w:rPr>
        <w:t>MLSys</w:t>
      </w:r>
      <w:proofErr w:type="spellEnd"/>
      <w:r>
        <w:rPr>
          <w:sz w:val="18"/>
          <w:szCs w:val="18"/>
        </w:rPr>
        <w:t xml:space="preserve"> </w:t>
      </w:r>
      <w:proofErr w:type="spellStart"/>
      <w:r>
        <w:rPr>
          <w:sz w:val="18"/>
          <w:szCs w:val="18"/>
        </w:rPr>
        <w:t>Conference</w:t>
      </w:r>
      <w:proofErr w:type="spellEnd"/>
      <w:r>
        <w:rPr>
          <w:sz w:val="18"/>
          <w:szCs w:val="18"/>
        </w:rPr>
        <w:t>, pp. 334–347, 2019.</w:t>
      </w:r>
    </w:p>
    <w:p w14:paraId="4F102957" w14:textId="77777777" w:rsidR="00806682" w:rsidRDefault="00000000">
      <w:pPr>
        <w:spacing w:after="60"/>
        <w:ind w:left="360" w:hanging="360"/>
      </w:pPr>
      <w:r>
        <w:rPr>
          <w:sz w:val="18"/>
          <w:szCs w:val="18"/>
        </w:rPr>
        <w:t xml:space="preserve">[12] D. Linstedt y M. Olschimke, Building a </w:t>
      </w:r>
      <w:proofErr w:type="spellStart"/>
      <w:r>
        <w:rPr>
          <w:sz w:val="18"/>
          <w:szCs w:val="18"/>
        </w:rPr>
        <w:t>Scalable</w:t>
      </w:r>
      <w:proofErr w:type="spellEnd"/>
      <w:r>
        <w:rPr>
          <w:sz w:val="18"/>
          <w:szCs w:val="18"/>
        </w:rPr>
        <w:t xml:space="preserve"> Data </w:t>
      </w:r>
      <w:proofErr w:type="spellStart"/>
      <w:r>
        <w:rPr>
          <w:sz w:val="18"/>
          <w:szCs w:val="18"/>
        </w:rPr>
        <w:t>Warehouse</w:t>
      </w:r>
      <w:proofErr w:type="spellEnd"/>
      <w:r>
        <w:rPr>
          <w:sz w:val="18"/>
          <w:szCs w:val="18"/>
        </w:rPr>
        <w:t xml:space="preserve"> </w:t>
      </w:r>
      <w:proofErr w:type="spellStart"/>
      <w:r>
        <w:rPr>
          <w:sz w:val="18"/>
          <w:szCs w:val="18"/>
        </w:rPr>
        <w:t>with</w:t>
      </w:r>
      <w:proofErr w:type="spellEnd"/>
      <w:r>
        <w:rPr>
          <w:sz w:val="18"/>
          <w:szCs w:val="18"/>
        </w:rPr>
        <w:t xml:space="preserve"> Data Vault 2.0. Waltham, MA: Morgan Kaufmann, 2015.</w:t>
      </w:r>
    </w:p>
    <w:p w14:paraId="3A0EC7EC" w14:textId="77777777" w:rsidR="00806682" w:rsidRDefault="00000000">
      <w:pPr>
        <w:spacing w:after="60"/>
        <w:ind w:left="360" w:hanging="360"/>
      </w:pPr>
      <w:r>
        <w:rPr>
          <w:sz w:val="18"/>
          <w:szCs w:val="18"/>
        </w:rPr>
        <w:t xml:space="preserve">[13] D. Sculley et al., "Hidden </w:t>
      </w:r>
      <w:proofErr w:type="spellStart"/>
      <w:r>
        <w:rPr>
          <w:sz w:val="18"/>
          <w:szCs w:val="18"/>
        </w:rPr>
        <w:t>Technical</w:t>
      </w:r>
      <w:proofErr w:type="spellEnd"/>
      <w:r>
        <w:rPr>
          <w:sz w:val="18"/>
          <w:szCs w:val="18"/>
        </w:rPr>
        <w:t xml:space="preserve"> </w:t>
      </w:r>
      <w:proofErr w:type="spellStart"/>
      <w:r>
        <w:rPr>
          <w:sz w:val="18"/>
          <w:szCs w:val="18"/>
        </w:rPr>
        <w:t>Debt</w:t>
      </w:r>
      <w:proofErr w:type="spellEnd"/>
      <w:r>
        <w:rPr>
          <w:sz w:val="18"/>
          <w:szCs w:val="18"/>
        </w:rPr>
        <w:t xml:space="preserve"> in Machine </w:t>
      </w:r>
      <w:proofErr w:type="spellStart"/>
      <w:r>
        <w:rPr>
          <w:sz w:val="18"/>
          <w:szCs w:val="18"/>
        </w:rPr>
        <w:t>Learning</w:t>
      </w:r>
      <w:proofErr w:type="spellEnd"/>
      <w:r>
        <w:rPr>
          <w:sz w:val="18"/>
          <w:szCs w:val="18"/>
        </w:rPr>
        <w:t xml:space="preserve"> </w:t>
      </w:r>
      <w:proofErr w:type="spellStart"/>
      <w:r>
        <w:rPr>
          <w:sz w:val="18"/>
          <w:szCs w:val="18"/>
        </w:rPr>
        <w:t>Systems</w:t>
      </w:r>
      <w:proofErr w:type="spellEnd"/>
      <w:r>
        <w:rPr>
          <w:sz w:val="18"/>
          <w:szCs w:val="18"/>
        </w:rPr>
        <w:t xml:space="preserve">," </w:t>
      </w:r>
      <w:proofErr w:type="spellStart"/>
      <w:r>
        <w:rPr>
          <w:sz w:val="18"/>
          <w:szCs w:val="18"/>
        </w:rPr>
        <w:t>Advances</w:t>
      </w:r>
      <w:proofErr w:type="spellEnd"/>
      <w:r>
        <w:rPr>
          <w:sz w:val="18"/>
          <w:szCs w:val="18"/>
        </w:rPr>
        <w:t xml:space="preserve"> in Neural </w:t>
      </w:r>
      <w:proofErr w:type="spellStart"/>
      <w:r>
        <w:rPr>
          <w:sz w:val="18"/>
          <w:szCs w:val="18"/>
        </w:rPr>
        <w:t>Information</w:t>
      </w:r>
      <w:proofErr w:type="spellEnd"/>
      <w:r>
        <w:rPr>
          <w:sz w:val="18"/>
          <w:szCs w:val="18"/>
        </w:rPr>
        <w:t xml:space="preserve"> Processing </w:t>
      </w:r>
      <w:proofErr w:type="spellStart"/>
      <w:r>
        <w:rPr>
          <w:sz w:val="18"/>
          <w:szCs w:val="18"/>
        </w:rPr>
        <w:t>Systems</w:t>
      </w:r>
      <w:proofErr w:type="spellEnd"/>
      <w:r>
        <w:rPr>
          <w:sz w:val="18"/>
          <w:szCs w:val="18"/>
        </w:rPr>
        <w:t>, vol. 28, 2015.</w:t>
      </w:r>
    </w:p>
    <w:p w14:paraId="64186FFD" w14:textId="77777777" w:rsidR="00806682" w:rsidRDefault="00000000">
      <w:pPr>
        <w:spacing w:after="60"/>
        <w:ind w:left="360" w:hanging="360"/>
      </w:pPr>
      <w:r>
        <w:rPr>
          <w:sz w:val="18"/>
          <w:szCs w:val="18"/>
        </w:rPr>
        <w:t xml:space="preserve">[14] M. Subramanian, A. </w:t>
      </w:r>
      <w:proofErr w:type="spellStart"/>
      <w:r>
        <w:rPr>
          <w:sz w:val="18"/>
          <w:szCs w:val="18"/>
        </w:rPr>
        <w:t>Galakatos</w:t>
      </w:r>
      <w:proofErr w:type="spellEnd"/>
      <w:r>
        <w:rPr>
          <w:sz w:val="18"/>
          <w:szCs w:val="18"/>
        </w:rPr>
        <w:t xml:space="preserve"> y A. Lamb, "</w:t>
      </w:r>
      <w:proofErr w:type="spellStart"/>
      <w:r>
        <w:rPr>
          <w:sz w:val="18"/>
          <w:szCs w:val="18"/>
        </w:rPr>
        <w:t>Observability</w:t>
      </w:r>
      <w:proofErr w:type="spellEnd"/>
      <w:r>
        <w:rPr>
          <w:sz w:val="18"/>
          <w:szCs w:val="18"/>
        </w:rPr>
        <w:t xml:space="preserve"> in Modern Data </w:t>
      </w:r>
      <w:proofErr w:type="spellStart"/>
      <w:r>
        <w:rPr>
          <w:sz w:val="18"/>
          <w:szCs w:val="18"/>
        </w:rPr>
        <w:t>Platforms</w:t>
      </w:r>
      <w:proofErr w:type="spellEnd"/>
      <w:r>
        <w:rPr>
          <w:sz w:val="18"/>
          <w:szCs w:val="18"/>
        </w:rPr>
        <w:t xml:space="preserve">: </w:t>
      </w:r>
      <w:proofErr w:type="spellStart"/>
      <w:r>
        <w:rPr>
          <w:sz w:val="18"/>
          <w:szCs w:val="18"/>
        </w:rPr>
        <w:t>Patterns</w:t>
      </w:r>
      <w:proofErr w:type="spellEnd"/>
      <w:r>
        <w:rPr>
          <w:sz w:val="18"/>
          <w:szCs w:val="18"/>
        </w:rPr>
        <w:t xml:space="preserve"> and </w:t>
      </w:r>
      <w:proofErr w:type="spellStart"/>
      <w:r>
        <w:rPr>
          <w:sz w:val="18"/>
          <w:szCs w:val="18"/>
        </w:rPr>
        <w:t>Frameworks</w:t>
      </w:r>
      <w:proofErr w:type="spellEnd"/>
      <w:r>
        <w:rPr>
          <w:sz w:val="18"/>
          <w:szCs w:val="18"/>
        </w:rPr>
        <w:t xml:space="preserve">," en </w:t>
      </w:r>
      <w:proofErr w:type="spellStart"/>
      <w:r>
        <w:rPr>
          <w:sz w:val="18"/>
          <w:szCs w:val="18"/>
        </w:rPr>
        <w:t>Proc</w:t>
      </w:r>
      <w:proofErr w:type="spellEnd"/>
      <w:r>
        <w:rPr>
          <w:sz w:val="18"/>
          <w:szCs w:val="18"/>
        </w:rPr>
        <w:t>. IEEE ICDE Workshops, pp. 210–219, 2023.</w:t>
      </w:r>
    </w:p>
    <w:p w14:paraId="188D3326" w14:textId="77777777" w:rsidR="00806682" w:rsidRDefault="00000000">
      <w:pPr>
        <w:spacing w:after="60"/>
        <w:ind w:left="360" w:hanging="360"/>
      </w:pPr>
      <w:r>
        <w:rPr>
          <w:sz w:val="18"/>
          <w:szCs w:val="18"/>
        </w:rPr>
        <w:t xml:space="preserve">[15] N. </w:t>
      </w:r>
      <w:proofErr w:type="spellStart"/>
      <w:r>
        <w:rPr>
          <w:sz w:val="18"/>
          <w:szCs w:val="18"/>
        </w:rPr>
        <w:t>Narkhede</w:t>
      </w:r>
      <w:proofErr w:type="spellEnd"/>
      <w:r>
        <w:rPr>
          <w:sz w:val="18"/>
          <w:szCs w:val="18"/>
        </w:rPr>
        <w:t>, G. Shapira y T. Palino, Kafka: The Definitive Guide, 2nd ed. Sebastopol, CA: O'Reilly Media, 2021.</w:t>
      </w:r>
    </w:p>
    <w:p w14:paraId="7BF00467" w14:textId="77777777" w:rsidR="00806682" w:rsidRDefault="00000000">
      <w:pPr>
        <w:spacing w:after="60"/>
        <w:ind w:left="360" w:hanging="360"/>
      </w:pPr>
      <w:r>
        <w:rPr>
          <w:sz w:val="18"/>
          <w:szCs w:val="18"/>
        </w:rPr>
        <w:t>[16] T. Baird, "</w:t>
      </w:r>
      <w:proofErr w:type="spellStart"/>
      <w:r>
        <w:rPr>
          <w:sz w:val="18"/>
          <w:szCs w:val="18"/>
        </w:rPr>
        <w:t>dbt</w:t>
      </w:r>
      <w:proofErr w:type="spellEnd"/>
      <w:r>
        <w:rPr>
          <w:sz w:val="18"/>
          <w:szCs w:val="18"/>
        </w:rPr>
        <w:t xml:space="preserve"> and </w:t>
      </w:r>
      <w:proofErr w:type="spellStart"/>
      <w:r>
        <w:rPr>
          <w:sz w:val="18"/>
          <w:szCs w:val="18"/>
        </w:rPr>
        <w:t>the</w:t>
      </w:r>
      <w:proofErr w:type="spellEnd"/>
      <w:r>
        <w:rPr>
          <w:sz w:val="18"/>
          <w:szCs w:val="18"/>
        </w:rPr>
        <w:t xml:space="preserve"> Rise </w:t>
      </w:r>
      <w:proofErr w:type="spellStart"/>
      <w:r>
        <w:rPr>
          <w:sz w:val="18"/>
          <w:szCs w:val="18"/>
        </w:rPr>
        <w:t>of</w:t>
      </w:r>
      <w:proofErr w:type="spellEnd"/>
      <w:r>
        <w:rPr>
          <w:sz w:val="18"/>
          <w:szCs w:val="18"/>
        </w:rPr>
        <w:t xml:space="preserve"> </w:t>
      </w:r>
      <w:proofErr w:type="spellStart"/>
      <w:r>
        <w:rPr>
          <w:sz w:val="18"/>
          <w:szCs w:val="18"/>
        </w:rPr>
        <w:t>Analytical</w:t>
      </w:r>
      <w:proofErr w:type="spellEnd"/>
      <w:r>
        <w:rPr>
          <w:sz w:val="18"/>
          <w:szCs w:val="18"/>
        </w:rPr>
        <w:t xml:space="preserve"> </w:t>
      </w:r>
      <w:proofErr w:type="spellStart"/>
      <w:r>
        <w:rPr>
          <w:sz w:val="18"/>
          <w:szCs w:val="18"/>
        </w:rPr>
        <w:t>Engineering</w:t>
      </w:r>
      <w:proofErr w:type="spellEnd"/>
      <w:r>
        <w:rPr>
          <w:sz w:val="18"/>
          <w:szCs w:val="18"/>
        </w:rPr>
        <w:t xml:space="preserve">: </w:t>
      </w:r>
      <w:proofErr w:type="spellStart"/>
      <w:r>
        <w:rPr>
          <w:sz w:val="18"/>
          <w:szCs w:val="18"/>
        </w:rPr>
        <w:t>Implications</w:t>
      </w:r>
      <w:proofErr w:type="spellEnd"/>
      <w:r>
        <w:rPr>
          <w:sz w:val="18"/>
          <w:szCs w:val="18"/>
        </w:rPr>
        <w:t xml:space="preserve"> </w:t>
      </w:r>
      <w:proofErr w:type="spellStart"/>
      <w:r>
        <w:rPr>
          <w:sz w:val="18"/>
          <w:szCs w:val="18"/>
        </w:rPr>
        <w:t>for</w:t>
      </w:r>
      <w:proofErr w:type="spellEnd"/>
      <w:r>
        <w:rPr>
          <w:sz w:val="18"/>
          <w:szCs w:val="18"/>
        </w:rPr>
        <w:t xml:space="preserve"> Data </w:t>
      </w:r>
      <w:proofErr w:type="spellStart"/>
      <w:r>
        <w:rPr>
          <w:sz w:val="18"/>
          <w:szCs w:val="18"/>
        </w:rPr>
        <w:t>Teams</w:t>
      </w:r>
      <w:proofErr w:type="spellEnd"/>
      <w:r>
        <w:rPr>
          <w:sz w:val="18"/>
          <w:szCs w:val="18"/>
        </w:rPr>
        <w:t xml:space="preserve">," en </w:t>
      </w:r>
      <w:proofErr w:type="spellStart"/>
      <w:r>
        <w:rPr>
          <w:sz w:val="18"/>
          <w:szCs w:val="18"/>
        </w:rPr>
        <w:t>Proc</w:t>
      </w:r>
      <w:proofErr w:type="spellEnd"/>
      <w:r>
        <w:rPr>
          <w:sz w:val="18"/>
          <w:szCs w:val="18"/>
        </w:rPr>
        <w:t>. IEEE Big Data Congress, pp. 450–457, 2022.</w:t>
      </w:r>
    </w:p>
    <w:p w14:paraId="41E5EE2F" w14:textId="77777777" w:rsidR="00806682" w:rsidRDefault="00000000">
      <w:pPr>
        <w:spacing w:after="60"/>
        <w:ind w:left="360" w:hanging="360"/>
      </w:pPr>
      <w:r>
        <w:rPr>
          <w:sz w:val="18"/>
          <w:szCs w:val="18"/>
        </w:rPr>
        <w:t xml:space="preserve">[17] Z. Dehghani, Data Mesh: </w:t>
      </w:r>
      <w:proofErr w:type="spellStart"/>
      <w:r>
        <w:rPr>
          <w:sz w:val="18"/>
          <w:szCs w:val="18"/>
        </w:rPr>
        <w:t>Delivering</w:t>
      </w:r>
      <w:proofErr w:type="spellEnd"/>
      <w:r>
        <w:rPr>
          <w:sz w:val="18"/>
          <w:szCs w:val="18"/>
        </w:rPr>
        <w:t xml:space="preserve"> Data-</w:t>
      </w:r>
      <w:proofErr w:type="spellStart"/>
      <w:r>
        <w:rPr>
          <w:sz w:val="18"/>
          <w:szCs w:val="18"/>
        </w:rPr>
        <w:t>Driven</w:t>
      </w:r>
      <w:proofErr w:type="spellEnd"/>
      <w:r>
        <w:rPr>
          <w:sz w:val="18"/>
          <w:szCs w:val="18"/>
        </w:rPr>
        <w:t xml:space="preserve"> </w:t>
      </w:r>
      <w:proofErr w:type="spellStart"/>
      <w:r>
        <w:rPr>
          <w:sz w:val="18"/>
          <w:szCs w:val="18"/>
        </w:rPr>
        <w:t>Value</w:t>
      </w:r>
      <w:proofErr w:type="spellEnd"/>
      <w:r>
        <w:rPr>
          <w:sz w:val="18"/>
          <w:szCs w:val="18"/>
        </w:rPr>
        <w:t xml:space="preserve"> at Scale. Sebastopol, CA: O'Reilly Media, 2022.</w:t>
      </w:r>
    </w:p>
    <w:p w14:paraId="59376D7E" w14:textId="77777777" w:rsidR="00806A70" w:rsidRDefault="00806A70">
      <w:pPr>
        <w:spacing w:after="60"/>
        <w:ind w:left="360" w:hanging="360"/>
        <w:rPr>
          <w:sz w:val="18"/>
          <w:szCs w:val="18"/>
        </w:rPr>
      </w:pPr>
    </w:p>
    <w:p w14:paraId="7AD769C0" w14:textId="77777777" w:rsidR="00806A70" w:rsidRDefault="00806A70">
      <w:pPr>
        <w:spacing w:after="60"/>
        <w:ind w:left="360" w:hanging="360"/>
        <w:rPr>
          <w:sz w:val="18"/>
          <w:szCs w:val="18"/>
        </w:rPr>
      </w:pPr>
    </w:p>
    <w:p w14:paraId="7D53FAA1" w14:textId="77777777" w:rsidR="00806A70" w:rsidRDefault="00806A70">
      <w:pPr>
        <w:spacing w:after="60"/>
        <w:ind w:left="360" w:hanging="360"/>
        <w:rPr>
          <w:sz w:val="18"/>
          <w:szCs w:val="18"/>
        </w:rPr>
      </w:pPr>
    </w:p>
    <w:p w14:paraId="64DCF987" w14:textId="77777777" w:rsidR="00806A70" w:rsidRDefault="00806A70">
      <w:pPr>
        <w:spacing w:after="60"/>
        <w:ind w:left="360" w:hanging="360"/>
        <w:rPr>
          <w:sz w:val="18"/>
          <w:szCs w:val="18"/>
        </w:rPr>
      </w:pPr>
    </w:p>
    <w:p w14:paraId="00116024" w14:textId="77777777" w:rsidR="00806A70" w:rsidRDefault="00806A70">
      <w:pPr>
        <w:spacing w:after="60"/>
        <w:ind w:left="360" w:hanging="360"/>
        <w:rPr>
          <w:sz w:val="18"/>
          <w:szCs w:val="18"/>
        </w:rPr>
      </w:pPr>
    </w:p>
    <w:p w14:paraId="643CFB19" w14:textId="0C5DA862" w:rsidR="00806A70" w:rsidRDefault="00000000">
      <w:pPr>
        <w:spacing w:after="60"/>
        <w:ind w:left="360" w:hanging="360"/>
        <w:rPr>
          <w:sz w:val="18"/>
          <w:szCs w:val="18"/>
        </w:rPr>
      </w:pPr>
      <w:r>
        <w:rPr>
          <w:sz w:val="18"/>
          <w:szCs w:val="18"/>
        </w:rPr>
        <w:t xml:space="preserve">[18] C. Figueroa y R. Leiva, "Adopción de arquitecturas de datos en el sector público latinoamericano: barreras técnicas y organizacionales," Revista Iberoamericana de </w:t>
      </w:r>
    </w:p>
    <w:p w14:paraId="2CEF6A33" w14:textId="385306E9" w:rsidR="00806682" w:rsidRDefault="00000000">
      <w:pPr>
        <w:spacing w:after="60"/>
        <w:ind w:left="360" w:hanging="360"/>
      </w:pPr>
      <w:r>
        <w:rPr>
          <w:sz w:val="18"/>
          <w:szCs w:val="18"/>
        </w:rPr>
        <w:t>Informática y Computación, vol. 14, no. 2, pp. 88–104, 2023.</w:t>
      </w:r>
    </w:p>
    <w:p w14:paraId="68DA0DA8" w14:textId="77777777" w:rsidR="00806A70" w:rsidRDefault="00806A70">
      <w:pPr>
        <w:spacing w:after="60"/>
        <w:ind w:left="360" w:hanging="360"/>
        <w:rPr>
          <w:sz w:val="18"/>
          <w:szCs w:val="18"/>
        </w:rPr>
      </w:pPr>
    </w:p>
    <w:p w14:paraId="77C9FA4B" w14:textId="104ADF58" w:rsidR="00806682" w:rsidRDefault="00000000">
      <w:pPr>
        <w:spacing w:after="60"/>
        <w:ind w:left="360" w:hanging="360"/>
      </w:pPr>
      <w:r>
        <w:rPr>
          <w:sz w:val="18"/>
          <w:szCs w:val="18"/>
        </w:rPr>
        <w:t xml:space="preserve">[19] B. Bager, M. Jarke y F. Naumann, "GAIA-X Data Spaces: Reference </w:t>
      </w:r>
      <w:proofErr w:type="spellStart"/>
      <w:r>
        <w:rPr>
          <w:sz w:val="18"/>
          <w:szCs w:val="18"/>
        </w:rPr>
        <w:t>Architecture</w:t>
      </w:r>
      <w:proofErr w:type="spellEnd"/>
      <w:r>
        <w:rPr>
          <w:sz w:val="18"/>
          <w:szCs w:val="18"/>
        </w:rPr>
        <w:t xml:space="preserve"> and </w:t>
      </w:r>
      <w:proofErr w:type="spellStart"/>
      <w:r>
        <w:rPr>
          <w:sz w:val="18"/>
          <w:szCs w:val="18"/>
        </w:rPr>
        <w:t>Implementation</w:t>
      </w:r>
      <w:proofErr w:type="spellEnd"/>
      <w:r>
        <w:rPr>
          <w:sz w:val="18"/>
          <w:szCs w:val="18"/>
        </w:rPr>
        <w:t xml:space="preserve"> </w:t>
      </w:r>
      <w:proofErr w:type="spellStart"/>
      <w:r>
        <w:rPr>
          <w:sz w:val="18"/>
          <w:szCs w:val="18"/>
        </w:rPr>
        <w:t>Patterns</w:t>
      </w:r>
      <w:proofErr w:type="spellEnd"/>
      <w:r>
        <w:rPr>
          <w:sz w:val="18"/>
          <w:szCs w:val="18"/>
        </w:rPr>
        <w:t xml:space="preserve">," en </w:t>
      </w:r>
      <w:proofErr w:type="spellStart"/>
      <w:r>
        <w:rPr>
          <w:sz w:val="18"/>
          <w:szCs w:val="18"/>
        </w:rPr>
        <w:t>Proc</w:t>
      </w:r>
      <w:proofErr w:type="spellEnd"/>
      <w:r>
        <w:rPr>
          <w:sz w:val="18"/>
          <w:szCs w:val="18"/>
        </w:rPr>
        <w:t>. IEEE ICDE, pp. 1980–1991, 2023.</w:t>
      </w:r>
    </w:p>
    <w:p w14:paraId="1A94124C" w14:textId="77777777" w:rsidR="00806682" w:rsidRDefault="00000000">
      <w:pPr>
        <w:spacing w:after="60"/>
        <w:ind w:left="360" w:hanging="360"/>
      </w:pPr>
      <w:r>
        <w:rPr>
          <w:sz w:val="18"/>
          <w:szCs w:val="18"/>
        </w:rPr>
        <w:t xml:space="preserve">[20] J. Garza, I. Hernández y A. Castro, "Data </w:t>
      </w:r>
      <w:proofErr w:type="spellStart"/>
      <w:r>
        <w:rPr>
          <w:sz w:val="18"/>
          <w:szCs w:val="18"/>
        </w:rPr>
        <w:t>Engineering</w:t>
      </w:r>
      <w:proofErr w:type="spellEnd"/>
      <w:r>
        <w:rPr>
          <w:sz w:val="18"/>
          <w:szCs w:val="18"/>
        </w:rPr>
        <w:t xml:space="preserve"> </w:t>
      </w:r>
      <w:proofErr w:type="spellStart"/>
      <w:r>
        <w:rPr>
          <w:sz w:val="18"/>
          <w:szCs w:val="18"/>
        </w:rPr>
        <w:t>Maturity</w:t>
      </w:r>
      <w:proofErr w:type="spellEnd"/>
      <w:r>
        <w:rPr>
          <w:sz w:val="18"/>
          <w:szCs w:val="18"/>
        </w:rPr>
        <w:t xml:space="preserve"> in Public </w:t>
      </w:r>
      <w:proofErr w:type="spellStart"/>
      <w:r>
        <w:rPr>
          <w:sz w:val="18"/>
          <w:szCs w:val="18"/>
        </w:rPr>
        <w:t>Organizations</w:t>
      </w:r>
      <w:proofErr w:type="spellEnd"/>
      <w:r>
        <w:rPr>
          <w:sz w:val="18"/>
          <w:szCs w:val="18"/>
        </w:rPr>
        <w:t xml:space="preserve">: A Mexican Case Study," en </w:t>
      </w:r>
      <w:proofErr w:type="spellStart"/>
      <w:r>
        <w:rPr>
          <w:sz w:val="18"/>
          <w:szCs w:val="18"/>
        </w:rPr>
        <w:t>Proc</w:t>
      </w:r>
      <w:proofErr w:type="spellEnd"/>
      <w:r>
        <w:rPr>
          <w:sz w:val="18"/>
          <w:szCs w:val="18"/>
        </w:rPr>
        <w:t xml:space="preserve">. IEEE </w:t>
      </w:r>
      <w:proofErr w:type="spellStart"/>
      <w:r>
        <w:rPr>
          <w:sz w:val="18"/>
          <w:szCs w:val="18"/>
        </w:rPr>
        <w:t>Latin</w:t>
      </w:r>
      <w:proofErr w:type="spellEnd"/>
      <w:r>
        <w:rPr>
          <w:sz w:val="18"/>
          <w:szCs w:val="18"/>
        </w:rPr>
        <w:t xml:space="preserve"> American </w:t>
      </w:r>
      <w:proofErr w:type="spellStart"/>
      <w:r>
        <w:rPr>
          <w:sz w:val="18"/>
          <w:szCs w:val="18"/>
        </w:rPr>
        <w:t>Conference</w:t>
      </w:r>
      <w:proofErr w:type="spellEnd"/>
      <w:r>
        <w:rPr>
          <w:sz w:val="18"/>
          <w:szCs w:val="18"/>
        </w:rPr>
        <w:t xml:space="preserve"> </w:t>
      </w:r>
      <w:proofErr w:type="spellStart"/>
      <w:r>
        <w:rPr>
          <w:sz w:val="18"/>
          <w:szCs w:val="18"/>
        </w:rPr>
        <w:t>on</w:t>
      </w:r>
      <w:proofErr w:type="spellEnd"/>
      <w:r>
        <w:rPr>
          <w:sz w:val="18"/>
          <w:szCs w:val="18"/>
        </w:rPr>
        <w:t xml:space="preserve"> </w:t>
      </w:r>
      <w:proofErr w:type="spellStart"/>
      <w:r>
        <w:rPr>
          <w:sz w:val="18"/>
          <w:szCs w:val="18"/>
        </w:rPr>
        <w:t>Computational</w:t>
      </w:r>
      <w:proofErr w:type="spellEnd"/>
      <w:r>
        <w:rPr>
          <w:sz w:val="18"/>
          <w:szCs w:val="18"/>
        </w:rPr>
        <w:t xml:space="preserve"> </w:t>
      </w:r>
      <w:proofErr w:type="spellStart"/>
      <w:r>
        <w:rPr>
          <w:sz w:val="18"/>
          <w:szCs w:val="18"/>
        </w:rPr>
        <w:t>Intelligence</w:t>
      </w:r>
      <w:proofErr w:type="spellEnd"/>
      <w:r>
        <w:rPr>
          <w:sz w:val="18"/>
          <w:szCs w:val="18"/>
        </w:rPr>
        <w:t>, pp. 1–8, 2022.</w:t>
      </w:r>
    </w:p>
    <w:p w14:paraId="3D8EBB9C" w14:textId="77777777" w:rsidR="00806682" w:rsidRDefault="00000000">
      <w:pPr>
        <w:spacing w:after="60"/>
        <w:ind w:left="360" w:hanging="360"/>
      </w:pPr>
      <w:r>
        <w:rPr>
          <w:sz w:val="18"/>
          <w:szCs w:val="18"/>
        </w:rPr>
        <w:t>[21] O. Birkland, "</w:t>
      </w:r>
      <w:proofErr w:type="spellStart"/>
      <w:r>
        <w:rPr>
          <w:sz w:val="18"/>
          <w:szCs w:val="18"/>
        </w:rPr>
        <w:t>lakeFS</w:t>
      </w:r>
      <w:proofErr w:type="spellEnd"/>
      <w:r>
        <w:rPr>
          <w:sz w:val="18"/>
          <w:szCs w:val="18"/>
        </w:rPr>
        <w:t xml:space="preserve"> and </w:t>
      </w:r>
      <w:proofErr w:type="spellStart"/>
      <w:r>
        <w:rPr>
          <w:sz w:val="18"/>
          <w:szCs w:val="18"/>
        </w:rPr>
        <w:t>the</w:t>
      </w:r>
      <w:proofErr w:type="spellEnd"/>
      <w:r>
        <w:rPr>
          <w:sz w:val="18"/>
          <w:szCs w:val="18"/>
        </w:rPr>
        <w:t xml:space="preserve"> Git-</w:t>
      </w:r>
      <w:proofErr w:type="spellStart"/>
      <w:r>
        <w:rPr>
          <w:sz w:val="18"/>
          <w:szCs w:val="18"/>
        </w:rPr>
        <w:t>for</w:t>
      </w:r>
      <w:proofErr w:type="spellEnd"/>
      <w:r>
        <w:rPr>
          <w:sz w:val="18"/>
          <w:szCs w:val="18"/>
        </w:rPr>
        <w:t xml:space="preserve">-Data </w:t>
      </w:r>
      <w:proofErr w:type="spellStart"/>
      <w:r>
        <w:rPr>
          <w:sz w:val="18"/>
          <w:szCs w:val="18"/>
        </w:rPr>
        <w:t>Paradigm</w:t>
      </w:r>
      <w:proofErr w:type="spellEnd"/>
      <w:r>
        <w:rPr>
          <w:sz w:val="18"/>
          <w:szCs w:val="18"/>
        </w:rPr>
        <w:t xml:space="preserve">: </w:t>
      </w:r>
      <w:proofErr w:type="spellStart"/>
      <w:r>
        <w:rPr>
          <w:sz w:val="18"/>
          <w:szCs w:val="18"/>
        </w:rPr>
        <w:t>Version</w:t>
      </w:r>
      <w:proofErr w:type="spellEnd"/>
      <w:r>
        <w:rPr>
          <w:sz w:val="18"/>
          <w:szCs w:val="18"/>
        </w:rPr>
        <w:t xml:space="preserve"> Control </w:t>
      </w:r>
      <w:proofErr w:type="spellStart"/>
      <w:r>
        <w:rPr>
          <w:sz w:val="18"/>
          <w:szCs w:val="18"/>
        </w:rPr>
        <w:t>Applied</w:t>
      </w:r>
      <w:proofErr w:type="spellEnd"/>
      <w:r>
        <w:rPr>
          <w:sz w:val="18"/>
          <w:szCs w:val="18"/>
        </w:rPr>
        <w:t xml:space="preserve"> </w:t>
      </w:r>
      <w:proofErr w:type="spellStart"/>
      <w:r>
        <w:rPr>
          <w:sz w:val="18"/>
          <w:szCs w:val="18"/>
        </w:rPr>
        <w:t>to</w:t>
      </w:r>
      <w:proofErr w:type="spellEnd"/>
      <w:r>
        <w:rPr>
          <w:sz w:val="18"/>
          <w:szCs w:val="18"/>
        </w:rPr>
        <w:t xml:space="preserve"> Large-Scale </w:t>
      </w:r>
      <w:proofErr w:type="spellStart"/>
      <w:r>
        <w:rPr>
          <w:sz w:val="18"/>
          <w:szCs w:val="18"/>
        </w:rPr>
        <w:t>Datasets</w:t>
      </w:r>
      <w:proofErr w:type="spellEnd"/>
      <w:r>
        <w:rPr>
          <w:sz w:val="18"/>
          <w:szCs w:val="18"/>
        </w:rPr>
        <w:t xml:space="preserve">," en </w:t>
      </w:r>
      <w:proofErr w:type="spellStart"/>
      <w:r>
        <w:rPr>
          <w:sz w:val="18"/>
          <w:szCs w:val="18"/>
        </w:rPr>
        <w:t>Proc</w:t>
      </w:r>
      <w:proofErr w:type="spellEnd"/>
      <w:r>
        <w:rPr>
          <w:sz w:val="18"/>
          <w:szCs w:val="18"/>
        </w:rPr>
        <w:t xml:space="preserve">. IEEE International </w:t>
      </w:r>
      <w:proofErr w:type="spellStart"/>
      <w:r>
        <w:rPr>
          <w:sz w:val="18"/>
          <w:szCs w:val="18"/>
        </w:rPr>
        <w:t>Conference</w:t>
      </w:r>
      <w:proofErr w:type="spellEnd"/>
      <w:r>
        <w:rPr>
          <w:sz w:val="18"/>
          <w:szCs w:val="18"/>
        </w:rPr>
        <w:t xml:space="preserve"> </w:t>
      </w:r>
      <w:proofErr w:type="spellStart"/>
      <w:r>
        <w:rPr>
          <w:sz w:val="18"/>
          <w:szCs w:val="18"/>
        </w:rPr>
        <w:t>on</w:t>
      </w:r>
      <w:proofErr w:type="spellEnd"/>
      <w:r>
        <w:rPr>
          <w:sz w:val="18"/>
          <w:szCs w:val="18"/>
        </w:rPr>
        <w:t xml:space="preserve"> Cloud </w:t>
      </w:r>
      <w:proofErr w:type="spellStart"/>
      <w:r>
        <w:rPr>
          <w:sz w:val="18"/>
          <w:szCs w:val="18"/>
        </w:rPr>
        <w:t>Engineering</w:t>
      </w:r>
      <w:proofErr w:type="spellEnd"/>
      <w:r>
        <w:rPr>
          <w:sz w:val="18"/>
          <w:szCs w:val="18"/>
        </w:rPr>
        <w:t>, pp. 145–152, 2022.</w:t>
      </w:r>
    </w:p>
    <w:p w14:paraId="27C02CE2" w14:textId="77777777" w:rsidR="00806682" w:rsidRDefault="00000000">
      <w:pPr>
        <w:spacing w:after="60"/>
        <w:ind w:left="360" w:hanging="360"/>
      </w:pPr>
      <w:r>
        <w:rPr>
          <w:sz w:val="18"/>
          <w:szCs w:val="18"/>
        </w:rPr>
        <w:t xml:space="preserve">[22] M. Kleppmann, </w:t>
      </w:r>
      <w:proofErr w:type="spellStart"/>
      <w:r>
        <w:rPr>
          <w:sz w:val="18"/>
          <w:szCs w:val="18"/>
        </w:rPr>
        <w:t>Designing</w:t>
      </w:r>
      <w:proofErr w:type="spellEnd"/>
      <w:r>
        <w:rPr>
          <w:sz w:val="18"/>
          <w:szCs w:val="18"/>
        </w:rPr>
        <w:t xml:space="preserve"> Data-Intensive </w:t>
      </w:r>
      <w:proofErr w:type="spellStart"/>
      <w:r>
        <w:rPr>
          <w:sz w:val="18"/>
          <w:szCs w:val="18"/>
        </w:rPr>
        <w:t>Applications</w:t>
      </w:r>
      <w:proofErr w:type="spellEnd"/>
      <w:r>
        <w:rPr>
          <w:sz w:val="18"/>
          <w:szCs w:val="18"/>
        </w:rPr>
        <w:t>. Sebastopol, CA: O'Reilly Media, 2017.</w:t>
      </w:r>
    </w:p>
    <w:p w14:paraId="1286B272" w14:textId="77777777" w:rsidR="00806682" w:rsidRDefault="00000000">
      <w:pPr>
        <w:spacing w:after="60"/>
        <w:ind w:left="360" w:hanging="360"/>
      </w:pPr>
      <w:r>
        <w:rPr>
          <w:sz w:val="18"/>
          <w:szCs w:val="18"/>
        </w:rPr>
        <w:t xml:space="preserve">[23] P. Carbone, A. </w:t>
      </w:r>
      <w:proofErr w:type="spellStart"/>
      <w:r>
        <w:rPr>
          <w:sz w:val="18"/>
          <w:szCs w:val="18"/>
        </w:rPr>
        <w:t>Katsifodimos</w:t>
      </w:r>
      <w:proofErr w:type="spellEnd"/>
      <w:r>
        <w:rPr>
          <w:sz w:val="18"/>
          <w:szCs w:val="18"/>
        </w:rPr>
        <w:t xml:space="preserve">, S. Ewen, V. Markl, S. </w:t>
      </w:r>
      <w:proofErr w:type="spellStart"/>
      <w:r>
        <w:rPr>
          <w:sz w:val="18"/>
          <w:szCs w:val="18"/>
        </w:rPr>
        <w:t>Haridi</w:t>
      </w:r>
      <w:proofErr w:type="spellEnd"/>
      <w:r>
        <w:rPr>
          <w:sz w:val="18"/>
          <w:szCs w:val="18"/>
        </w:rPr>
        <w:t xml:space="preserve"> y K. </w:t>
      </w:r>
      <w:proofErr w:type="spellStart"/>
      <w:r>
        <w:rPr>
          <w:sz w:val="18"/>
          <w:szCs w:val="18"/>
        </w:rPr>
        <w:t>Tzoumas</w:t>
      </w:r>
      <w:proofErr w:type="spellEnd"/>
      <w:r>
        <w:rPr>
          <w:sz w:val="18"/>
          <w:szCs w:val="18"/>
        </w:rPr>
        <w:t xml:space="preserve">, "Apache Flink: Stream and Batch Processing in a Single </w:t>
      </w:r>
      <w:proofErr w:type="spellStart"/>
      <w:r>
        <w:rPr>
          <w:sz w:val="18"/>
          <w:szCs w:val="18"/>
        </w:rPr>
        <w:t>Engine</w:t>
      </w:r>
      <w:proofErr w:type="spellEnd"/>
      <w:r>
        <w:rPr>
          <w:sz w:val="18"/>
          <w:szCs w:val="18"/>
        </w:rPr>
        <w:t xml:space="preserve">," IEEE Data </w:t>
      </w:r>
      <w:proofErr w:type="spellStart"/>
      <w:r>
        <w:rPr>
          <w:sz w:val="18"/>
          <w:szCs w:val="18"/>
        </w:rPr>
        <w:t>Engineering</w:t>
      </w:r>
      <w:proofErr w:type="spellEnd"/>
      <w:r>
        <w:rPr>
          <w:sz w:val="18"/>
          <w:szCs w:val="18"/>
        </w:rPr>
        <w:t xml:space="preserve"> </w:t>
      </w:r>
      <w:proofErr w:type="spellStart"/>
      <w:r>
        <w:rPr>
          <w:sz w:val="18"/>
          <w:szCs w:val="18"/>
        </w:rPr>
        <w:t>Bulletin</w:t>
      </w:r>
      <w:proofErr w:type="spellEnd"/>
      <w:r>
        <w:rPr>
          <w:sz w:val="18"/>
          <w:szCs w:val="18"/>
        </w:rPr>
        <w:t>, vol. 38, no. 4, pp. 28–38, 2015.</w:t>
      </w:r>
    </w:p>
    <w:p w14:paraId="547878CF" w14:textId="77777777" w:rsidR="00806682" w:rsidRDefault="00000000">
      <w:pPr>
        <w:spacing w:after="60"/>
        <w:ind w:left="360" w:hanging="360"/>
      </w:pPr>
      <w:r>
        <w:rPr>
          <w:sz w:val="18"/>
          <w:szCs w:val="18"/>
        </w:rPr>
        <w:t xml:space="preserve">[24] A. Doan, A. Halevy y Z. Ives, </w:t>
      </w:r>
      <w:proofErr w:type="spellStart"/>
      <w:r>
        <w:rPr>
          <w:sz w:val="18"/>
          <w:szCs w:val="18"/>
        </w:rPr>
        <w:t>Principles</w:t>
      </w:r>
      <w:proofErr w:type="spellEnd"/>
      <w:r>
        <w:rPr>
          <w:sz w:val="18"/>
          <w:szCs w:val="18"/>
        </w:rPr>
        <w:t xml:space="preserve"> </w:t>
      </w:r>
      <w:proofErr w:type="spellStart"/>
      <w:r>
        <w:rPr>
          <w:sz w:val="18"/>
          <w:szCs w:val="18"/>
        </w:rPr>
        <w:t>of</w:t>
      </w:r>
      <w:proofErr w:type="spellEnd"/>
      <w:r>
        <w:rPr>
          <w:sz w:val="18"/>
          <w:szCs w:val="18"/>
        </w:rPr>
        <w:t xml:space="preserve"> Data </w:t>
      </w:r>
      <w:proofErr w:type="spellStart"/>
      <w:r>
        <w:rPr>
          <w:sz w:val="18"/>
          <w:szCs w:val="18"/>
        </w:rPr>
        <w:t>Integration</w:t>
      </w:r>
      <w:proofErr w:type="spellEnd"/>
      <w:r>
        <w:rPr>
          <w:sz w:val="18"/>
          <w:szCs w:val="18"/>
        </w:rPr>
        <w:t>. Waltham, MA: Morgan Kaufmann, 2012.</w:t>
      </w:r>
    </w:p>
    <w:p w14:paraId="2CBF7C49" w14:textId="77777777" w:rsidR="00806682" w:rsidRDefault="00000000">
      <w:pPr>
        <w:spacing w:after="60"/>
        <w:ind w:left="360" w:hanging="360"/>
      </w:pPr>
      <w:r>
        <w:rPr>
          <w:sz w:val="18"/>
          <w:szCs w:val="18"/>
        </w:rPr>
        <w:lastRenderedPageBreak/>
        <w:t xml:space="preserve">[25] F. Psallidas et al., "Data </w:t>
      </w:r>
      <w:proofErr w:type="spellStart"/>
      <w:r>
        <w:rPr>
          <w:sz w:val="18"/>
          <w:szCs w:val="18"/>
        </w:rPr>
        <w:t>Preparation</w:t>
      </w:r>
      <w:proofErr w:type="spellEnd"/>
      <w:r>
        <w:rPr>
          <w:sz w:val="18"/>
          <w:szCs w:val="18"/>
        </w:rPr>
        <w:t xml:space="preserve"> </w:t>
      </w:r>
      <w:proofErr w:type="spellStart"/>
      <w:r>
        <w:rPr>
          <w:sz w:val="18"/>
          <w:szCs w:val="18"/>
        </w:rPr>
        <w:t>for</w:t>
      </w:r>
      <w:proofErr w:type="spellEnd"/>
      <w:r>
        <w:rPr>
          <w:sz w:val="18"/>
          <w:szCs w:val="18"/>
        </w:rPr>
        <w:t xml:space="preserve"> Machine </w:t>
      </w:r>
      <w:proofErr w:type="spellStart"/>
      <w:r>
        <w:rPr>
          <w:sz w:val="18"/>
          <w:szCs w:val="18"/>
        </w:rPr>
        <w:t>Learning</w:t>
      </w:r>
      <w:proofErr w:type="spellEnd"/>
      <w:r>
        <w:rPr>
          <w:sz w:val="18"/>
          <w:szCs w:val="18"/>
        </w:rPr>
        <w:t xml:space="preserve">: </w:t>
      </w:r>
      <w:proofErr w:type="spellStart"/>
      <w:r>
        <w:rPr>
          <w:sz w:val="18"/>
          <w:szCs w:val="18"/>
        </w:rPr>
        <w:t>Opportunities</w:t>
      </w:r>
      <w:proofErr w:type="spellEnd"/>
      <w:r>
        <w:rPr>
          <w:sz w:val="18"/>
          <w:szCs w:val="18"/>
        </w:rPr>
        <w:t xml:space="preserve">, </w:t>
      </w:r>
      <w:proofErr w:type="spellStart"/>
      <w:r>
        <w:rPr>
          <w:sz w:val="18"/>
          <w:szCs w:val="18"/>
        </w:rPr>
        <w:t>Techniques</w:t>
      </w:r>
      <w:proofErr w:type="spellEnd"/>
      <w:r>
        <w:rPr>
          <w:sz w:val="18"/>
          <w:szCs w:val="18"/>
        </w:rPr>
        <w:t xml:space="preserve">, and Open </w:t>
      </w:r>
      <w:proofErr w:type="spellStart"/>
      <w:r>
        <w:rPr>
          <w:sz w:val="18"/>
          <w:szCs w:val="18"/>
        </w:rPr>
        <w:t>Challenges</w:t>
      </w:r>
      <w:proofErr w:type="spellEnd"/>
      <w:r>
        <w:rPr>
          <w:sz w:val="18"/>
          <w:szCs w:val="18"/>
        </w:rPr>
        <w:t xml:space="preserve">," IEEE Data </w:t>
      </w:r>
      <w:proofErr w:type="spellStart"/>
      <w:r>
        <w:rPr>
          <w:sz w:val="18"/>
          <w:szCs w:val="18"/>
        </w:rPr>
        <w:t>Engineering</w:t>
      </w:r>
      <w:proofErr w:type="spellEnd"/>
      <w:r>
        <w:rPr>
          <w:sz w:val="18"/>
          <w:szCs w:val="18"/>
        </w:rPr>
        <w:t xml:space="preserve"> </w:t>
      </w:r>
      <w:proofErr w:type="spellStart"/>
      <w:r>
        <w:rPr>
          <w:sz w:val="18"/>
          <w:szCs w:val="18"/>
        </w:rPr>
        <w:t>Bulletin</w:t>
      </w:r>
      <w:proofErr w:type="spellEnd"/>
      <w:r>
        <w:rPr>
          <w:sz w:val="18"/>
          <w:szCs w:val="18"/>
        </w:rPr>
        <w:t>, vol. 44, no. 1, pp. 16–45, 2021.</w:t>
      </w:r>
    </w:p>
    <w:sectPr w:rsidR="00806682">
      <w:type w:val="continuous"/>
      <w:pgSz w:w="12240" w:h="15840"/>
      <w:pgMar w:top="1080" w:right="1080" w:bottom="1080" w:left="1080" w:header="708" w:footer="708"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0E676C"/>
    <w:multiLevelType w:val="hybridMultilevel"/>
    <w:tmpl w:val="CC1CEA4A"/>
    <w:lvl w:ilvl="0" w:tplc="D67C072E">
      <w:start w:val="1"/>
      <w:numFmt w:val="bullet"/>
      <w:lvlText w:val="●"/>
      <w:lvlJc w:val="left"/>
      <w:pPr>
        <w:ind w:left="720" w:hanging="360"/>
      </w:pPr>
    </w:lvl>
    <w:lvl w:ilvl="1" w:tplc="C1D46306">
      <w:start w:val="1"/>
      <w:numFmt w:val="bullet"/>
      <w:lvlText w:val="○"/>
      <w:lvlJc w:val="left"/>
      <w:pPr>
        <w:ind w:left="1440" w:hanging="360"/>
      </w:pPr>
    </w:lvl>
    <w:lvl w:ilvl="2" w:tplc="4D7A912A">
      <w:start w:val="1"/>
      <w:numFmt w:val="bullet"/>
      <w:lvlText w:val="■"/>
      <w:lvlJc w:val="left"/>
      <w:pPr>
        <w:ind w:left="2160" w:hanging="360"/>
      </w:pPr>
    </w:lvl>
    <w:lvl w:ilvl="3" w:tplc="8254623C">
      <w:start w:val="1"/>
      <w:numFmt w:val="bullet"/>
      <w:lvlText w:val="●"/>
      <w:lvlJc w:val="left"/>
      <w:pPr>
        <w:ind w:left="2880" w:hanging="360"/>
      </w:pPr>
    </w:lvl>
    <w:lvl w:ilvl="4" w:tplc="31F292F8">
      <w:start w:val="1"/>
      <w:numFmt w:val="bullet"/>
      <w:lvlText w:val="○"/>
      <w:lvlJc w:val="left"/>
      <w:pPr>
        <w:ind w:left="3600" w:hanging="360"/>
      </w:pPr>
    </w:lvl>
    <w:lvl w:ilvl="5" w:tplc="CE8C6ED2">
      <w:start w:val="1"/>
      <w:numFmt w:val="bullet"/>
      <w:lvlText w:val="■"/>
      <w:lvlJc w:val="left"/>
      <w:pPr>
        <w:ind w:left="4320" w:hanging="360"/>
      </w:pPr>
    </w:lvl>
    <w:lvl w:ilvl="6" w:tplc="FA0C2EEC">
      <w:start w:val="1"/>
      <w:numFmt w:val="bullet"/>
      <w:lvlText w:val="●"/>
      <w:lvlJc w:val="left"/>
      <w:pPr>
        <w:ind w:left="5040" w:hanging="360"/>
      </w:pPr>
    </w:lvl>
    <w:lvl w:ilvl="7" w:tplc="848A07A6">
      <w:start w:val="1"/>
      <w:numFmt w:val="bullet"/>
      <w:lvlText w:val="●"/>
      <w:lvlJc w:val="left"/>
      <w:pPr>
        <w:ind w:left="5760" w:hanging="360"/>
      </w:pPr>
    </w:lvl>
    <w:lvl w:ilvl="8" w:tplc="E7C86D4E">
      <w:start w:val="1"/>
      <w:numFmt w:val="bullet"/>
      <w:lvlText w:val="●"/>
      <w:lvlJc w:val="left"/>
      <w:pPr>
        <w:ind w:left="6480" w:hanging="360"/>
      </w:pPr>
    </w:lvl>
  </w:abstractNum>
  <w:num w:numId="1" w16cid:durableId="209658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6682"/>
    <w:rsid w:val="0069687E"/>
    <w:rsid w:val="00806682"/>
    <w:rsid w:val="00806A70"/>
    <w:rsid w:val="009F14B5"/>
    <w:rsid w:val="00DB72A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467D7"/>
  <w15:docId w15:val="{325B3309-F681-4959-AC23-0F24D6F86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3214</Words>
  <Characters>17679</Characters>
  <Application>Microsoft Office Word</Application>
  <DocSecurity>0</DocSecurity>
  <Lines>147</Lines>
  <Paragraphs>41</Paragraphs>
  <ScaleCrop>false</ScaleCrop>
  <Company/>
  <LinksUpToDate>false</LinksUpToDate>
  <CharactersWithSpaces>20852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David Vargas</cp:lastModifiedBy>
  <cp:revision>2</cp:revision>
  <dcterms:created xsi:type="dcterms:W3CDTF">2026-07-23T16:18:00Z</dcterms:created>
  <dcterms:modified xsi:type="dcterms:W3CDTF">2026-07-23T16:18:00Z</dcterms:modified>
</cp:coreProperties>
</file>