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17915F4" w14:paraId="672A6659" wp14:textId="77777777">
      <w:pPr>
        <w:spacing w:before="400"/>
        <w:jc w:val="left"/>
        <w:rPr>
          <w:rFonts w:ascii="Georgia Pro" w:hAnsi="Georgia Pro" w:eastAsia="Georgia Pro" w:cs="Georgia Pro"/>
          <w:color w:val="auto"/>
          <w:sz w:val="24"/>
          <w:szCs w:val="24"/>
        </w:rPr>
      </w:pPr>
    </w:p>
    <w:p xmlns:wp14="http://schemas.microsoft.com/office/word/2010/wordml" w:rsidP="217915F4" w14:paraId="089BF745" wp14:textId="77777777">
      <w:pPr>
        <w:jc w:val="left"/>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Protocolo Jurídico: Motor Legal para el Asistente de Contestaciones</w:t>
      </w:r>
    </w:p>
    <w:p xmlns:wp14="http://schemas.microsoft.com/office/word/2010/wordml" w:rsidP="217915F4" w14:paraId="6177D3E5" wp14:textId="3ED21AD5">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 xml:space="preserve">1. Matriz Normativa Transversal </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xmlns:wp14="http://schemas.microsoft.com/office/word/2010/wordml" w:rsidTr="217915F4" w14:paraId="7121F02F" wp14:textId="77777777">
        <w:trPr>
          <w:tblHeader/>
        </w:trPr>
        <w:tc>
          <w:tcPr>
            <w:tcW w:w="240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2EE9BFB6"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Ley / Decreto</w:t>
            </w:r>
          </w:p>
        </w:tc>
        <w:tc>
          <w:tcPr>
            <w:tcW w:w="190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020E6183"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Artículos clave</w:t>
            </w:r>
          </w:p>
        </w:tc>
        <w:tc>
          <w:tcPr>
            <w:tcW w:w="506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5080255D"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Justificación técnica (visión MLC)</w:t>
            </w:r>
          </w:p>
        </w:tc>
      </w:tr>
      <w:tr xmlns:wp14="http://schemas.microsoft.com/office/word/2010/wordml" w:rsidTr="217915F4" w14:paraId="33F7ECFA" wp14:textId="77777777">
        <w:tc>
          <w:tcPr>
            <w:tcW w:w="24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6DCA0A60"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Código General del Proceso (Ley 1564 de 2012)</w:t>
            </w:r>
          </w:p>
        </w:tc>
        <w:tc>
          <w:tcPr>
            <w:tcW w:w="19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74521EE9"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96, 100, 282, 317, 369</w:t>
            </w:r>
          </w:p>
        </w:tc>
        <w:tc>
          <w:tcPr>
            <w:tcW w:w="50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7913F791"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 96: estructura obligatoria de la contestación. Art. 100: excepciones previas (vicios procesales). Art. 282: excepciones de mérito (fondo) — fija cuáles puede declarar el juez de oficio. Arts. 317 y 369: clasifican el trámite (ordinario / verbal) y fijan el término de contestación.</w:t>
            </w:r>
          </w:p>
        </w:tc>
      </w:tr>
      <w:tr xmlns:wp14="http://schemas.microsoft.com/office/word/2010/wordml" w:rsidTr="217915F4" w14:paraId="17991F48" wp14:textId="77777777">
        <w:tc>
          <w:tcPr>
            <w:tcW w:w="24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04CFD05B"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Código de Procedimiento Administrativo (Ley 1437 de 2011 — CPACA)</w:t>
            </w:r>
          </w:p>
        </w:tc>
        <w:tc>
          <w:tcPr>
            <w:tcW w:w="19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6F71DE92"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Régimen general</w:t>
            </w:r>
          </w:p>
        </w:tc>
        <w:tc>
          <w:tcPr>
            <w:tcW w:w="50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2AC443AC"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Aplica si el demandado es entidad pública o si la relación de fondo es administrativa. Cambia la jurisdicción competente y la naturaleza de la acción (medio de control, no demanda civil).</w:t>
            </w:r>
          </w:p>
        </w:tc>
      </w:tr>
      <w:tr xmlns:wp14="http://schemas.microsoft.com/office/word/2010/wordml" w:rsidTr="217915F4" w14:paraId="7844D1D9" wp14:textId="77777777">
        <w:tc>
          <w:tcPr>
            <w:tcW w:w="24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575E057A"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Estatuto del Consumidor (Ley 1480 de 2011)</w:t>
            </w:r>
          </w:p>
        </w:tc>
        <w:tc>
          <w:tcPr>
            <w:tcW w:w="19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3F6D7A4F"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56 y ss.</w:t>
            </w:r>
          </w:p>
        </w:tc>
        <w:tc>
          <w:tcPr>
            <w:tcW w:w="50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18BDFF64"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Responsabilidad objetiva del productor/proveedor por producto defectuoso. El consumidor prueba defecto, daño y nexo causal — no culpa.</w:t>
            </w:r>
          </w:p>
        </w:tc>
      </w:tr>
      <w:tr xmlns:wp14="http://schemas.microsoft.com/office/word/2010/wordml" w:rsidTr="217915F4" w14:paraId="370E66CA" wp14:textId="77777777">
        <w:tc>
          <w:tcPr>
            <w:tcW w:w="24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78DD7E8C"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Jurisprudencia CSJ Sala Civil</w:t>
            </w:r>
          </w:p>
        </w:tc>
        <w:tc>
          <w:tcPr>
            <w:tcW w:w="19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72CDBDA4"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Línea sobre contratos de adhesión</w:t>
            </w:r>
          </w:p>
        </w:tc>
        <w:tc>
          <w:tcPr>
            <w:tcW w:w="50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6EDDCE22"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Carga dinámica de la prueba e interpretación contra el estipulante cuando hay desequilibrio contractual. Relevante como riesgo a anticipar en pólizas y contratos de consumo.</w:t>
            </w:r>
          </w:p>
        </w:tc>
      </w:tr>
      <w:tr xmlns:wp14="http://schemas.microsoft.com/office/word/2010/wordml" w:rsidTr="217915F4" w14:paraId="248085CF" wp14:textId="77777777">
        <w:tc>
          <w:tcPr>
            <w:tcW w:w="24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567AD048"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Código de Comercio (Decreto 410 de 1971)</w:t>
            </w:r>
          </w:p>
        </w:tc>
        <w:tc>
          <w:tcPr>
            <w:tcW w:w="19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2FA32568"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1036 y ss.</w:t>
            </w:r>
          </w:p>
        </w:tc>
        <w:tc>
          <w:tcPr>
            <w:tcW w:w="50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11DBDF54"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Régimen del contrato de seguro: elementos esenciales, buena fe reforzada del tomador, y mérito ejecutivo de la póliza (bifurcación declarativo/ejecutivo).</w:t>
            </w:r>
          </w:p>
        </w:tc>
      </w:tr>
    </w:tbl>
    <w:p xmlns:wp14="http://schemas.microsoft.com/office/word/2010/wordml" w:rsidP="217915F4" w14:paraId="5DAB6C7B" wp14:textId="77777777">
      <w:pPr>
        <w:spacing w:after="140"/>
        <w:rPr>
          <w:rFonts w:ascii="Georgia Pro" w:hAnsi="Georgia Pro" w:eastAsia="Georgia Pro" w:cs="Georgia Pro"/>
          <w:color w:val="auto"/>
          <w:sz w:val="24"/>
          <w:szCs w:val="24"/>
        </w:rPr>
      </w:pPr>
    </w:p>
    <w:p xmlns:wp14="http://schemas.microsoft.com/office/word/2010/wordml" w:rsidP="217915F4" w14:paraId="604478D3" wp14:textId="23455B6A">
      <w:pPr>
        <w:spacing w:before="60" w:after="160"/>
        <w:rPr>
          <w:rFonts w:ascii="Georgia Pro" w:hAnsi="Georgia Pro" w:eastAsia="Georgia Pro" w:cs="Georgia Pro"/>
          <w:i w:val="1"/>
          <w:iCs w:val="1"/>
          <w:color w:val="auto"/>
          <w:sz w:val="24"/>
          <w:szCs w:val="24"/>
        </w:rPr>
      </w:pPr>
      <w:r w:rsidRPr="217915F4" w:rsidR="66BD0A9D">
        <w:rPr>
          <w:rFonts w:ascii="Georgia Pro" w:hAnsi="Georgia Pro" w:eastAsia="Georgia Pro" w:cs="Georgia Pro"/>
          <w:b w:val="1"/>
          <w:bCs w:val="1"/>
          <w:color w:val="auto"/>
          <w:sz w:val="24"/>
          <w:szCs w:val="24"/>
        </w:rPr>
        <w:t xml:space="preserve">Nota: </w:t>
      </w:r>
      <w:r w:rsidRPr="217915F4" w:rsidR="66BD0A9D">
        <w:rPr>
          <w:rFonts w:ascii="Georgia Pro" w:hAnsi="Georgia Pro" w:eastAsia="Georgia Pro" w:cs="Georgia Pro"/>
          <w:i w:val="1"/>
          <w:iCs w:val="1"/>
          <w:color w:val="auto"/>
          <w:sz w:val="24"/>
          <w:szCs w:val="24"/>
        </w:rPr>
        <w:t>a diferencia de la SIC (que actúa como juez administrativo de protección al consumidor bajo el art. 24 CGP), en litigio de masa el asistente redacta para un proceso civil ordinario ante juez de la República — el motor de clasificación procesal (sección 2) es, por tanto, el componente de mayor riesgo del sistema.</w:t>
      </w:r>
    </w:p>
    <w:p xmlns:wp14="http://schemas.microsoft.com/office/word/2010/wordml" w:rsidP="217915F4" w14:paraId="65B58CDD"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2. Nodos de Decisión por Tipo de Demanda</w:t>
      </w:r>
    </w:p>
    <w:p xmlns:wp14="http://schemas.microsoft.com/office/word/2010/wordml" w:rsidP="217915F4" w14:paraId="014F8777"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El asistente debe mapear los hechos extraídos del PDF de la demanda a estos conceptos jurídicos de clasificación:</w:t>
      </w:r>
    </w:p>
    <w:p xmlns:wp14="http://schemas.microsoft.com/office/word/2010/wordml" w:rsidP="217915F4" w14:paraId="62664113" wp14:textId="77777777">
      <w:pPr>
        <w:pStyle w:val="Heading3"/>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 Incumplimiento Contractual</w:t>
      </w:r>
    </w:p>
    <w:p xmlns:wp14="http://schemas.microsoft.com/office/word/2010/wordml" w:rsidP="217915F4" w14:paraId="6782898A"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Concepto clave: </w:t>
      </w:r>
      <w:r w:rsidRPr="217915F4" w:rsidR="66BD0A9D">
        <w:rPr>
          <w:rFonts w:ascii="Georgia Pro" w:hAnsi="Georgia Pro" w:eastAsia="Georgia Pro" w:cs="Georgia Pro"/>
          <w:color w:val="auto"/>
          <w:sz w:val="24"/>
          <w:szCs w:val="24"/>
        </w:rPr>
        <w:t>Exigibilidad de la obligación y excepciones de fondo (pago, prescripción, compensación).</w:t>
      </w:r>
    </w:p>
    <w:p xmlns:wp14="http://schemas.microsoft.com/office/word/2010/wordml" w:rsidP="217915F4" w14:paraId="07DD13A8"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Norma: </w:t>
      </w:r>
      <w:r w:rsidRPr="217915F4" w:rsidR="66BD0A9D">
        <w:rPr>
          <w:rFonts w:ascii="Georgia Pro" w:hAnsi="Georgia Pro" w:eastAsia="Georgia Pro" w:cs="Georgia Pro"/>
          <w:color w:val="auto"/>
          <w:sz w:val="24"/>
          <w:szCs w:val="24"/>
        </w:rPr>
        <w:t>Art. 282 CGP (mérito) y Art. 100 CGP (previas si hay vicio procesal).</w:t>
      </w:r>
    </w:p>
    <w:p xmlns:wp14="http://schemas.microsoft.com/office/word/2010/wordml" w:rsidP="217915F4" w14:paraId="51EEB2C0"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Lógica del LLM: </w:t>
      </w:r>
      <w:r w:rsidRPr="217915F4" w:rsidR="66BD0A9D">
        <w:rPr>
          <w:rFonts w:ascii="Georgia Pro" w:hAnsi="Georgia Pro" w:eastAsia="Georgia Pro" w:cs="Georgia Pro"/>
          <w:color w:val="auto"/>
          <w:sz w:val="24"/>
          <w:szCs w:val="24"/>
        </w:rPr>
        <w:t>Clasificar cada hecho como admitido / negado / no me consta (art. 96); identificar si la mora, el pago o la prescripción están fundados en el expediente antes de proponerlos como excepción.</w:t>
      </w:r>
    </w:p>
    <w:p w:rsidR="66BD0A9D" w:rsidP="217915F4" w:rsidRDefault="66BD0A9D" w14:paraId="183D63E0" w14:textId="03AB7543">
      <w:pPr>
        <w:pStyle w:val="ListParagraph"/>
        <w:spacing w:after="60"/>
        <w:ind w:left="420"/>
        <w:rPr>
          <w:rFonts w:ascii="Georgia Pro" w:hAnsi="Georgia Pro" w:eastAsia="Georgia Pro" w:cs="Georgia Pro"/>
          <w:color w:val="auto"/>
          <w:sz w:val="24"/>
          <w:szCs w:val="24"/>
        </w:rPr>
      </w:pPr>
    </w:p>
    <w:p xmlns:wp14="http://schemas.microsoft.com/office/word/2010/wordml" w:rsidP="217915F4" w14:paraId="347303F1" wp14:textId="4018744B">
      <w:pPr>
        <w:spacing w:before="60" w:after="160"/>
        <w:rPr>
          <w:rFonts w:ascii="Georgia Pro" w:hAnsi="Georgia Pro" w:eastAsia="Georgia Pro" w:cs="Georgia Pro"/>
          <w:i w:val="1"/>
          <w:iCs w:val="1"/>
          <w:color w:val="auto"/>
          <w:sz w:val="24"/>
          <w:szCs w:val="24"/>
        </w:rPr>
      </w:pPr>
      <w:r w:rsidRPr="217915F4" w:rsidR="66BD0A9D">
        <w:rPr>
          <w:rFonts w:ascii="Georgia Pro" w:hAnsi="Georgia Pro" w:eastAsia="Georgia Pro" w:cs="Georgia Pro"/>
          <w:b w:val="1"/>
          <w:bCs w:val="1"/>
          <w:color w:val="auto"/>
          <w:sz w:val="24"/>
          <w:szCs w:val="24"/>
        </w:rPr>
        <w:t xml:space="preserve"> Nota: </w:t>
      </w:r>
      <w:r w:rsidRPr="217915F4" w:rsidR="66BD0A9D">
        <w:rPr>
          <w:rFonts w:ascii="Georgia Pro" w:hAnsi="Georgia Pro" w:eastAsia="Georgia Pro" w:cs="Georgia Pro"/>
          <w:i w:val="1"/>
          <w:iCs w:val="1"/>
          <w:color w:val="auto"/>
          <w:sz w:val="24"/>
          <w:szCs w:val="24"/>
        </w:rPr>
        <w:t>la prescripción, la compensación y la nulidad relativa NO pueden ser declaradas de oficio por el juez — si el sistema no las propone expresamente cuando los hechos las sugieren, la defensa se pierde de forma irreversible.</w:t>
      </w:r>
    </w:p>
    <w:p xmlns:wp14="http://schemas.microsoft.com/office/word/2010/wordml" w:rsidP="217915F4" w14:paraId="186D1A6B" wp14:textId="77777777">
      <w:pPr>
        <w:pStyle w:val="Heading3"/>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B. Incumplimiento de Seguros (Caso Póliza)</w:t>
      </w:r>
    </w:p>
    <w:p xmlns:wp14="http://schemas.microsoft.com/office/word/2010/wordml" w:rsidP="217915F4" w14:paraId="688B1D01"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Concepto clave: </w:t>
      </w:r>
      <w:r w:rsidRPr="217915F4" w:rsidR="66BD0A9D">
        <w:rPr>
          <w:rFonts w:ascii="Georgia Pro" w:hAnsi="Georgia Pro" w:eastAsia="Georgia Pro" w:cs="Georgia Pro"/>
          <w:color w:val="auto"/>
          <w:sz w:val="24"/>
          <w:szCs w:val="24"/>
        </w:rPr>
        <w:t>Mérito ejecutivo de la póliza y buena fe reforzada en la declaración del riesgo.</w:t>
      </w:r>
    </w:p>
    <w:p xmlns:wp14="http://schemas.microsoft.com/office/word/2010/wordml" w:rsidP="217915F4" w14:paraId="6B2F9761"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Norma: </w:t>
      </w:r>
      <w:r w:rsidRPr="217915F4" w:rsidR="66BD0A9D">
        <w:rPr>
          <w:rFonts w:ascii="Georgia Pro" w:hAnsi="Georgia Pro" w:eastAsia="Georgia Pro" w:cs="Georgia Pro"/>
          <w:color w:val="auto"/>
          <w:sz w:val="24"/>
          <w:szCs w:val="24"/>
        </w:rPr>
        <w:t>Arts. 1036 y ss. Código de Comercio.</w:t>
      </w:r>
    </w:p>
    <w:p xmlns:wp14="http://schemas.microsoft.com/office/word/2010/wordml" w:rsidP="217915F4" w14:paraId="155D8966"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Lógica del LLM: </w:t>
      </w:r>
      <w:r w:rsidRPr="217915F4" w:rsidR="66BD0A9D">
        <w:rPr>
          <w:rFonts w:ascii="Georgia Pro" w:hAnsi="Georgia Pro" w:eastAsia="Georgia Pro" w:cs="Georgia Pro"/>
          <w:color w:val="auto"/>
          <w:sz w:val="24"/>
          <w:szCs w:val="24"/>
        </w:rPr>
        <w:t>Verificar primero si la póliza + prueba del siniestro prestan mérito ejecutivo (cambia la vía procesal a ejecutiva, NO declarativa). Si no, evaluar reticencia o inexactitud en la declaración del riesgo como posible nulidad relativa.</w:t>
      </w:r>
    </w:p>
    <w:p xmlns:wp14="http://schemas.microsoft.com/office/word/2010/wordml" w:rsidP="217915F4" w14:paraId="24BE7342" wp14:textId="68A55F5A">
      <w:pPr>
        <w:spacing w:before="60" w:after="160"/>
        <w:rPr>
          <w:rFonts w:ascii="Georgia Pro" w:hAnsi="Georgia Pro" w:eastAsia="Georgia Pro" w:cs="Georgia Pro"/>
          <w:i w:val="1"/>
          <w:iCs w:val="1"/>
          <w:color w:val="auto"/>
          <w:sz w:val="24"/>
          <w:szCs w:val="24"/>
        </w:rPr>
      </w:pPr>
      <w:r w:rsidRPr="217915F4" w:rsidR="66BD0A9D">
        <w:rPr>
          <w:rFonts w:ascii="Georgia Pro" w:hAnsi="Georgia Pro" w:eastAsia="Georgia Pro" w:cs="Georgia Pro"/>
          <w:b w:val="1"/>
          <w:bCs w:val="1"/>
          <w:color w:val="auto"/>
          <w:sz w:val="24"/>
          <w:szCs w:val="24"/>
        </w:rPr>
        <w:t xml:space="preserve">Nota: </w:t>
      </w:r>
      <w:r w:rsidRPr="217915F4" w:rsidR="66BD0A9D">
        <w:rPr>
          <w:rFonts w:ascii="Georgia Pro" w:hAnsi="Georgia Pro" w:eastAsia="Georgia Pro" w:cs="Georgia Pro"/>
          <w:i w:val="1"/>
          <w:iCs w:val="1"/>
          <w:color w:val="auto"/>
          <w:sz w:val="24"/>
          <w:szCs w:val="24"/>
        </w:rPr>
        <w:t>este nodo se evalúa ANTES de clasificar entre verbal y ordinario — es una bifurcación de nivel superior (declarativo vs. ejecutivo).</w:t>
      </w:r>
    </w:p>
    <w:p xmlns:wp14="http://schemas.microsoft.com/office/word/2010/wordml" w:rsidP="217915F4" w14:paraId="39A211BB" wp14:textId="77777777">
      <w:pPr>
        <w:pStyle w:val="Heading3"/>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 Reclamación de Consumidor (Producto Defectuoso)</w:t>
      </w:r>
    </w:p>
    <w:p xmlns:wp14="http://schemas.microsoft.com/office/word/2010/wordml" w:rsidP="217915F4" w14:paraId="19111CCF"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Concepto clave: </w:t>
      </w:r>
      <w:r w:rsidRPr="217915F4" w:rsidR="66BD0A9D">
        <w:rPr>
          <w:rFonts w:ascii="Georgia Pro" w:hAnsi="Georgia Pro" w:eastAsia="Georgia Pro" w:cs="Georgia Pro"/>
          <w:color w:val="auto"/>
          <w:sz w:val="24"/>
          <w:szCs w:val="24"/>
        </w:rPr>
        <w:t>Responsabilidad objetiva — no se discute culpa, se discute nexo causal y eximentes.</w:t>
      </w:r>
    </w:p>
    <w:p xmlns:wp14="http://schemas.microsoft.com/office/word/2010/wordml" w:rsidP="217915F4" w14:paraId="5F0D7B50"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Norma: </w:t>
      </w:r>
      <w:r w:rsidRPr="217915F4" w:rsidR="66BD0A9D">
        <w:rPr>
          <w:rFonts w:ascii="Georgia Pro" w:hAnsi="Georgia Pro" w:eastAsia="Georgia Pro" w:cs="Georgia Pro"/>
          <w:color w:val="auto"/>
          <w:sz w:val="24"/>
          <w:szCs w:val="24"/>
        </w:rPr>
        <w:t>Arts. 56 y ss. Ley 1480 de 2011.</w:t>
      </w:r>
    </w:p>
    <w:p xmlns:wp14="http://schemas.microsoft.com/office/word/2010/wordml" w:rsidP="217915F4" w14:paraId="0A55EA04"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Lógica del LLM: </w:t>
      </w:r>
      <w:r w:rsidRPr="217915F4" w:rsidR="66BD0A9D">
        <w:rPr>
          <w:rFonts w:ascii="Georgia Pro" w:hAnsi="Georgia Pro" w:eastAsia="Georgia Pro" w:cs="Georgia Pro"/>
          <w:color w:val="auto"/>
          <w:sz w:val="24"/>
          <w:szCs w:val="24"/>
        </w:rPr>
        <w:t>Identificar si el demandado es Productor o Proveedor (responden solidariamente, pero el sistema debe señalar a quién es procesalmente más sólido dirigir la defensa); evaluar eximentes: uso indebido del consumidor, no haber puesto el producto en el mercado, o estado de la técnica.</w:t>
      </w:r>
    </w:p>
    <w:p xmlns:wp14="http://schemas.microsoft.com/office/word/2010/wordml" w:rsidP="217915F4" w14:paraId="5982DD32"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3. Ruta Procesal y Estrategia de Contestación</w:t>
      </w:r>
    </w:p>
    <w:p xmlns:wp14="http://schemas.microsoft.com/office/word/2010/wordml" w:rsidP="217915F4" w14:paraId="6207D2C5"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El sistema debe forzar este flujo para evitar la extemporaneidad o la nulidad de la contestación:</w:t>
      </w:r>
    </w:p>
    <w:p xmlns:wp14="http://schemas.microsoft.com/office/word/2010/wordml" w:rsidP="217915F4" w14:paraId="3CF313D8" wp14:textId="77777777">
      <w:pPr>
        <w:pStyle w:val="Heading3"/>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Etapa 1: Clasificación de Trámite y Cómputo del Término</w:t>
      </w:r>
    </w:p>
    <w:p xmlns:wp14="http://schemas.microsoft.com/office/word/2010/wordml" w:rsidP="217915F4" w14:paraId="56980F19"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Mecanismo: </w:t>
      </w:r>
      <w:r w:rsidRPr="217915F4" w:rsidR="66BD0A9D">
        <w:rPr>
          <w:rFonts w:ascii="Georgia Pro" w:hAnsi="Georgia Pro" w:eastAsia="Georgia Pro" w:cs="Georgia Pro"/>
          <w:color w:val="auto"/>
          <w:sz w:val="24"/>
          <w:szCs w:val="24"/>
        </w:rPr>
        <w:t>árbol de decisión Nivel 0→2 (CPACA → declarativo/ejecutivo → verbal/ordinario).</w:t>
      </w:r>
    </w:p>
    <w:p xmlns:wp14="http://schemas.microsoft.com/office/word/2010/wordml" w:rsidP="217915F4" w14:paraId="09EBA801"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Acción LLM: </w:t>
      </w:r>
      <w:r w:rsidRPr="217915F4" w:rsidR="66BD0A9D">
        <w:rPr>
          <w:rFonts w:ascii="Georgia Pro" w:hAnsi="Georgia Pro" w:eastAsia="Georgia Pro" w:cs="Georgia Pro"/>
          <w:color w:val="auto"/>
          <w:sz w:val="24"/>
          <w:szCs w:val="24"/>
        </w:rPr>
        <w:t>calcular la fecha límite de contestación en días hábiles desde la notificación. Sin este paso correcto, la contestación es extemporánea.</w:t>
      </w:r>
    </w:p>
    <w:p xmlns:wp14="http://schemas.microsoft.com/office/word/2010/wordml" w:rsidP="217915F4" w14:paraId="16AC9C82" wp14:textId="7A5242C1">
      <w:pPr>
        <w:spacing w:before="60" w:after="160"/>
        <w:rPr>
          <w:rFonts w:ascii="Georgia Pro" w:hAnsi="Georgia Pro" w:eastAsia="Georgia Pro" w:cs="Georgia Pro"/>
          <w:color w:val="auto"/>
          <w:sz w:val="24"/>
          <w:szCs w:val="24"/>
        </w:rPr>
      </w:pPr>
      <w:r w:rsidRPr="217915F4" w:rsidR="26F36BC2">
        <w:rPr>
          <w:rFonts w:ascii="Georgia Pro" w:hAnsi="Georgia Pro" w:eastAsia="Georgia Pro" w:cs="Georgia Pro"/>
          <w:b w:val="1"/>
          <w:bCs w:val="1"/>
          <w:color w:val="auto"/>
          <w:sz w:val="24"/>
          <w:szCs w:val="24"/>
        </w:rPr>
        <w:t xml:space="preserve">IMPORTANTE: </w:t>
      </w:r>
      <w:r w:rsidRPr="217915F4" w:rsidR="66BD0A9D">
        <w:rPr>
          <w:rFonts w:ascii="Georgia Pro" w:hAnsi="Georgia Pro" w:eastAsia="Georgia Pro" w:cs="Georgia Pro"/>
          <w:color w:val="auto"/>
          <w:sz w:val="24"/>
          <w:szCs w:val="24"/>
        </w:rPr>
        <w:t>si el sistema no identifica con certeza el tipo de trámite, debe marcar el expediente como "requiere validación humana" — nunca asumir "ordinario" por defecto.</w:t>
      </w:r>
    </w:p>
    <w:p xmlns:wp14="http://schemas.microsoft.com/office/word/2010/wordml" w:rsidP="217915F4" w14:paraId="2CAB6D3F" wp14:textId="77777777">
      <w:pPr>
        <w:pStyle w:val="Heading3"/>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Etapa 2: Generación del Borrador (Sitio Procesal)</w:t>
      </w:r>
    </w:p>
    <w:p xmlns:wp14="http://schemas.microsoft.com/office/word/2010/wordml" w:rsidP="217915F4" w14:paraId="1792AA55"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Acción LLM: </w:t>
      </w:r>
      <w:r w:rsidRPr="217915F4" w:rsidR="66BD0A9D">
        <w:rPr>
          <w:rFonts w:ascii="Georgia Pro" w:hAnsi="Georgia Pro" w:eastAsia="Georgia Pro" w:cs="Georgia Pro"/>
          <w:color w:val="auto"/>
          <w:sz w:val="24"/>
          <w:szCs w:val="24"/>
        </w:rPr>
        <w:t>traducir la demanda a un borrador de contestación con:</w:t>
      </w:r>
    </w:p>
    <w:p xmlns:wp14="http://schemas.microsoft.com/office/word/2010/wordml" w:rsidP="217915F4" w14:paraId="09590057" wp14:textId="77777777">
      <w:pPr>
        <w:pStyle w:val="ListParagraph"/>
        <w:numPr>
          <w:ilvl w:val="0"/>
          <w:numId w:val="3"/>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Encabezado: juez competente, radicado, partes, apoderado.</w:t>
      </w:r>
    </w:p>
    <w:p xmlns:wp14="http://schemas.microsoft.com/office/word/2010/wordml" w:rsidP="217915F4" w14:paraId="3E86B72B" wp14:textId="77777777">
      <w:pPr>
        <w:pStyle w:val="ListParagraph"/>
        <w:numPr>
          <w:ilvl w:val="0"/>
          <w:numId w:val="3"/>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Pronunciamiento sobre hechos: clasificación obligatoria de cada hecho (admitido / negado / no me consta).</w:t>
      </w:r>
    </w:p>
    <w:p xmlns:wp14="http://schemas.microsoft.com/office/word/2010/wordml" w:rsidP="217915F4" w14:paraId="4A1DCA69" wp14:textId="77777777">
      <w:pPr>
        <w:pStyle w:val="ListParagraph"/>
        <w:numPr>
          <w:ilvl w:val="0"/>
          <w:numId w:val="3"/>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Excepciones: previas (art. 100) si hay vicio procesal; de mérito (art. 282) con fundamento normativo.</w:t>
      </w:r>
    </w:p>
    <w:p xmlns:wp14="http://schemas.microsoft.com/office/word/2010/wordml" w:rsidP="217915F4" w14:paraId="3217747A" wp14:textId="77777777">
      <w:pPr>
        <w:pStyle w:val="ListParagraph"/>
        <w:numPr>
          <w:ilvl w:val="0"/>
          <w:numId w:val="3"/>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Vinculación de terceros: llamamiento en garantía (aseguradora) o denuncia del pleito (fabricante), si procede.</w:t>
      </w:r>
    </w:p>
    <w:p xmlns:wp14="http://schemas.microsoft.com/office/word/2010/wordml" w:rsidP="217915F4" w14:paraId="76DFC92D" wp14:textId="77777777">
      <w:pPr>
        <w:pStyle w:val="ListParagraph"/>
        <w:numPr>
          <w:ilvl w:val="0"/>
          <w:numId w:val="3"/>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Pruebas: indexación de los documentos anexos a la demanda y de los que el demandado pretende hacer valer.</w:t>
      </w:r>
    </w:p>
    <w:p xmlns:wp14="http://schemas.microsoft.com/office/word/2010/wordml" w:rsidP="217915F4" w14:paraId="71F5BFEA" wp14:textId="4B92D939">
      <w:pPr>
        <w:pStyle w:val="Heading1"/>
        <w:rPr>
          <w:rFonts w:ascii="Georgia Pro" w:hAnsi="Georgia Pro" w:eastAsia="Georgia Pro" w:cs="Georgia Pro"/>
          <w:color w:val="auto"/>
          <w:sz w:val="24"/>
          <w:szCs w:val="24"/>
          <w:lang w:val="es-ES"/>
        </w:rPr>
      </w:pPr>
      <w:r w:rsidRPr="217915F4" w:rsidR="66BD0A9D">
        <w:rPr>
          <w:rFonts w:ascii="Georgia Pro" w:hAnsi="Georgia Pro" w:eastAsia="Georgia Pro" w:cs="Georgia Pro"/>
          <w:color w:val="auto"/>
          <w:sz w:val="24"/>
          <w:szCs w:val="24"/>
          <w:lang w:val="es-ES"/>
        </w:rPr>
        <w:t xml:space="preserve">4. Limitaciones y Filtros de Seguridad </w:t>
      </w:r>
    </w:p>
    <w:p xmlns:wp14="http://schemas.microsoft.com/office/word/2010/wordml" w:rsidP="217915F4" w14:paraId="785827A8"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Para evitar "alucinaciones" jurídicas, el asistente debe emitir alertas si detecta:</w:t>
      </w:r>
    </w:p>
    <w:p xmlns:wp14="http://schemas.microsoft.com/office/word/2010/wordml" w:rsidP="217915F4" w14:paraId="78374E57" wp14:textId="6906EEF2">
      <w:pPr>
        <w:pStyle w:val="ListParagraph"/>
        <w:numPr>
          <w:ilvl w:val="0"/>
          <w:numId w:val="4"/>
        </w:numPr>
        <w:spacing w:before="60" w:after="1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Falta de competencia: si la demanda involucra una entidad pública, DETENER el flujo CGP y derivar a análisis CPACA — no generar una contestación civil para un asunto administrativo.</w:t>
      </w:r>
    </w:p>
    <w:p xmlns:wp14="http://schemas.microsoft.com/office/word/2010/wordml" w:rsidP="217915F4" w14:paraId="09773384" wp14:textId="3F532521">
      <w:pPr>
        <w:pStyle w:val="ListParagraph"/>
        <w:numPr>
          <w:ilvl w:val="0"/>
          <w:numId w:val="4"/>
        </w:numPr>
        <w:spacing w:before="60" w:after="1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Hecho sin clasificar: ningún hecho de la demanda puede quedar sin pronunciamiento expreso (admitido / negado / no me consta) — el silencio se valora en contra del demandado bajo el art. 96</w:t>
      </w:r>
    </w:p>
    <w:p xmlns:wp14="http://schemas.microsoft.com/office/word/2010/wordml" w:rsidP="217915F4" w14:paraId="446481A7" wp14:textId="12E62F12">
      <w:pPr>
        <w:pStyle w:val="ListParagraph"/>
        <w:numPr>
          <w:ilvl w:val="0"/>
          <w:numId w:val="4"/>
        </w:numPr>
        <w:spacing w:before="60" w:after="1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Excepciones de alegación obligatoria: prescripción, compensación y nulidad relativa no se declaran de oficio. Si los hechos las sugieren y el sistema no las propone explícitamente, advertir al abogado antes de cerrar el borrador.</w:t>
      </w:r>
    </w:p>
    <w:p xmlns:wp14="http://schemas.microsoft.com/office/word/2010/wordml" w:rsidP="217915F4" w14:paraId="40E2CB53" wp14:textId="59338843">
      <w:pPr>
        <w:pStyle w:val="ListParagraph"/>
        <w:numPr>
          <w:ilvl w:val="0"/>
          <w:numId w:val="4"/>
        </w:numPr>
        <w:spacing w:before="60" w:after="160"/>
        <w:rPr>
          <w:rFonts w:ascii="Georgia Pro" w:hAnsi="Georgia Pro" w:eastAsia="Georgia Pro" w:cs="Georgia Pro"/>
          <w:color w:val="auto"/>
          <w:sz w:val="24"/>
          <w:szCs w:val="24"/>
          <w:lang w:val="es-ES"/>
        </w:rPr>
      </w:pPr>
      <w:r w:rsidRPr="217915F4" w:rsidR="66BD0A9D">
        <w:rPr>
          <w:rFonts w:ascii="Georgia Pro" w:hAnsi="Georgia Pro" w:eastAsia="Georgia Pro" w:cs="Georgia Pro"/>
          <w:color w:val="auto"/>
          <w:sz w:val="24"/>
          <w:szCs w:val="24"/>
          <w:lang w:val="es-ES"/>
        </w:rPr>
        <w:t>Mérito ejecutivo no automatizable: la determinación de si una póliza presta mérito ejecutivo (y por tanto cambia la vía procesal) requiere validación humana obligatoria — nunca se decide solo por el sistema</w:t>
      </w:r>
      <w:r w:rsidRPr="217915F4" w:rsidR="29DB22C7">
        <w:rPr>
          <w:rFonts w:ascii="Georgia Pro" w:hAnsi="Georgia Pro" w:eastAsia="Georgia Pro" w:cs="Georgia Pro"/>
          <w:color w:val="auto"/>
          <w:sz w:val="24"/>
          <w:szCs w:val="24"/>
          <w:lang w:val="es-ES"/>
        </w:rPr>
        <w:t xml:space="preserve">. </w:t>
      </w:r>
    </w:p>
    <w:p xmlns:wp14="http://schemas.microsoft.com/office/word/2010/wordml" w:rsidP="217915F4" w14:paraId="6A396BD2" wp14:textId="203A7AFC">
      <w:pPr>
        <w:pStyle w:val="ListParagraph"/>
        <w:numPr>
          <w:ilvl w:val="0"/>
          <w:numId w:val="4"/>
        </w:numPr>
        <w:spacing w:before="60" w:after="160"/>
        <w:rPr>
          <w:rFonts w:ascii="Georgia Pro" w:hAnsi="Georgia Pro" w:eastAsia="Georgia Pro" w:cs="Georgia Pro"/>
          <w:color w:val="auto"/>
          <w:sz w:val="24"/>
          <w:szCs w:val="24"/>
          <w:lang w:val="es-ES"/>
        </w:rPr>
      </w:pPr>
      <w:r w:rsidRPr="217915F4" w:rsidR="66BD0A9D">
        <w:rPr>
          <w:rFonts w:ascii="Georgia Pro" w:hAnsi="Georgia Pro" w:eastAsia="Georgia Pro" w:cs="Georgia Pro"/>
          <w:color w:val="auto"/>
          <w:sz w:val="24"/>
          <w:szCs w:val="24"/>
          <w:lang w:val="es-ES"/>
        </w:rPr>
        <w:t xml:space="preserve">Carga de la prueba en adhesión: si el contrato de fondo es de adhesión (póliza, condiciones generales no negociadas), advertir que el demandante puede invocar carga dinámica de la prueba o interpretación contra el estipulante — es </w:t>
      </w:r>
      <w:r w:rsidRPr="217915F4" w:rsidR="38D66EAA">
        <w:rPr>
          <w:rFonts w:ascii="Georgia Pro" w:hAnsi="Georgia Pro" w:eastAsia="Georgia Pro" w:cs="Georgia Pro"/>
          <w:color w:val="auto"/>
          <w:sz w:val="24"/>
          <w:szCs w:val="24"/>
          <w:lang w:val="es-ES"/>
        </w:rPr>
        <w:t>un riesgo por anticipar</w:t>
      </w:r>
      <w:r w:rsidRPr="217915F4" w:rsidR="66BD0A9D">
        <w:rPr>
          <w:rFonts w:ascii="Georgia Pro" w:hAnsi="Georgia Pro" w:eastAsia="Georgia Pro" w:cs="Georgia Pro"/>
          <w:color w:val="auto"/>
          <w:sz w:val="24"/>
          <w:szCs w:val="24"/>
          <w:lang w:val="es-ES"/>
        </w:rPr>
        <w:t>, no una defensa disponible para HG.</w:t>
      </w:r>
    </w:p>
    <w:p xmlns:wp14="http://schemas.microsoft.com/office/word/2010/wordml" w:rsidP="217915F4" w14:paraId="02EB378F" wp14:textId="77777777">
      <w:pPr>
        <w:rPr>
          <w:rFonts w:ascii="Georgia Pro" w:hAnsi="Georgia Pro" w:eastAsia="Georgia Pro" w:cs="Georgia Pro"/>
          <w:color w:val="auto"/>
          <w:sz w:val="24"/>
          <w:szCs w:val="24"/>
        </w:rPr>
      </w:pPr>
      <w:r w:rsidRPr="217915F4">
        <w:rPr>
          <w:rFonts w:ascii="Georgia Pro" w:hAnsi="Georgia Pro" w:eastAsia="Georgia Pro" w:cs="Georgia Pro"/>
          <w:color w:val="auto"/>
          <w:sz w:val="24"/>
          <w:szCs w:val="24"/>
        </w:rPr>
        <w:br w:type="page"/>
      </w:r>
    </w:p>
    <w:p xmlns:wp14="http://schemas.microsoft.com/office/word/2010/wordml" w:rsidP="217915F4" w14:paraId="1D2FBAD0" wp14:textId="77777777">
      <w:pPr>
        <w:pStyle w:val="Heading1"/>
        <w:rPr>
          <w:rFonts w:ascii="Georgia Pro" w:hAnsi="Georgia Pro" w:eastAsia="Georgia Pro" w:cs="Georgia Pro"/>
          <w:color w:val="auto"/>
          <w:sz w:val="24"/>
          <w:szCs w:val="24"/>
          <w:lang w:val="es-ES"/>
        </w:rPr>
      </w:pPr>
      <w:r w:rsidRPr="217915F4" w:rsidR="66BD0A9D">
        <w:rPr>
          <w:rFonts w:ascii="Georgia Pro" w:hAnsi="Georgia Pro" w:eastAsia="Georgia Pro" w:cs="Georgia Pro"/>
          <w:color w:val="auto"/>
          <w:sz w:val="24"/>
          <w:szCs w:val="24"/>
          <w:lang w:val="es-ES"/>
        </w:rPr>
        <w:t>5. El Núcleo de la Decisión Legal (Backend Jurídico)</w:t>
      </w:r>
    </w:p>
    <w:p xmlns:wp14="http://schemas.microsoft.com/office/word/2010/wordml" w:rsidP="217915F4" w14:paraId="20A0C5B8"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La API debe estar parametrizada con los criterios del CGP y las normas especiales para realizar el mapeo de hechos extraídos del PDF a conceptos procesales.</w:t>
      </w:r>
    </w:p>
    <w:p xmlns:wp14="http://schemas.microsoft.com/office/word/2010/wordml" w:rsidP="217915F4" w14:paraId="76EBA40B"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Definición de "vía procesal aplicable": </w:t>
      </w:r>
      <w:r w:rsidRPr="217915F4" w:rsidR="66BD0A9D">
        <w:rPr>
          <w:rFonts w:ascii="Georgia Pro" w:hAnsi="Georgia Pro" w:eastAsia="Georgia Pro" w:cs="Georgia Pro"/>
          <w:color w:val="auto"/>
          <w:sz w:val="24"/>
          <w:szCs w:val="24"/>
        </w:rPr>
        <w:t>el sistema debe verificar si el demandado es entidad pública (→ CPACA), si existe póliza con mérito ejecutivo (→ ejecutivo), o si corresponde vía declarativa (→ verbal u ordinario).</w:t>
      </w:r>
    </w:p>
    <w:p xmlns:wp14="http://schemas.microsoft.com/office/word/2010/wordml" w:rsidP="217915F4" w14:paraId="6169E19C"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Reglas de cuantía (SMLMV): </w:t>
      </w:r>
      <w:r w:rsidRPr="217915F4" w:rsidR="66BD0A9D">
        <w:rPr>
          <w:rFonts w:ascii="Georgia Pro" w:hAnsi="Georgia Pro" w:eastAsia="Georgia Pro" w:cs="Georgia Pro"/>
          <w:color w:val="auto"/>
          <w:sz w:val="24"/>
          <w:szCs w:val="24"/>
        </w:rPr>
        <w:t>la API debe leer el valor del SMLMV vigente desde una variable configurable, no como constante fija — para 2026 el valor está fijado de forma transitoria por el Decreto 0159 de 2026 mientras el Consejo de Estado resuelve de fondo su legalidad.</w:t>
      </w:r>
    </w:p>
    <w:p xmlns:wp14="http://schemas.microsoft.com/office/word/2010/wordml" w:rsidP="217915F4" w14:paraId="1B544A83"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Términos de contestación: </w:t>
      </w:r>
      <w:r w:rsidRPr="217915F4" w:rsidR="66BD0A9D">
        <w:rPr>
          <w:rFonts w:ascii="Georgia Pro" w:hAnsi="Georgia Pro" w:eastAsia="Georgia Pro" w:cs="Georgia Pro"/>
          <w:color w:val="auto"/>
          <w:sz w:val="24"/>
          <w:szCs w:val="24"/>
        </w:rPr>
        <w:t>tabla de términos por defecto — 10 días hábiles (verbal, art. 369) / 20 días hábiles (ordinario, art. 317) — calculados sobre calendario judicial, excluyendo fines de semana y festivos.</w:t>
      </w:r>
    </w:p>
    <w:p w:rsidR="66BD0A9D" w:rsidP="217915F4" w:rsidRDefault="66BD0A9D" w14:paraId="65360544" w14:textId="65760AB0">
      <w:pPr>
        <w:spacing w:before="60" w:after="160"/>
        <w:rPr>
          <w:rFonts w:ascii="Georgia Pro" w:hAnsi="Georgia Pro" w:eastAsia="Georgia Pro" w:cs="Georgia Pro"/>
          <w:b w:val="1"/>
          <w:bCs w:val="1"/>
          <w:color w:val="auto"/>
          <w:sz w:val="24"/>
          <w:szCs w:val="24"/>
        </w:rPr>
      </w:pPr>
    </w:p>
    <w:p xmlns:wp14="http://schemas.microsoft.com/office/word/2010/wordml" w:rsidP="217915F4" w14:paraId="336F51F3" wp14:textId="24DF0389">
      <w:pPr>
        <w:spacing w:before="60" w:after="160"/>
        <w:rPr>
          <w:rFonts w:ascii="Georgia Pro" w:hAnsi="Georgia Pro" w:eastAsia="Georgia Pro" w:cs="Georgia Pro"/>
          <w:i w:val="1"/>
          <w:iCs w:val="1"/>
          <w:color w:val="auto"/>
          <w:sz w:val="24"/>
          <w:szCs w:val="24"/>
          <w:highlight w:val="yellow"/>
        </w:rPr>
      </w:pPr>
      <w:r w:rsidRPr="217915F4" w:rsidR="66BD0A9D">
        <w:rPr>
          <w:rFonts w:ascii="Georgia Pro" w:hAnsi="Georgia Pro" w:eastAsia="Georgia Pro" w:cs="Georgia Pro"/>
          <w:b w:val="1"/>
          <w:bCs w:val="1"/>
          <w:color w:val="auto"/>
          <w:sz w:val="24"/>
          <w:szCs w:val="24"/>
          <w:highlight w:val="yellow"/>
        </w:rPr>
        <w:t xml:space="preserve">Nota  </w:t>
      </w:r>
      <w:r w:rsidRPr="217915F4" w:rsidR="66BD0A9D">
        <w:rPr>
          <w:rFonts w:ascii="Georgia Pro" w:hAnsi="Georgia Pro" w:eastAsia="Georgia Pro" w:cs="Georgia Pro"/>
          <w:i w:val="1"/>
          <w:iCs w:val="1"/>
          <w:color w:val="auto"/>
          <w:sz w:val="24"/>
          <w:szCs w:val="24"/>
          <w:highlight w:val="yellow"/>
        </w:rPr>
        <w:t>a diferencia del retracto de consumo (5 días hábiles desde la entrega, art. 47 Ley 1480, modificado en 2024 por la Ley 2439 en cuanto al plazo de devolución del dinero — 15 días calendario), aquí el término corre desde la notificación de la demanda, no desde un hecho comercial.</w:t>
      </w:r>
    </w:p>
    <w:p xmlns:wp14="http://schemas.microsoft.com/office/word/2010/wordml" w:rsidP="217915F4" w14:paraId="2A0ABDC6" wp14:textId="77777777">
      <w:pPr>
        <w:pStyle w:val="Heading2"/>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5.1 Normativa Procesal y Procedimental</w:t>
      </w:r>
    </w:p>
    <w:p xmlns:wp14="http://schemas.microsoft.com/office/word/2010/wordml" w:rsidP="217915F4" w14:paraId="46F41BB4"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La API no solo genera texto: debe seguir el flujo procesal colombiano para que el borrador sea jurídicamente útil para el abogado que lo revisa.</w:t>
      </w:r>
    </w:p>
    <w:p xmlns:wp14="http://schemas.microsoft.com/office/word/2010/wordml" w:rsidP="217915F4" w14:paraId="1F82582C"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Art. 96 CGP: </w:t>
      </w:r>
      <w:r w:rsidRPr="217915F4" w:rsidR="66BD0A9D">
        <w:rPr>
          <w:rFonts w:ascii="Georgia Pro" w:hAnsi="Georgia Pro" w:eastAsia="Georgia Pro" w:cs="Georgia Pro"/>
          <w:color w:val="auto"/>
          <w:sz w:val="24"/>
          <w:szCs w:val="24"/>
        </w:rPr>
        <w:t>define los requisitos mínimos de la contestación para que el documento sea estructuralmente válido.</w:t>
      </w:r>
    </w:p>
    <w:p xmlns:wp14="http://schemas.microsoft.com/office/word/2010/wordml" w:rsidP="217915F4" w14:paraId="38433386"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Art. 100 CGP: </w:t>
      </w:r>
      <w:r w:rsidRPr="217915F4" w:rsidR="66BD0A9D">
        <w:rPr>
          <w:rFonts w:ascii="Georgia Pro" w:hAnsi="Georgia Pro" w:eastAsia="Georgia Pro" w:cs="Georgia Pro"/>
          <w:color w:val="auto"/>
          <w:sz w:val="24"/>
          <w:szCs w:val="24"/>
        </w:rPr>
        <w:t>catálogo taxativo de excepciones previas — el sistema solo puede proponer las que están en la lista legal, no inventar causales.</w:t>
      </w:r>
    </w:p>
    <w:p xmlns:wp14="http://schemas.microsoft.com/office/word/2010/wordml" w:rsidP="217915F4" w14:paraId="6830C013"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Art. 282 CGP: </w:t>
      </w:r>
      <w:r w:rsidRPr="217915F4" w:rsidR="66BD0A9D">
        <w:rPr>
          <w:rFonts w:ascii="Georgia Pro" w:hAnsi="Georgia Pro" w:eastAsia="Georgia Pro" w:cs="Georgia Pro"/>
          <w:color w:val="auto"/>
          <w:sz w:val="24"/>
          <w:szCs w:val="24"/>
        </w:rPr>
        <w:t>excepciones de mérito, con la regla especial sobre las tres que exigen alegación expresa.</w:t>
      </w:r>
    </w:p>
    <w:p xmlns:wp14="http://schemas.microsoft.com/office/word/2010/wordml" w:rsidP="217915F4" w14:paraId="3E03B621"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6. Estándares de Trazabilidad y Lenguaje Claro</w:t>
      </w:r>
    </w:p>
    <w:p xmlns:wp14="http://schemas.microsoft.com/office/word/2010/wordml" w:rsidP="217915F4" w14:paraId="13B1AC7D"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Doble capa de salida: </w:t>
      </w:r>
      <w:r w:rsidRPr="217915F4" w:rsidR="66BD0A9D">
        <w:rPr>
          <w:rFonts w:ascii="Georgia Pro" w:hAnsi="Georgia Pro" w:eastAsia="Georgia Pro" w:cs="Georgia Pro"/>
          <w:color w:val="auto"/>
          <w:sz w:val="24"/>
          <w:szCs w:val="24"/>
        </w:rPr>
        <w:t>la API debe producir el borrador técnico (lenguaje procesal exigido por el CGP) y, en paralelo, un resumen en lenguaje claro para que el abogado entienda rápido qué decisión tomó el sistema y por qué.</w:t>
      </w:r>
    </w:p>
    <w:p xmlns:wp14="http://schemas.microsoft.com/office/word/2010/wordml" w:rsidP="217915F4" w14:paraId="13AFE54F"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Trazabilidad de cada cláusula: </w:t>
      </w:r>
      <w:r w:rsidRPr="217915F4" w:rsidR="66BD0A9D">
        <w:rPr>
          <w:rFonts w:ascii="Georgia Pro" w:hAnsi="Georgia Pro" w:eastAsia="Georgia Pro" w:cs="Georgia Pro"/>
          <w:color w:val="auto"/>
          <w:sz w:val="24"/>
          <w:szCs w:val="24"/>
        </w:rPr>
        <w:t>cada hecho clasificado y cada excepción propuesta debe quedar vinculada a la norma o al hecho del expediente que la sustenta — nunca una afirmación jurídica sin fundamento citado.</w:t>
      </w:r>
    </w:p>
    <w:p xmlns:wp14="http://schemas.microsoft.com/office/word/2010/wordml" w:rsidP="217915F4" w14:paraId="6A05A809" wp14:textId="77777777">
      <w:pPr>
        <w:rPr>
          <w:rFonts w:ascii="Georgia Pro" w:hAnsi="Georgia Pro" w:eastAsia="Georgia Pro" w:cs="Georgia Pro"/>
          <w:color w:val="auto"/>
          <w:sz w:val="24"/>
          <w:szCs w:val="24"/>
        </w:rPr>
      </w:pPr>
      <w:r w:rsidRPr="217915F4">
        <w:rPr>
          <w:rFonts w:ascii="Georgia Pro" w:hAnsi="Georgia Pro" w:eastAsia="Georgia Pro" w:cs="Georgia Pro"/>
          <w:color w:val="auto"/>
          <w:sz w:val="24"/>
          <w:szCs w:val="24"/>
        </w:rPr>
        <w:br w:type="page"/>
      </w:r>
    </w:p>
    <w:p xmlns:wp14="http://schemas.microsoft.com/office/word/2010/wordml" w:rsidP="217915F4" w14:paraId="24CE771C"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Resumen de Integración para el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xmlns:wp14="http://schemas.microsoft.com/office/word/2010/wordml" w:rsidTr="217915F4" w14:paraId="0CD1C895" wp14:textId="77777777">
        <w:trPr>
          <w:tblHeader/>
        </w:trPr>
        <w:tc>
          <w:tcPr>
            <w:tcW w:w="220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2A5F797D"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Componente</w:t>
            </w:r>
          </w:p>
        </w:tc>
        <w:tc>
          <w:tcPr>
            <w:tcW w:w="220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1E3F8A01"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Norma clave</w:t>
            </w:r>
          </w:p>
        </w:tc>
        <w:tc>
          <w:tcPr>
            <w:tcW w:w="496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47D17D96"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Función en la API</w:t>
            </w:r>
          </w:p>
        </w:tc>
      </w:tr>
      <w:tr xmlns:wp14="http://schemas.microsoft.com/office/word/2010/wordml" w:rsidTr="217915F4" w14:paraId="29F1AB15" wp14:textId="77777777">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6E33B80B"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Filtro de jurisdicción</w:t>
            </w:r>
          </w:p>
        </w:tc>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3BA61E09"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 104 CGP / CPACA</w:t>
            </w:r>
          </w:p>
        </w:tc>
        <w:tc>
          <w:tcPr>
            <w:tcW w:w="49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6726DB9A"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Detectar si el demandado es entidad pública y derivar a régimen administrativo.</w:t>
            </w:r>
          </w:p>
        </w:tc>
      </w:tr>
      <w:tr xmlns:wp14="http://schemas.microsoft.com/office/word/2010/wordml" w:rsidTr="217915F4" w14:paraId="5D68939C" wp14:textId="77777777">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375386F6"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Clasificador de trámite</w:t>
            </w:r>
          </w:p>
        </w:tc>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11FD2DA3"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317 y 369 CGP</w:t>
            </w:r>
          </w:p>
        </w:tc>
        <w:tc>
          <w:tcPr>
            <w:tcW w:w="49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528DA94F"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Determinar verbal vs. ordinario y calcular el término de contestación.</w:t>
            </w:r>
          </w:p>
        </w:tc>
      </w:tr>
      <w:tr xmlns:wp14="http://schemas.microsoft.com/office/word/2010/wordml" w:rsidTr="217915F4" w14:paraId="39A2E6EF" wp14:textId="77777777">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2F7FA201"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Motor de excepciones</w:t>
            </w:r>
          </w:p>
        </w:tc>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4A26067A"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100 y 282 CGP</w:t>
            </w:r>
          </w:p>
        </w:tc>
        <w:tc>
          <w:tcPr>
            <w:tcW w:w="49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1E56D7B3"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Identificar excepciones previas y de mérito con fundamento fáctico y normativo.</w:t>
            </w:r>
          </w:p>
        </w:tc>
      </w:tr>
      <w:tr xmlns:wp14="http://schemas.microsoft.com/office/word/2010/wordml" w:rsidTr="217915F4" w14:paraId="37DEF31B" wp14:textId="77777777">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2300A738"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Generador de doc</w:t>
            </w:r>
          </w:p>
        </w:tc>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3BEFE098"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 96 CGP</w:t>
            </w:r>
          </w:p>
        </w:tc>
        <w:tc>
          <w:tcPr>
            <w:tcW w:w="49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51FEFDFF"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Estructurar el borrador con hechos, excepciones, pruebas y peticiones.</w:t>
            </w:r>
          </w:p>
        </w:tc>
      </w:tr>
      <w:tr xmlns:wp14="http://schemas.microsoft.com/office/word/2010/wordml" w:rsidTr="217915F4" w14:paraId="4AC96F6B" wp14:textId="77777777">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00AF3919"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Validación seguros</w:t>
            </w:r>
          </w:p>
        </w:tc>
        <w:tc>
          <w:tcPr>
            <w:tcW w:w="22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0C34431A"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1036 y ss. C. Co.</w:t>
            </w:r>
          </w:p>
        </w:tc>
        <w:tc>
          <w:tcPr>
            <w:tcW w:w="49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61EC9666"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Verificar mérito ejecutivo y buena fe en la declaración del riesgo.</w:t>
            </w:r>
          </w:p>
        </w:tc>
      </w:tr>
      <w:tr xmlns:wp14="http://schemas.microsoft.com/office/word/2010/wordml" w:rsidTr="217915F4" w14:paraId="3CADC5A1" wp14:textId="77777777">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04CC79D7"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Validación consumo</w:t>
            </w:r>
          </w:p>
        </w:tc>
        <w:tc>
          <w:tcPr>
            <w:tcW w:w="22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34693736"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Arts. 56 y ss. Ley 1480</w:t>
            </w:r>
          </w:p>
        </w:tc>
        <w:tc>
          <w:tcPr>
            <w:tcW w:w="49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24704B97"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Evaluar responsabilidad objetiva y eximentes en casos de producto defectuoso.</w:t>
            </w:r>
          </w:p>
        </w:tc>
      </w:tr>
    </w:tbl>
    <w:p xmlns:wp14="http://schemas.microsoft.com/office/word/2010/wordml" w:rsidP="217915F4" w14:paraId="5A39BBE3" wp14:textId="77777777">
      <w:pPr>
        <w:spacing w:after="140"/>
        <w:rPr>
          <w:rFonts w:ascii="Georgia Pro" w:hAnsi="Georgia Pro" w:eastAsia="Georgia Pro" w:cs="Georgia Pro"/>
          <w:color w:val="auto"/>
          <w:sz w:val="24"/>
          <w:szCs w:val="24"/>
        </w:rPr>
      </w:pPr>
    </w:p>
    <w:p xmlns:wp14="http://schemas.microsoft.com/office/word/2010/wordml" w:rsidP="217915F4" w14:paraId="7A8C6516"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7. El "Filtro de Prosperidad" (Lógica de Riesgo Defensivo)</w:t>
      </w:r>
    </w:p>
    <w:p xmlns:wp14="http://schemas.microsoft.com/office/word/2010/wordml" w:rsidP="217915F4" w14:paraId="1B0EBC3F"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No basta con generar la contestación; el asistente debe evaluar qué tan sólida es la posición defensiva. Umbrales de decisión a programar:</w:t>
      </w:r>
    </w:p>
    <w:p xmlns:wp14="http://schemas.microsoft.com/office/word/2010/wordml" w:rsidP="217915F4" w14:paraId="2BB90753"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Análisis de extemporaneidad: </w:t>
      </w:r>
      <w:r w:rsidRPr="217915F4" w:rsidR="66BD0A9D">
        <w:rPr>
          <w:rFonts w:ascii="Georgia Pro" w:hAnsi="Georgia Pro" w:eastAsia="Georgia Pro" w:cs="Georgia Pro"/>
          <w:color w:val="auto"/>
          <w:sz w:val="24"/>
          <w:szCs w:val="24"/>
        </w:rPr>
        <w:t>el sistema debe calcular si el término de contestación ya venció al momento de recibir el expediente. Si venció, debe advertir de inmediato: "El término de contestación está vencido o próximo a vencer — prioridad máxima."</w:t>
      </w:r>
    </w:p>
    <w:p xmlns:wp14="http://schemas.microsoft.com/office/word/2010/wordml" w:rsidP="217915F4" w14:paraId="3BECC9DD" wp14:textId="77777777">
      <w:pPr>
        <w:pStyle w:val="ListParagraph"/>
        <w:numPr>
          <w:ilvl w:val="0"/>
          <w:numId w:val="2"/>
        </w:numPr>
        <w:spacing w:after="60"/>
        <w:rPr>
          <w:rFonts w:ascii="Georgia Pro" w:hAnsi="Georgia Pro" w:eastAsia="Georgia Pro" w:cs="Georgia Pro"/>
          <w:color w:val="auto"/>
          <w:sz w:val="24"/>
          <w:szCs w:val="24"/>
          <w:lang w:val="es-ES"/>
        </w:rPr>
      </w:pPr>
      <w:r w:rsidRPr="217915F4" w:rsidR="66BD0A9D">
        <w:rPr>
          <w:rFonts w:ascii="Georgia Pro" w:hAnsi="Georgia Pro" w:eastAsia="Georgia Pro" w:cs="Georgia Pro"/>
          <w:b w:val="1"/>
          <w:bCs w:val="1"/>
          <w:color w:val="auto"/>
          <w:sz w:val="24"/>
          <w:szCs w:val="24"/>
          <w:lang w:val="es-ES"/>
        </w:rPr>
        <w:t xml:space="preserve">Identificación de mejor estrategia notificable: </w:t>
      </w:r>
      <w:r w:rsidRPr="217915F4" w:rsidR="66BD0A9D">
        <w:rPr>
          <w:rFonts w:ascii="Georgia Pro" w:hAnsi="Georgia Pro" w:eastAsia="Georgia Pro" w:cs="Georgia Pro"/>
          <w:color w:val="auto"/>
          <w:sz w:val="24"/>
          <w:szCs w:val="24"/>
          <w:lang w:val="es-ES"/>
        </w:rPr>
        <w:t>cuando hay solidaridad entre Productor y Proveedor (Ley 1480) o entre asegurado y aseguradora (llamamiento en garantía), el sistema debe señalar la vinculación procesalmente más sólida, no decidirla por sí solo.</w:t>
      </w:r>
    </w:p>
    <w:p xmlns:wp14="http://schemas.microsoft.com/office/word/2010/wordml" w:rsidP="217915F4" w14:paraId="7D2F1A9F"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Cuantificación de pretensiones: </w:t>
      </w:r>
      <w:r w:rsidRPr="217915F4" w:rsidR="66BD0A9D">
        <w:rPr>
          <w:rFonts w:ascii="Georgia Pro" w:hAnsi="Georgia Pro" w:eastAsia="Georgia Pro" w:cs="Georgia Pro"/>
          <w:color w:val="auto"/>
          <w:sz w:val="24"/>
          <w:szCs w:val="24"/>
        </w:rPr>
        <w:t>si la demanda incluye perjuicios extrapatrimoniales (daño moral) en una reclamación que por su naturaleza debería limitarse a obligaciones de dar o de pago, el sistema debe señalarlo como punto a verificar con el abogado, no asumir que toda pretensión es procedente tal como fue formulada.</w:t>
      </w:r>
    </w:p>
    <w:p w:rsidR="66BD0A9D" w:rsidP="217915F4" w:rsidRDefault="66BD0A9D" w14:paraId="4E75676B" w14:textId="10C919B5">
      <w:pPr>
        <w:pStyle w:val="ListParagraph"/>
        <w:spacing w:after="60"/>
        <w:ind w:left="420"/>
        <w:rPr>
          <w:rFonts w:ascii="Georgia Pro" w:hAnsi="Georgia Pro" w:eastAsia="Georgia Pro" w:cs="Georgia Pro"/>
          <w:color w:val="auto"/>
          <w:sz w:val="24"/>
          <w:szCs w:val="24"/>
        </w:rPr>
      </w:pPr>
    </w:p>
    <w:p xmlns:wp14="http://schemas.microsoft.com/office/word/2010/wordml" w:rsidP="217915F4" w14:paraId="75AB4436" wp14:textId="2DE573D2">
      <w:pPr>
        <w:spacing w:before="60" w:after="160"/>
        <w:rPr>
          <w:rFonts w:ascii="Georgia Pro" w:hAnsi="Georgia Pro" w:eastAsia="Georgia Pro" w:cs="Georgia Pro"/>
          <w:i w:val="1"/>
          <w:iCs w:val="1"/>
          <w:color w:val="auto"/>
          <w:sz w:val="24"/>
          <w:szCs w:val="24"/>
          <w:highlight w:val="yellow"/>
        </w:rPr>
      </w:pPr>
      <w:r w:rsidRPr="217915F4" w:rsidR="2B7515D5">
        <w:rPr>
          <w:rFonts w:ascii="Georgia Pro" w:hAnsi="Georgia Pro" w:eastAsia="Georgia Pro" w:cs="Georgia Pro"/>
          <w:b w:val="1"/>
          <w:bCs w:val="1"/>
          <w:color w:val="auto"/>
          <w:sz w:val="24"/>
          <w:szCs w:val="24"/>
          <w:highlight w:val="yellow"/>
        </w:rPr>
        <w:t>Nota:</w:t>
      </w:r>
      <w:r w:rsidRPr="217915F4" w:rsidR="66BD0A9D">
        <w:rPr>
          <w:rFonts w:ascii="Georgia Pro" w:hAnsi="Georgia Pro" w:eastAsia="Georgia Pro" w:cs="Georgia Pro"/>
          <w:b w:val="1"/>
          <w:bCs w:val="1"/>
          <w:color w:val="auto"/>
          <w:sz w:val="24"/>
          <w:szCs w:val="24"/>
          <w:highlight w:val="yellow"/>
        </w:rPr>
        <w:t xml:space="preserve"> </w:t>
      </w:r>
      <w:r w:rsidRPr="217915F4" w:rsidR="66BD0A9D">
        <w:rPr>
          <w:rFonts w:ascii="Georgia Pro" w:hAnsi="Georgia Pro" w:eastAsia="Georgia Pro" w:cs="Georgia Pro"/>
          <w:i w:val="1"/>
          <w:iCs w:val="1"/>
          <w:color w:val="auto"/>
          <w:sz w:val="24"/>
          <w:szCs w:val="24"/>
          <w:highlight w:val="yellow"/>
        </w:rPr>
        <w:t>igual que en el modelo de protección al consumidor (donde la SIC no indemniza daños morales), en litigio civil cada tipo de proceso tiene límites sobre qué puede pedirse y obtenerse — el sistema debe señalar pretensiones atípicas para revisión, no aceptarlas o rechazarlas de forma autónoma.</w:t>
      </w:r>
    </w:p>
    <w:p xmlns:wp14="http://schemas.microsoft.com/office/word/2010/wordml" w:rsidP="217915F4" w14:paraId="1C0FEED9"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8. El Motor de Evidencia (Gestión de Pruebas)</w:t>
      </w:r>
    </w:p>
    <w:p xmlns:wp14="http://schemas.microsoft.com/office/word/2010/wordml" w:rsidP="217915F4" w14:paraId="24A55064"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Un abogado no solo redacta, prueba. El asistente debe clasificar la evidencia presentada con la demanda:</w:t>
      </w:r>
    </w:p>
    <w:p xmlns:wp14="http://schemas.microsoft.com/office/word/2010/wordml" w:rsidP="217915F4" w14:paraId="58A5EBC9"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Prueba de la relación contractual o de consumo: </w:t>
      </w:r>
      <w:r w:rsidRPr="217915F4" w:rsidR="66BD0A9D">
        <w:rPr>
          <w:rFonts w:ascii="Georgia Pro" w:hAnsi="Georgia Pro" w:eastAsia="Georgia Pro" w:cs="Georgia Pro"/>
          <w:color w:val="auto"/>
          <w:sz w:val="24"/>
          <w:szCs w:val="24"/>
        </w:rPr>
        <w:t>contrato, póliza, factura o prueba de compra.</w:t>
      </w:r>
    </w:p>
    <w:p xmlns:wp14="http://schemas.microsoft.com/office/word/2010/wordml" w:rsidP="217915F4" w14:paraId="4FEC1EB6" wp14:textId="77777777">
      <w:pPr>
        <w:pStyle w:val="ListParagraph"/>
        <w:numPr>
          <w:ilvl w:val="0"/>
          <w:numId w:val="2"/>
        </w:numPr>
        <w:spacing w:after="60"/>
        <w:rPr>
          <w:rFonts w:ascii="Georgia Pro" w:hAnsi="Georgia Pro" w:eastAsia="Georgia Pro" w:cs="Georgia Pro"/>
          <w:color w:val="auto"/>
          <w:sz w:val="24"/>
          <w:szCs w:val="24"/>
        </w:rPr>
      </w:pPr>
      <w:r w:rsidRPr="217915F4" w:rsidR="66BD0A9D">
        <w:rPr>
          <w:rFonts w:ascii="Georgia Pro" w:hAnsi="Georgia Pro" w:eastAsia="Georgia Pro" w:cs="Georgia Pro"/>
          <w:b w:val="1"/>
          <w:bCs w:val="1"/>
          <w:color w:val="auto"/>
          <w:sz w:val="24"/>
          <w:szCs w:val="24"/>
        </w:rPr>
        <w:t xml:space="preserve">Prueba de la notificación: </w:t>
      </w:r>
      <w:r w:rsidRPr="217915F4" w:rsidR="66BD0A9D">
        <w:rPr>
          <w:rFonts w:ascii="Georgia Pro" w:hAnsi="Georgia Pro" w:eastAsia="Georgia Pro" w:cs="Georgia Pro"/>
          <w:color w:val="auto"/>
          <w:sz w:val="24"/>
          <w:szCs w:val="24"/>
        </w:rPr>
        <w:t>este es el punto donde se decide si el término de contestación corre o no — el sistema debe validar la fecha y forma de notificación antes de calcular cualquier plazo.</w:t>
      </w:r>
    </w:p>
    <w:p xmlns:wp14="http://schemas.microsoft.com/office/word/2010/wordml" w:rsidP="217915F4" w14:paraId="16F8C319" wp14:textId="19CEB091">
      <w:pPr>
        <w:spacing w:before="60" w:after="160"/>
        <w:rPr>
          <w:rFonts w:ascii="Georgia Pro" w:hAnsi="Georgia Pro" w:eastAsia="Georgia Pro" w:cs="Georgia Pro"/>
          <w:i w:val="1"/>
          <w:iCs w:val="1"/>
          <w:color w:val="auto"/>
          <w:sz w:val="24"/>
          <w:szCs w:val="24"/>
        </w:rPr>
      </w:pPr>
      <w:r w:rsidRPr="217915F4" w:rsidR="66BD0A9D">
        <w:rPr>
          <w:rFonts w:ascii="Georgia Pro" w:hAnsi="Georgia Pro" w:eastAsia="Georgia Pro" w:cs="Georgia Pro"/>
          <w:b w:val="1"/>
          <w:bCs w:val="1"/>
          <w:color w:val="auto"/>
          <w:sz w:val="24"/>
          <w:szCs w:val="24"/>
        </w:rPr>
        <w:t xml:space="preserve">Nota: </w:t>
      </w:r>
      <w:r w:rsidRPr="217915F4" w:rsidR="66BD0A9D">
        <w:rPr>
          <w:rFonts w:ascii="Georgia Pro" w:hAnsi="Georgia Pro" w:eastAsia="Georgia Pro" w:cs="Georgia Pro"/>
          <w:i w:val="1"/>
          <w:iCs w:val="1"/>
          <w:color w:val="auto"/>
          <w:sz w:val="24"/>
          <w:szCs w:val="24"/>
        </w:rPr>
        <w:t>en el modelo de protección al consumidor, el "clavo" de las demandas es la reclamación previa (art. 58 Ley 1480); en litigio civil de masa, el equivalente es la prueba de la notificación — un error aquí invalida todo el cómputo de términos.</w:t>
      </w:r>
    </w:p>
    <w:p xmlns:wp14="http://schemas.microsoft.com/office/word/2010/wordml" w:rsidP="217915F4" w14:paraId="0791C3BF"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9. Diccionario de Clasificación de Hechos</w:t>
      </w:r>
    </w:p>
    <w:p xmlns:wp14="http://schemas.microsoft.com/office/word/2010/wordml" w:rsidP="217915F4" w14:paraId="314A6CC9" wp14:textId="77777777">
      <w:pPr>
        <w:spacing w:after="14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Para que el motor de excepciones sea consistente, el sistema debe convertir los hechos narrados en la demanda en categorías procesales: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xmlns:wp14="http://schemas.microsoft.com/office/word/2010/wordml" w:rsidTr="217915F4" w14:paraId="35CA0270" wp14:textId="77777777">
        <w:trPr>
          <w:tblHeader/>
        </w:trPr>
        <w:tc>
          <w:tcPr>
            <w:tcW w:w="450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5BACA3A4"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Si la demanda narra...</w:t>
            </w:r>
          </w:p>
        </w:tc>
        <w:tc>
          <w:tcPr>
            <w:tcW w:w="4860" w:type="dxa"/>
            <w:tcBorders>
              <w:top w:val="single" w:color="B7B7B7" w:sz="2"/>
              <w:left w:val="single" w:color="B7B7B7" w:sz="2"/>
              <w:bottom w:val="single" w:color="B7B7B7" w:sz="2"/>
              <w:right w:val="single" w:color="B7B7B7" w:sz="2"/>
            </w:tcBorders>
            <w:shd w:val="clear" w:color="auto" w:fill="F573AD"/>
            <w:tcMar>
              <w:top w:w="70" w:type="dxa"/>
              <w:left w:w="110" w:type="dxa"/>
              <w:bottom w:w="70" w:type="dxa"/>
              <w:right w:w="110" w:type="dxa"/>
            </w:tcMar>
            <w:vAlign w:val="center"/>
          </w:tcPr>
          <w:p w:rsidP="217915F4" w14:paraId="2811224A" wp14:textId="77777777">
            <w:pPr>
              <w:rPr>
                <w:rFonts w:ascii="Georgia Pro" w:hAnsi="Georgia Pro" w:eastAsia="Georgia Pro" w:cs="Georgia Pro"/>
                <w:b w:val="1"/>
                <w:bCs w:val="1"/>
                <w:color w:val="auto"/>
                <w:sz w:val="24"/>
                <w:szCs w:val="24"/>
              </w:rPr>
            </w:pPr>
            <w:r w:rsidRPr="217915F4" w:rsidR="66BD0A9D">
              <w:rPr>
                <w:rFonts w:ascii="Georgia Pro" w:hAnsi="Georgia Pro" w:eastAsia="Georgia Pro" w:cs="Georgia Pro"/>
                <w:b w:val="1"/>
                <w:bCs w:val="1"/>
                <w:color w:val="auto"/>
                <w:sz w:val="24"/>
                <w:szCs w:val="24"/>
              </w:rPr>
              <w:t>El sistema clasifica como...</w:t>
            </w:r>
          </w:p>
        </w:tc>
      </w:tr>
      <w:tr xmlns:wp14="http://schemas.microsoft.com/office/word/2010/wordml" w:rsidTr="217915F4" w14:paraId="7C26C45A" wp14:textId="77777777">
        <w:tc>
          <w:tcPr>
            <w:tcW w:w="45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3437EF6B"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"El demandado nunca pagó la cuota pactada"</w:t>
            </w:r>
          </w:p>
        </w:tc>
        <w:tc>
          <w:tcPr>
            <w:tcW w:w="48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2DD502F5"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Hecho susceptible de excepción de pago (si hay prueba de pago) o admisión parcial.</w:t>
            </w:r>
          </w:p>
        </w:tc>
      </w:tr>
      <w:tr xmlns:wp14="http://schemas.microsoft.com/office/word/2010/wordml" w:rsidTr="217915F4" w14:paraId="71DC6DDB" wp14:textId="77777777">
        <w:tc>
          <w:tcPr>
            <w:tcW w:w="45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63D65F72"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"La aseguradora se negó a pagar el siniestro"</w:t>
            </w:r>
          </w:p>
        </w:tc>
        <w:tc>
          <w:tcPr>
            <w:tcW w:w="48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774FADBE"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Verificar mérito ejecutivo de la póliza antes de clasificar como declarativo.</w:t>
            </w:r>
          </w:p>
        </w:tc>
      </w:tr>
      <w:tr xmlns:wp14="http://schemas.microsoft.com/office/word/2010/wordml" w:rsidTr="217915F4" w14:paraId="58A06E0A" wp14:textId="77777777">
        <w:tc>
          <w:tcPr>
            <w:tcW w:w="450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3644D422"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"El producto dejó de funcionar a los dos meses"</w:t>
            </w:r>
          </w:p>
        </w:tc>
        <w:tc>
          <w:tcPr>
            <w:tcW w:w="4860" w:type="dxa"/>
            <w:tcBorders>
              <w:top w:val="single" w:color="B7B7B7" w:sz="2"/>
              <w:left w:val="single" w:color="B7B7B7" w:sz="2"/>
              <w:bottom w:val="single" w:color="B7B7B7" w:sz="2"/>
              <w:right w:val="single" w:color="B7B7B7" w:sz="2"/>
            </w:tcBorders>
            <w:shd w:val="clear" w:color="auto" w:fill="FFFFFF"/>
            <w:tcMar>
              <w:top w:w="70" w:type="dxa"/>
              <w:left w:w="110" w:type="dxa"/>
              <w:bottom w:w="70" w:type="dxa"/>
              <w:right w:w="110" w:type="dxa"/>
            </w:tcMar>
            <w:vAlign w:val="center"/>
          </w:tcPr>
          <w:p w:rsidP="217915F4" w14:paraId="43F1459C"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Responsabilidad objetiva — Ley 1480, dentro del término de garantía legal.</w:t>
            </w:r>
          </w:p>
        </w:tc>
      </w:tr>
      <w:tr xmlns:wp14="http://schemas.microsoft.com/office/word/2010/wordml" w:rsidTr="217915F4" w14:paraId="5E37E95F" wp14:textId="77777777">
        <w:tc>
          <w:tcPr>
            <w:tcW w:w="450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733764DF"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"Ya pasaron más de tres años desde el incumplimiento"</w:t>
            </w:r>
          </w:p>
        </w:tc>
        <w:tc>
          <w:tcPr>
            <w:tcW w:w="4860" w:type="dxa"/>
            <w:tcBorders>
              <w:top w:val="single" w:color="B7B7B7" w:sz="2"/>
              <w:left w:val="single" w:color="B7B7B7" w:sz="2"/>
              <w:bottom w:val="single" w:color="B7B7B7" w:sz="2"/>
              <w:right w:val="single" w:color="B7B7B7" w:sz="2"/>
            </w:tcBorders>
            <w:shd w:val="clear" w:color="auto" w:fill="F5DAEB"/>
            <w:tcMar>
              <w:top w:w="70" w:type="dxa"/>
              <w:left w:w="110" w:type="dxa"/>
              <w:bottom w:w="70" w:type="dxa"/>
              <w:right w:w="110" w:type="dxa"/>
            </w:tcMar>
            <w:vAlign w:val="center"/>
          </w:tcPr>
          <w:p w:rsidP="217915F4" w14:paraId="7660D71A" wp14:textId="77777777">
            <w:pPr>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Posible prescripción — excepción de mérito de alegación obligatoria (no se declara de oficio).</w:t>
            </w:r>
          </w:p>
        </w:tc>
      </w:tr>
    </w:tbl>
    <w:p xmlns:wp14="http://schemas.microsoft.com/office/word/2010/wordml" w:rsidP="217915F4" w14:paraId="41C8F396" wp14:textId="77777777">
      <w:pPr>
        <w:spacing w:after="140"/>
        <w:rPr>
          <w:rFonts w:ascii="Georgia Pro" w:hAnsi="Georgia Pro" w:eastAsia="Georgia Pro" w:cs="Georgia Pro"/>
          <w:color w:val="auto"/>
          <w:sz w:val="24"/>
          <w:szCs w:val="24"/>
        </w:rPr>
      </w:pPr>
    </w:p>
    <w:p xmlns:wp14="http://schemas.microsoft.com/office/word/2010/wordml" w:rsidP="217915F4" w14:paraId="570D2BB4" wp14:textId="77777777">
      <w:pPr>
        <w:pStyle w:val="Heading1"/>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10. Alerta de Inconsistencia Fáctica</w:t>
      </w:r>
    </w:p>
    <w:p xmlns:wp14="http://schemas.microsoft.com/office/word/2010/wordml" w:rsidP="217915F4" w14:paraId="24B5B6DD" wp14:textId="01955903">
      <w:pPr>
        <w:spacing w:before="60" w:after="160"/>
        <w:rPr>
          <w:rFonts w:ascii="Georgia Pro" w:hAnsi="Georgia Pro" w:eastAsia="Georgia Pro" w:cs="Georgia Pro"/>
          <w:color w:val="auto"/>
          <w:sz w:val="24"/>
          <w:szCs w:val="24"/>
        </w:rPr>
      </w:pPr>
      <w:r w:rsidRPr="217915F4" w:rsidR="66BD0A9D">
        <w:rPr>
          <w:rFonts w:ascii="Georgia Pro" w:hAnsi="Georgia Pro" w:eastAsia="Georgia Pro" w:cs="Georgia Pro"/>
          <w:color w:val="auto"/>
          <w:sz w:val="24"/>
          <w:szCs w:val="24"/>
        </w:rPr>
        <w:t>si el sistema detecta que los hechos extraídos de la demanda son contradictorios entre sí (fechas, montos, o partes que no coinciden dentro del mismo documento), debe señalarlo expresamente al abogado antes de generar el borrador: "El expediente presenta inconsistencias internas que requieren verificación antes de fijar la estrategia de contestación."</w:t>
      </w:r>
    </w:p>
    <w:p xmlns:wp14="http://schemas.microsoft.com/office/word/2010/wordml" w:rsidP="66BD0A9D" w14:paraId="26385A9E" wp14:textId="2556DFDE">
      <w:pPr>
        <w:spacing w:after="0"/>
        <w:rPr>
          <w:i w:val="1"/>
          <w:iCs w:val="1"/>
          <w:color w:val="595959"/>
          <w:sz w:val="17"/>
          <w:szCs w:val="17"/>
        </w:rPr>
      </w:pPr>
    </w:p>
    <w:sectPr>
      <w:pgSz w:w="12240" w:h="15840" w:orient="portrait"/>
      <w:pgMar w:top="1260" w:right="1260" w:bottom="1260" w:left="1260" w:header="708" w:footer="708" w:gutter="0"/>
      <w:pgNumType/>
      <w:docGrid w:linePitch="360"/>
      <w:cols w:num="1"/>
      <w:headerReference w:type="default" r:id="R95401e8f3cd340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6BD0A9D" w:rsidTr="66BD0A9D" w14:paraId="2B270162">
      <w:trPr>
        <w:trHeight w:val="300"/>
      </w:trPr>
      <w:tc>
        <w:tcPr>
          <w:tcW w:w="3240" w:type="dxa"/>
          <w:tcMar/>
        </w:tcPr>
        <w:p w:rsidR="66BD0A9D" w:rsidP="66BD0A9D" w:rsidRDefault="66BD0A9D" w14:paraId="45483248" w14:textId="2E8FF8E7">
          <w:pPr>
            <w:pStyle w:val="Header"/>
            <w:bidi w:val="0"/>
            <w:ind w:left="-115"/>
            <w:jc w:val="left"/>
          </w:pPr>
        </w:p>
      </w:tc>
      <w:tc>
        <w:tcPr>
          <w:tcW w:w="3240" w:type="dxa"/>
          <w:tcMar/>
        </w:tcPr>
        <w:p w:rsidR="66BD0A9D" w:rsidP="66BD0A9D" w:rsidRDefault="66BD0A9D" w14:paraId="07CC7241" w14:textId="13D8CD3D">
          <w:pPr>
            <w:pStyle w:val="Header"/>
            <w:bidi w:val="0"/>
            <w:jc w:val="center"/>
          </w:pPr>
        </w:p>
      </w:tc>
      <w:tc>
        <w:tcPr>
          <w:tcW w:w="3240" w:type="dxa"/>
          <w:tcMar/>
        </w:tcPr>
        <w:p w:rsidR="66BD0A9D" w:rsidP="66BD0A9D" w:rsidRDefault="66BD0A9D" w14:paraId="5D5D45F6" w14:textId="1221D02C">
          <w:pPr>
            <w:pStyle w:val="Header"/>
            <w:bidi w:val="0"/>
            <w:ind w:right="-115"/>
            <w:jc w:val="right"/>
          </w:pPr>
        </w:p>
      </w:tc>
    </w:tr>
  </w:tbl>
  <w:p w:rsidR="66BD0A9D" w:rsidP="66BD0A9D" w:rsidRDefault="66BD0A9D" w14:paraId="2E69EC52" w14:textId="073ECA60">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69895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31a696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1dd3d21"/>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nsid w:val="2ceeb9b"/>
    <w:multiLevelType w:val="hybridMultilevel"/>
    <w:lvl w:ilvl="0" w15:tentative="1">
      <w:start w:val="1"/>
      <w:numFmt w:val="decimal"/>
      <w:lvlText w:val="%1."/>
      <w:lvlJc w:val="left"/>
      <w:pPr>
        <w:ind w:left="420" w:hanging="240"/>
      </w:pPr>
    </w:lvl>
  </w:abstract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16CDFE0"/>
    <w:rsid w:val="016CDFE0"/>
    <w:rsid w:val="04AE5721"/>
    <w:rsid w:val="174E63BA"/>
    <w:rsid w:val="18DB0A48"/>
    <w:rsid w:val="217915F4"/>
    <w:rsid w:val="257755B7"/>
    <w:rsid w:val="26F36BC2"/>
    <w:rsid w:val="27F7AC1E"/>
    <w:rsid w:val="27F7AC1E"/>
    <w:rsid w:val="29DB22C7"/>
    <w:rsid w:val="2B7515D5"/>
    <w:rsid w:val="2F0F46ED"/>
    <w:rsid w:val="38D66EAA"/>
    <w:rsid w:val="3B2C7437"/>
    <w:rsid w:val="3B2C7437"/>
    <w:rsid w:val="41C2E328"/>
    <w:rsid w:val="41F2E810"/>
    <w:rsid w:val="41F2E810"/>
    <w:rsid w:val="425B9711"/>
    <w:rsid w:val="449810CF"/>
    <w:rsid w:val="481D87AA"/>
    <w:rsid w:val="48C9FA91"/>
    <w:rsid w:val="61BA372B"/>
    <w:rsid w:val="66BD0A9D"/>
    <w:rsid w:val="697E56C6"/>
    <w:rsid w:val="6B33F1A4"/>
    <w:rsid w:val="772FF3E0"/>
  </w:rsids>
  <w14:docId w14:val="6A2F1204"/>
  <w15:docId w15:val="{21C56393-0DD6-4C92-B1E1-7325C5D65C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3A5F" w:sz="8" w:space="4"/>
      </w:pBdr>
      <w:spacing w:before="420" w:after="200"/>
      <w:outlineLvl w:val="0"/>
    </w:pPr>
    <w:rPr>
      <w:rFonts w:ascii="Calibri" w:hAnsi="Calibri" w:eastAsia="Calibri" w:cs="Calibri"/>
      <w:b/>
      <w:bCs/>
      <w:color w:val="1F3A5F"/>
      <w:sz w:val="30"/>
      <w:szCs w:val="30"/>
    </w:rPr>
  </w:style>
  <w:style w:type="paragraph" w:styleId="Heading2">
    <w:name w:val="heading 20"/>
    <w:basedOn w:val="Normal"/>
    <w:next w:val="Normal"/>
    <w:qFormat/>
    <w:pPr>
      <w:spacing w:before="280" w:after="140"/>
      <w:outlineLvl w:val="1"/>
    </w:pPr>
    <w:rPr>
      <w:rFonts w:ascii="Calibri" w:hAnsi="Calibri" w:eastAsia="Calibri" w:cs="Calibri"/>
      <w:b/>
      <w:bCs/>
      <w:color w:val="1F3A5F"/>
      <w:sz w:val="25"/>
      <w:szCs w:val="25"/>
    </w:rPr>
  </w:style>
  <w:style w:type="paragraph" w:styleId="Heading3">
    <w:name w:val="heading 30"/>
    <w:basedOn w:val="Normal"/>
    <w:next w:val="Normal"/>
    <w:qFormat/>
    <w:pPr>
      <w:spacing w:before="200" w:after="100"/>
      <w:outlineLvl w:val="2"/>
    </w:pPr>
    <w:rPr>
      <w:rFonts w:ascii="Calibri" w:hAnsi="Calibri" w:eastAsia="Calibri" w:cs="Calibri"/>
      <w:b/>
      <w:bCs/>
      <w:color w:val="8C1D1D"/>
      <w:sz w:val="22"/>
      <w:szCs w:val="22"/>
    </w:rPr>
  </w:style>
  <w:style w:type="paragraph" w:styleId="Normal" w:default="1">
    <w:uiPriority w:val="0"/>
    <w:name w:val="Normal"/>
    <w:qFormat/>
    <w:rsid w:val="66BD0A9D"/>
    <w:rPr>
      <w:noProof w:val="0"/>
      <w:lang w:val="es-CO"/>
    </w:rPr>
  </w:style>
  <w:style w:type="paragraph" w:styleId="Header">
    <w:uiPriority w:val="99"/>
    <w:name w:val="header"/>
    <w:basedOn w:val="Normal"/>
    <w:unhideWhenUsed/>
    <w:rsid w:val="66BD0A9D"/>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eader" Target="header2.xml" Id="R95401e8f3cd3406b"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C9575752BA80546993C81169E54DD74" ma:contentTypeVersion="3" ma:contentTypeDescription="Crear nuevo documento." ma:contentTypeScope="" ma:versionID="9efeffdd341a826de50c541f3c6855d8">
  <xsd:schema xmlns:xsd="http://www.w3.org/2001/XMLSchema" xmlns:xs="http://www.w3.org/2001/XMLSchema" xmlns:p="http://schemas.microsoft.com/office/2006/metadata/properties" xmlns:ns2="2a5ecf57-4913-4374-81c1-8001844d1384" targetNamespace="http://schemas.microsoft.com/office/2006/metadata/properties" ma:root="true" ma:fieldsID="ad440b28e04d0144c4f7e938293bd364" ns2:_="">
    <xsd:import namespace="2a5ecf57-4913-4374-81c1-8001844d13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ecf57-4913-4374-81c1-8001844d13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4A309C-B3CC-45E1-A7D1-2235371AE9BC}"/>
</file>

<file path=customXml/itemProps2.xml><?xml version="1.0" encoding="utf-8"?>
<ds:datastoreItem xmlns:ds="http://schemas.openxmlformats.org/officeDocument/2006/customXml" ds:itemID="{B9699941-3B4D-42A9-830B-0761BC52AC57}"/>
</file>

<file path=customXml/itemProps3.xml><?xml version="1.0" encoding="utf-8"?>
<ds:datastoreItem xmlns:ds="http://schemas.openxmlformats.org/officeDocument/2006/customXml" ds:itemID="{43074EC0-E0EE-475B-8865-8A30D53277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Grace Andrea Lozano Munoz</lastModifiedBy>
  <revision>3</revision>
  <dcterms:created xsi:type="dcterms:W3CDTF">2026-06-19T05:20:01.0000000Z</dcterms:created>
  <dcterms:modified xsi:type="dcterms:W3CDTF">2026-06-19T06:41:46.6958786Z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0x0101006C9575752BA80546993C81169E54DD74</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