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613" w:rsidRPr="00F0780C" w:rsidRDefault="008C5F34" w:rsidP="00F0780C">
      <w:pPr>
        <w:spacing w:after="0"/>
        <w:jc w:val="center"/>
        <w:rPr>
          <w:rFonts w:ascii="Bookman Old Style" w:hAnsi="Bookman Old Style"/>
          <w:i/>
          <w:sz w:val="36"/>
          <w:szCs w:val="24"/>
        </w:rPr>
      </w:pPr>
      <w:r>
        <w:rPr>
          <w:rFonts w:ascii="Bookman Old Style" w:hAnsi="Bookman Old Style"/>
          <w:i/>
          <w:sz w:val="36"/>
          <w:szCs w:val="24"/>
        </w:rPr>
        <w:t>Conceptos de Lógica Booleana y Difusa</w:t>
      </w:r>
      <w:r w:rsidR="00937542" w:rsidRPr="00937542">
        <w:rPr>
          <w:rFonts w:ascii="Bookman Old Style" w:hAnsi="Bookman Old Style"/>
          <w:i/>
          <w:sz w:val="16"/>
          <w:szCs w:val="24"/>
        </w:rPr>
        <w:t>[1]</w:t>
      </w:r>
    </w:p>
    <w:p w:rsidR="00F0780C" w:rsidRDefault="00F0780C" w:rsidP="00F0780C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La lógica booleana se basa en la idea de conjuntos nítidos (o convencionales), con pertenencia de unos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(1) y ceros (0).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F0780C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4027725" cy="145732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8C7BE.tmp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18" t="30180" r="20910" b="30305"/>
                    <a:stretch/>
                  </pic:blipFill>
                  <pic:spPr bwMode="auto">
                    <a:xfrm>
                      <a:off x="0" y="0"/>
                      <a:ext cx="4038642" cy="146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Fig.2</w:t>
      </w:r>
      <w:r w:rsidRPr="00B43AB9">
        <w:rPr>
          <w:rFonts w:ascii="Times New Roman" w:hAnsi="Times New Roman" w:cs="Times New Roman"/>
          <w:b/>
          <w:sz w:val="20"/>
          <w:szCs w:val="20"/>
        </w:rPr>
        <w:t>.1</w:t>
      </w:r>
      <w:r>
        <w:rPr>
          <w:rFonts w:ascii="Times New Roman" w:hAnsi="Times New Roman" w:cs="Times New Roman"/>
          <w:sz w:val="20"/>
          <w:szCs w:val="20"/>
        </w:rPr>
        <w:t xml:space="preserve"> Gráfi</w:t>
      </w:r>
      <w:r w:rsidRPr="008C5F34">
        <w:rPr>
          <w:rFonts w:ascii="Times New Roman" w:hAnsi="Times New Roman" w:cs="Times New Roman"/>
          <w:sz w:val="20"/>
          <w:szCs w:val="20"/>
        </w:rPr>
        <w:t>ca de valores numéricos en un conjunto nítido.</w:t>
      </w:r>
    </w:p>
    <w:p w:rsidR="008C5F34" w:rsidRPr="00F0780C" w:rsidRDefault="008C5F34" w:rsidP="00F0780C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 la </w:t>
      </w:r>
      <w:r w:rsidRPr="008C5F34">
        <w:rPr>
          <w:rFonts w:ascii="Times New Roman" w:hAnsi="Times New Roman" w:cs="Times New Roman"/>
          <w:b/>
          <w:sz w:val="20"/>
          <w:szCs w:val="20"/>
        </w:rPr>
        <w:t>figura 2.1</w:t>
      </w:r>
      <w:r w:rsidRPr="008C5F34">
        <w:rPr>
          <w:rFonts w:ascii="Times New Roman" w:hAnsi="Times New Roman" w:cs="Times New Roman"/>
          <w:sz w:val="20"/>
          <w:szCs w:val="20"/>
        </w:rPr>
        <w:t xml:space="preserve"> se aprecia el concepto de</w:t>
      </w:r>
      <w:r>
        <w:rPr>
          <w:rFonts w:ascii="Times New Roman" w:hAnsi="Times New Roman" w:cs="Times New Roman"/>
          <w:sz w:val="20"/>
          <w:szCs w:val="20"/>
        </w:rPr>
        <w:t xml:space="preserve"> nitidez, el cual se puede defi</w:t>
      </w:r>
      <w:r w:rsidRPr="008C5F34">
        <w:rPr>
          <w:rFonts w:ascii="Times New Roman" w:hAnsi="Times New Roman" w:cs="Times New Roman"/>
          <w:sz w:val="20"/>
          <w:szCs w:val="20"/>
        </w:rPr>
        <w:t>nir con base en un número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preestablecido. Este número es el 700. ¿Por qué? Porque antes del 700 no se considera un número grande,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y del 700 en adelante sí se considera un número grande. Hay “nitidez”. Con base en esto se puede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decir que el 699.999 es un número mediano y el 700.0001 es un número grande.</w:t>
      </w: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En</w:t>
      </w:r>
      <w:r>
        <w:rPr>
          <w:rFonts w:ascii="Times New Roman" w:hAnsi="Times New Roman" w:cs="Times New Roman"/>
          <w:sz w:val="20"/>
          <w:szCs w:val="20"/>
        </w:rPr>
        <w:t xml:space="preserve"> otras palabras, en esta gráfi</w:t>
      </w:r>
      <w:r w:rsidRPr="008C5F34">
        <w:rPr>
          <w:rFonts w:ascii="Times New Roman" w:hAnsi="Times New Roman" w:cs="Times New Roman"/>
          <w:sz w:val="20"/>
          <w:szCs w:val="20"/>
        </w:rPr>
        <w:t>ca hay una escala de pertenencia, no hay ambigüedad. O es un número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 xml:space="preserve">“grande” o es “mediano”. 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En esta gráfi</w:t>
      </w:r>
      <w:r w:rsidRPr="008C5F34">
        <w:rPr>
          <w:rFonts w:ascii="Times New Roman" w:hAnsi="Times New Roman" w:cs="Times New Roman"/>
          <w:sz w:val="20"/>
          <w:szCs w:val="20"/>
        </w:rPr>
        <w:t>ca hay una ambigüedad. ¿Por qué? Es muy evidente que antes del 500 es un número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mediano, y después del 700 es un número grande, pero en el rang</w:t>
      </w:r>
      <w:r>
        <w:rPr>
          <w:rFonts w:ascii="Times New Roman" w:hAnsi="Times New Roman" w:cs="Times New Roman"/>
          <w:sz w:val="20"/>
          <w:szCs w:val="20"/>
        </w:rPr>
        <w:t>o entre 500 y 700 no se ha defi</w:t>
      </w:r>
      <w:r w:rsidRPr="008C5F34">
        <w:rPr>
          <w:rFonts w:ascii="Times New Roman" w:hAnsi="Times New Roman" w:cs="Times New Roman"/>
          <w:sz w:val="20"/>
          <w:szCs w:val="20"/>
        </w:rPr>
        <w:t>nido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si es un número grande o mediano. Hay ambigüedad, no está clara la pertenencia. En este conjunto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elementos hay algunos que “medio pertenecen” tanto a los grandes como a los pequeños.</w:t>
      </w: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Con esta idea se puede uno imaginar la necesidad de la lógica difusa para representar casos de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vida cotidiana del ser humano. En la naturaleza es muy común ver distintos grados de pertenencia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distintos elementos. En un conjunto difuso hay grados de pertenencia que están entre cero (0) y uno (1).</w:t>
      </w: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A continuación analizaremos la idea básica de la lógica difusa desde la perspectiva de un diagrama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de Venn.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4133850" cy="1701469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F833C4.tmp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913" t="35470" r="18534" b="20348"/>
                    <a:stretch/>
                  </pic:blipFill>
                  <pic:spPr bwMode="auto">
                    <a:xfrm>
                      <a:off x="0" y="0"/>
                      <a:ext cx="4169044" cy="17159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Fig.2</w:t>
      </w:r>
      <w:r w:rsidRPr="00B43AB9">
        <w:rPr>
          <w:rFonts w:ascii="Times New Roman" w:hAnsi="Times New Roman" w:cs="Times New Roman"/>
          <w:b/>
          <w:sz w:val="20"/>
          <w:szCs w:val="20"/>
        </w:rPr>
        <w:t>.1</w:t>
      </w:r>
      <w:r>
        <w:rPr>
          <w:rFonts w:ascii="Times New Roman" w:hAnsi="Times New Roman" w:cs="Times New Roman"/>
          <w:sz w:val="20"/>
          <w:szCs w:val="20"/>
        </w:rPr>
        <w:t xml:space="preserve"> Gráfi</w:t>
      </w:r>
      <w:r w:rsidRPr="008C5F34">
        <w:rPr>
          <w:rFonts w:ascii="Times New Roman" w:hAnsi="Times New Roman" w:cs="Times New Roman"/>
          <w:sz w:val="20"/>
          <w:szCs w:val="20"/>
        </w:rPr>
        <w:t>ca de valores numéricos en un conjunto semi-nítido.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En esta gráfica hay una ambigüedad. ¿Por qué? Es muy evidente que antes del 500 es un número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mediano, y después del 700 es un número grande, pero en el rang</w:t>
      </w:r>
      <w:r>
        <w:rPr>
          <w:rFonts w:ascii="Times New Roman" w:hAnsi="Times New Roman" w:cs="Times New Roman"/>
          <w:sz w:val="20"/>
          <w:szCs w:val="20"/>
        </w:rPr>
        <w:t>o entre 500 y 700 no se ha defi</w:t>
      </w:r>
      <w:r w:rsidRPr="008C5F34">
        <w:rPr>
          <w:rFonts w:ascii="Times New Roman" w:hAnsi="Times New Roman" w:cs="Times New Roman"/>
          <w:sz w:val="20"/>
          <w:szCs w:val="20"/>
        </w:rPr>
        <w:t>nido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si es un número grande o mediano. Hay ambigüedad, no está clara la pertenencia. En este conjunto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elementos hay algunos que “medio pertenecen” tanto a los grandes como a los pequeños.</w:t>
      </w: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Con esta idea se puede uno imaginar la necesidad de la lógica difusa para representar casos de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vida cotidiana del ser humano. En la naturaleza es muy común ver distintos grados de pertenencia de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distintos elementos. En un conjunto difuso hay grados de pertenencia que están entre cero (0) y uno (1).</w:t>
      </w: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A continuación analizaremos la idea básica de la lógica difusa desde la perspectiva de un diagrama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de Venn.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3228975" cy="14382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F8E8A4.tmp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591" t="26447" r="18873" b="26572"/>
                    <a:stretch/>
                  </pic:blipFill>
                  <pic:spPr bwMode="auto">
                    <a:xfrm>
                      <a:off x="0" y="0"/>
                      <a:ext cx="3228975" cy="1438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b/>
          <w:sz w:val="20"/>
          <w:szCs w:val="20"/>
        </w:rPr>
        <w:t>Fig. 2.3</w:t>
      </w:r>
      <w:r w:rsidRPr="008C5F34">
        <w:rPr>
          <w:rFonts w:ascii="Times New Roman" w:hAnsi="Times New Roman" w:cs="Times New Roman"/>
          <w:sz w:val="20"/>
          <w:szCs w:val="20"/>
        </w:rPr>
        <w:t xml:space="preserve"> Diagramas de Venn.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P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En estos diagramas se observa dos universos, los cuales contienen el conjunto A y su complemento.</w:t>
      </w:r>
      <w:r w:rsidR="00261813"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Cada universo consta de tres elementos. En el primer universo se puede ver que los elementos a y b</w:t>
      </w:r>
      <w:r w:rsidR="00261813">
        <w:rPr>
          <w:rFonts w:ascii="Times New Roman" w:hAnsi="Times New Roman" w:cs="Times New Roman"/>
          <w:sz w:val="20"/>
          <w:szCs w:val="20"/>
        </w:rPr>
        <w:t xml:space="preserve"> pertenecen al complemento de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</m:oMath>
      <w:r w:rsidRPr="008C5F34">
        <w:rPr>
          <w:rFonts w:ascii="Times New Roman" w:hAnsi="Times New Roman" w:cs="Times New Roman"/>
          <w:sz w:val="20"/>
          <w:szCs w:val="20"/>
        </w:rPr>
        <w:t>, mientras que c pertenece a A. Sin embargo, en el segundo universo</w:t>
      </w:r>
      <w:r w:rsidR="00261813"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no se puede apreciar si el elemento b e</w:t>
      </w:r>
      <w:r w:rsidR="00261813">
        <w:rPr>
          <w:rFonts w:ascii="Times New Roman" w:hAnsi="Times New Roman" w:cs="Times New Roman"/>
          <w:sz w:val="20"/>
          <w:szCs w:val="20"/>
        </w:rPr>
        <w:t xml:space="preserve">stá en A o bien en 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</m:oMath>
      <w:r w:rsidR="00261813"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complemento. Por esta razón se dice que el</w:t>
      </w:r>
      <w:r w:rsidR="00261813"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 xml:space="preserve">primer universo es </w:t>
      </w:r>
      <w:r w:rsidRPr="00261813">
        <w:rPr>
          <w:rFonts w:ascii="Times New Roman" w:hAnsi="Times New Roman" w:cs="Times New Roman"/>
          <w:b/>
          <w:i/>
          <w:sz w:val="20"/>
          <w:szCs w:val="20"/>
        </w:rPr>
        <w:t>convencional</w:t>
      </w:r>
      <w:r w:rsidRPr="008C5F34">
        <w:rPr>
          <w:rFonts w:ascii="Times New Roman" w:hAnsi="Times New Roman" w:cs="Times New Roman"/>
          <w:sz w:val="20"/>
          <w:szCs w:val="20"/>
        </w:rPr>
        <w:t xml:space="preserve"> (nítido) y el segundo es </w:t>
      </w:r>
      <w:r w:rsidRPr="00261813">
        <w:rPr>
          <w:rFonts w:ascii="Times New Roman" w:hAnsi="Times New Roman" w:cs="Times New Roman"/>
          <w:b/>
          <w:i/>
          <w:sz w:val="20"/>
          <w:szCs w:val="20"/>
        </w:rPr>
        <w:t>difuso</w:t>
      </w:r>
      <w:r w:rsidRPr="008C5F34">
        <w:rPr>
          <w:rFonts w:ascii="Times New Roman" w:hAnsi="Times New Roman" w:cs="Times New Roman"/>
          <w:sz w:val="20"/>
          <w:szCs w:val="20"/>
        </w:rPr>
        <w:t>.</w:t>
      </w:r>
      <w:r w:rsidR="0026181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261813" w:rsidRDefault="00261813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Si analizamos más de cerca estos universos</w:t>
      </w:r>
      <w:r w:rsidRPr="00261813">
        <w:rPr>
          <w:rFonts w:ascii="Times New Roman" w:hAnsi="Times New Roman" w:cs="Times New Roman"/>
          <w:b/>
          <w:i/>
          <w:sz w:val="20"/>
          <w:szCs w:val="20"/>
        </w:rPr>
        <w:t>, podremos darnos cuenta que dentro del conjunto difuso</w:t>
      </w:r>
      <w:r w:rsidR="00261813" w:rsidRPr="00261813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261813">
        <w:rPr>
          <w:rFonts w:ascii="Times New Roman" w:hAnsi="Times New Roman" w:cs="Times New Roman"/>
          <w:b/>
          <w:i/>
          <w:sz w:val="20"/>
          <w:szCs w:val="20"/>
        </w:rPr>
        <w:t>está el convencional</w:t>
      </w:r>
      <w:r w:rsidRPr="008C5F34">
        <w:rPr>
          <w:rFonts w:ascii="Times New Roman" w:hAnsi="Times New Roman" w:cs="Times New Roman"/>
          <w:sz w:val="20"/>
          <w:szCs w:val="20"/>
        </w:rPr>
        <w:t>. En otras palabras:</w:t>
      </w:r>
    </w:p>
    <w:p w:rsidR="00261813" w:rsidRPr="008C5F34" w:rsidRDefault="00261813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sz w:val="20"/>
          <w:szCs w:val="20"/>
        </w:rPr>
        <w:t>U</w:t>
      </w:r>
      <w:r w:rsidR="00261813">
        <w:rPr>
          <w:rFonts w:ascii="Times New Roman" w:hAnsi="Times New Roman" w:cs="Times New Roman"/>
          <w:sz w:val="20"/>
          <w:szCs w:val="20"/>
        </w:rPr>
        <w:t xml:space="preserve">n </w:t>
      </w:r>
      <w:r w:rsidR="00261813" w:rsidRPr="00261813">
        <w:rPr>
          <w:rFonts w:ascii="Times New Roman" w:hAnsi="Times New Roman" w:cs="Times New Roman"/>
          <w:b/>
          <w:sz w:val="20"/>
          <w:szCs w:val="20"/>
        </w:rPr>
        <w:t>conjunto convencional</w:t>
      </w:r>
      <w:r w:rsidR="00261813">
        <w:rPr>
          <w:rFonts w:ascii="Times New Roman" w:hAnsi="Times New Roman" w:cs="Times New Roman"/>
          <w:sz w:val="20"/>
          <w:szCs w:val="20"/>
        </w:rPr>
        <w:t xml:space="preserve"> se defi</w:t>
      </w:r>
      <w:r w:rsidRPr="008C5F34">
        <w:rPr>
          <w:rFonts w:ascii="Times New Roman" w:hAnsi="Times New Roman" w:cs="Times New Roman"/>
          <w:sz w:val="20"/>
          <w:szCs w:val="20"/>
        </w:rPr>
        <w:t>ne como aquel conjunto que sólo tiene dos grados de pertenencia,</w:t>
      </w:r>
      <w:r w:rsidR="00261813">
        <w:rPr>
          <w:rFonts w:ascii="Times New Roman" w:hAnsi="Times New Roman" w:cs="Times New Roman"/>
          <w:sz w:val="20"/>
          <w:szCs w:val="20"/>
        </w:rPr>
        <w:t xml:space="preserve"> </w:t>
      </w:r>
      <w:r w:rsidRPr="008C5F34">
        <w:rPr>
          <w:rFonts w:ascii="Times New Roman" w:hAnsi="Times New Roman" w:cs="Times New Roman"/>
          <w:sz w:val="20"/>
          <w:szCs w:val="20"/>
        </w:rPr>
        <w:t>0 o 1.</w:t>
      </w:r>
    </w:p>
    <w:p w:rsidR="00261813" w:rsidRPr="008C5F34" w:rsidRDefault="00261813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261813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 </w:t>
      </w:r>
      <w:r w:rsidRPr="00261813">
        <w:rPr>
          <w:rFonts w:ascii="Times New Roman" w:hAnsi="Times New Roman" w:cs="Times New Roman"/>
          <w:b/>
          <w:sz w:val="20"/>
          <w:szCs w:val="20"/>
        </w:rPr>
        <w:t>conjunto difuso</w:t>
      </w:r>
      <w:r>
        <w:rPr>
          <w:rFonts w:ascii="Times New Roman" w:hAnsi="Times New Roman" w:cs="Times New Roman"/>
          <w:sz w:val="20"/>
          <w:szCs w:val="20"/>
        </w:rPr>
        <w:t xml:space="preserve"> se defi</w:t>
      </w:r>
      <w:r w:rsidR="008C5F34" w:rsidRPr="008C5F34">
        <w:rPr>
          <w:rFonts w:ascii="Times New Roman" w:hAnsi="Times New Roman" w:cs="Times New Roman"/>
          <w:sz w:val="20"/>
          <w:szCs w:val="20"/>
        </w:rPr>
        <w:t>ne como aquel conjunto que muestra todos los grados de pertenencia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8C5F34" w:rsidRPr="008C5F34">
        <w:rPr>
          <w:rFonts w:ascii="Times New Roman" w:hAnsi="Times New Roman" w:cs="Times New Roman"/>
          <w:sz w:val="20"/>
          <w:szCs w:val="20"/>
        </w:rPr>
        <w:t>entre 0 y 1, incluidos éstos.</w:t>
      </w: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C5F34" w:rsidRDefault="008C5F34" w:rsidP="008C5F34">
      <w:pPr>
        <w:autoSpaceDE w:val="0"/>
        <w:autoSpaceDN w:val="0"/>
        <w:adjustRightInd w:val="0"/>
        <w:spacing w:after="0" w:line="240" w:lineRule="auto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3B017E" w:rsidRDefault="009D6035" w:rsidP="003B017E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Lógica Booleana</w:t>
      </w:r>
    </w:p>
    <w:p w:rsidR="009D6035" w:rsidRDefault="009D6035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D6035">
        <w:rPr>
          <w:rFonts w:ascii="Times New Roman" w:hAnsi="Times New Roman" w:cs="Times New Roman"/>
          <w:sz w:val="20"/>
          <w:szCs w:val="20"/>
        </w:rPr>
        <w:t>En la lógica booleana existe una función característica: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9D6035" w:rsidRDefault="009D6035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D6035" w:rsidRDefault="00FC50D8" w:rsidP="009D6035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χ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A</m:t>
              </m:r>
            </m:sub>
          </m:sSub>
          <m:r>
            <w:rPr>
              <w:rFonts w:ascii="Cambria Math" w:eastAsiaTheme="minorEastAsia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0"/>
                  <w:szCs w:val="20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qArr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1,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X∈A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 w:cs="Times New Roman"/>
                          <w:i/>
                          <w:sz w:val="20"/>
                          <w:szCs w:val="20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0,</m:t>
                        </m:r>
                      </m:e>
                      <m:e>
                        <m:r>
                          <w:rPr>
                            <w:rFonts w:ascii="Cambria Math" w:eastAsiaTheme="minorEastAsia" w:hAnsi="Cambria Math" w:cs="Times New Roman"/>
                            <w:sz w:val="20"/>
                            <w:szCs w:val="20"/>
                          </w:rPr>
                          <m:t>X ∉A</m:t>
                        </m:r>
                      </m:e>
                    </m:mr>
                  </m:m>
                </m:e>
              </m:eqArr>
            </m:e>
          </m:d>
        </m:oMath>
      </m:oMathPara>
    </w:p>
    <w:p w:rsidR="002D2081" w:rsidRDefault="002D2081" w:rsidP="002D2081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2D2081" w:rsidRDefault="002D2081" w:rsidP="002D2081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Esta función característica (</w:t>
      </w:r>
      <m:oMath>
        <m:sSub>
          <m:sSubPr>
            <m:ctrlPr>
              <w:rPr>
                <w:rFonts w:ascii="Cambria Math" w:hAnsi="Cambria Math" w:cs="Times New Roman"/>
                <w:b/>
                <w:i/>
                <w:sz w:val="20"/>
                <w:szCs w:val="20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0"/>
                <w:szCs w:val="20"/>
              </w:rPr>
              <m:t>A</m:t>
            </m:r>
          </m:sub>
        </m:sSub>
      </m:oMath>
      <w:r w:rsidRPr="002D2081">
        <w:rPr>
          <w:rFonts w:ascii="Times New Roman" w:hAnsi="Times New Roman" w:cs="Times New Roman"/>
          <w:sz w:val="20"/>
          <w:szCs w:val="20"/>
        </w:rPr>
        <w:t xml:space="preserve">) nos dice que si el elemento </w:t>
      </w:r>
      <w:r w:rsidRPr="002D2081">
        <w:rPr>
          <w:rFonts w:ascii="Times New Roman" w:hAnsi="Times New Roman" w:cs="Times New Roman"/>
          <w:b/>
          <w:sz w:val="20"/>
          <w:szCs w:val="20"/>
        </w:rPr>
        <w:t>X</w:t>
      </w:r>
      <w:r w:rsidRPr="002D2081">
        <w:rPr>
          <w:rFonts w:ascii="Times New Roman" w:hAnsi="Times New Roman" w:cs="Times New Roman"/>
          <w:sz w:val="20"/>
          <w:szCs w:val="20"/>
        </w:rPr>
        <w:t xml:space="preserve"> pertenece al conjunto </w:t>
      </w:r>
      <w:r w:rsidRPr="002D2081">
        <w:rPr>
          <w:rFonts w:ascii="Times New Roman" w:hAnsi="Times New Roman" w:cs="Times New Roman"/>
          <w:b/>
          <w:sz w:val="20"/>
          <w:szCs w:val="20"/>
        </w:rPr>
        <w:t xml:space="preserve">(X </w:t>
      </w:r>
      <w:r w:rsidRPr="002D2081">
        <w:rPr>
          <w:rFonts w:ascii="Cambria Math" w:hAnsi="Cambria Math" w:cs="Cambria Math"/>
          <w:b/>
          <w:sz w:val="20"/>
          <w:szCs w:val="20"/>
        </w:rPr>
        <w:t>∈</w:t>
      </w:r>
      <w:r w:rsidRPr="002D2081">
        <w:rPr>
          <w:rFonts w:ascii="Times New Roman" w:hAnsi="Times New Roman" w:cs="Times New Roman"/>
          <w:b/>
          <w:sz w:val="20"/>
          <w:szCs w:val="20"/>
        </w:rPr>
        <w:t xml:space="preserve"> A)</w:t>
      </w:r>
      <w:r w:rsidRPr="002D2081">
        <w:rPr>
          <w:rFonts w:ascii="Times New Roman" w:hAnsi="Times New Roman" w:cs="Times New Roman"/>
          <w:sz w:val="20"/>
          <w:szCs w:val="20"/>
        </w:rPr>
        <w:t>, entonces la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D2081">
        <w:rPr>
          <w:rFonts w:ascii="Times New Roman" w:hAnsi="Times New Roman" w:cs="Times New Roman"/>
          <w:sz w:val="20"/>
          <w:szCs w:val="20"/>
        </w:rPr>
        <w:t xml:space="preserve">pertenencia es </w:t>
      </w:r>
      <w:r w:rsidRPr="002D2081">
        <w:rPr>
          <w:rFonts w:ascii="Times New Roman" w:hAnsi="Times New Roman" w:cs="Times New Roman"/>
          <w:b/>
          <w:sz w:val="20"/>
          <w:szCs w:val="20"/>
        </w:rPr>
        <w:t>1</w:t>
      </w:r>
      <w:r w:rsidRPr="002D2081">
        <w:rPr>
          <w:rFonts w:ascii="Times New Roman" w:hAnsi="Times New Roman" w:cs="Times New Roman"/>
          <w:sz w:val="20"/>
          <w:szCs w:val="20"/>
        </w:rPr>
        <w:t xml:space="preserve">; si no pertenece </w:t>
      </w:r>
      <w:r w:rsidRPr="002D2081">
        <w:rPr>
          <w:rFonts w:ascii="Times New Roman" w:hAnsi="Times New Roman" w:cs="Times New Roman"/>
          <w:b/>
          <w:sz w:val="20"/>
          <w:szCs w:val="20"/>
        </w:rPr>
        <w:t xml:space="preserve">X </w:t>
      </w:r>
      <w:r w:rsidRPr="002D2081">
        <w:rPr>
          <w:rFonts w:ascii="Cambria Math" w:hAnsi="Cambria Math" w:cs="Cambria Math"/>
          <w:b/>
          <w:sz w:val="20"/>
          <w:szCs w:val="20"/>
        </w:rPr>
        <w:t>∉</w:t>
      </w:r>
      <w:r w:rsidRPr="002D2081">
        <w:rPr>
          <w:rFonts w:ascii="Times New Roman" w:hAnsi="Times New Roman" w:cs="Times New Roman"/>
          <w:b/>
          <w:sz w:val="20"/>
          <w:szCs w:val="20"/>
        </w:rPr>
        <w:t xml:space="preserve"> A</w:t>
      </w:r>
      <w:r w:rsidRPr="002D2081">
        <w:rPr>
          <w:rFonts w:ascii="Times New Roman" w:hAnsi="Times New Roman" w:cs="Times New Roman"/>
          <w:sz w:val="20"/>
          <w:szCs w:val="20"/>
        </w:rPr>
        <w:t xml:space="preserve">, entonces la pertenencia es </w:t>
      </w:r>
      <w:r w:rsidRPr="002D2081">
        <w:rPr>
          <w:rFonts w:ascii="Times New Roman" w:hAnsi="Times New Roman" w:cs="Times New Roman"/>
          <w:b/>
          <w:sz w:val="20"/>
          <w:szCs w:val="20"/>
        </w:rPr>
        <w:t>0</w:t>
      </w:r>
      <w:r w:rsidRPr="002D2081">
        <w:rPr>
          <w:rFonts w:ascii="Times New Roman" w:hAnsi="Times New Roman" w:cs="Times New Roman"/>
          <w:sz w:val="20"/>
          <w:szCs w:val="20"/>
        </w:rPr>
        <w:t>.</w:t>
      </w:r>
      <w:r w:rsidR="002133DF">
        <w:rPr>
          <w:rFonts w:ascii="Times New Roman" w:hAnsi="Times New Roman" w:cs="Times New Roman"/>
          <w:sz w:val="20"/>
          <w:szCs w:val="20"/>
        </w:rPr>
        <w:t xml:space="preserve"> </w:t>
      </w:r>
      <w:r w:rsidRPr="002D2081">
        <w:rPr>
          <w:rFonts w:ascii="Times New Roman" w:hAnsi="Times New Roman" w:cs="Times New Roman"/>
          <w:sz w:val="20"/>
          <w:szCs w:val="20"/>
        </w:rPr>
        <w:t xml:space="preserve">Esta función expresa que en este universo nítido sólo hay dos posibles valores de pertenencia: </w:t>
      </w:r>
      <w:r w:rsidRPr="002D2081">
        <w:rPr>
          <w:rFonts w:ascii="Times New Roman" w:hAnsi="Times New Roman" w:cs="Times New Roman"/>
          <w:b/>
          <w:sz w:val="20"/>
          <w:szCs w:val="20"/>
        </w:rPr>
        <w:t>1</w:t>
      </w:r>
      <w:r w:rsidRPr="002D2081">
        <w:rPr>
          <w:rFonts w:ascii="Times New Roman" w:hAnsi="Times New Roman" w:cs="Times New Roman"/>
          <w:sz w:val="20"/>
          <w:szCs w:val="20"/>
        </w:rPr>
        <w:t xml:space="preserve"> o </w:t>
      </w:r>
      <w:r w:rsidRPr="002D2081">
        <w:rPr>
          <w:rFonts w:ascii="Times New Roman" w:hAnsi="Times New Roman" w:cs="Times New Roman"/>
          <w:b/>
          <w:sz w:val="20"/>
          <w:szCs w:val="20"/>
        </w:rPr>
        <w:t>0</w:t>
      </w:r>
      <w:r w:rsidRPr="002D2081">
        <w:rPr>
          <w:rFonts w:ascii="Times New Roman" w:hAnsi="Times New Roman" w:cs="Times New Roman"/>
          <w:sz w:val="20"/>
          <w:szCs w:val="20"/>
        </w:rPr>
        <w:t>.</w:t>
      </w:r>
    </w:p>
    <w:p w:rsidR="002D2081" w:rsidRPr="002D2081" w:rsidRDefault="002D2081" w:rsidP="002D2081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D6035" w:rsidRDefault="002D2081" w:rsidP="002D2081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2D2081">
        <w:rPr>
          <w:rFonts w:ascii="Times New Roman" w:hAnsi="Times New Roman" w:cs="Times New Roman"/>
          <w:sz w:val="20"/>
          <w:szCs w:val="20"/>
        </w:rPr>
        <w:t>Los conectores básicos dentro de la lógica booleana son los siguientes:</w:t>
      </w:r>
    </w:p>
    <w:p w:rsidR="009D6035" w:rsidRDefault="009D6035" w:rsidP="0066722D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p w:rsidR="0066722D" w:rsidRDefault="0066722D" w:rsidP="0066722D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66722D">
        <w:rPr>
          <w:rFonts w:ascii="Times New Roman" w:hAnsi="Times New Roman" w:cs="Times New Roman"/>
          <w:b/>
          <w:sz w:val="20"/>
          <w:szCs w:val="20"/>
        </w:rPr>
        <w:t>Tabla 2.1</w:t>
      </w:r>
      <w:r>
        <w:rPr>
          <w:rFonts w:ascii="Times New Roman" w:hAnsi="Times New Roman" w:cs="Times New Roman"/>
          <w:sz w:val="20"/>
          <w:szCs w:val="20"/>
        </w:rPr>
        <w:t xml:space="preserve"> Conectores básicos</w:t>
      </w:r>
    </w:p>
    <w:tbl>
      <w:tblPr>
        <w:tblStyle w:val="Tablanormal4"/>
        <w:tblW w:w="0" w:type="auto"/>
        <w:jc w:val="center"/>
        <w:tblLook w:val="04A0" w:firstRow="1" w:lastRow="0" w:firstColumn="1" w:lastColumn="0" w:noHBand="0" w:noVBand="1"/>
      </w:tblPr>
      <w:tblGrid>
        <w:gridCol w:w="807"/>
        <w:gridCol w:w="2521"/>
      </w:tblGrid>
      <w:tr w:rsidR="002D2081" w:rsidTr="006672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</w:tcPr>
          <w:p w:rsidR="002D2081" w:rsidRDefault="002D2081" w:rsidP="002D20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∪,∨</m:t>
                </m:r>
              </m:oMath>
            </m:oMathPara>
          </w:p>
        </w:tc>
        <w:tc>
          <w:tcPr>
            <w:tcW w:w="2521" w:type="dxa"/>
          </w:tcPr>
          <w:p w:rsidR="002D2081" w:rsidRDefault="0066722D" w:rsidP="002D20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unión, disyunción</w:t>
            </w:r>
          </w:p>
        </w:tc>
      </w:tr>
      <w:tr w:rsidR="0066722D" w:rsidTr="0066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shd w:val="clear" w:color="auto" w:fill="D9D9D9" w:themeFill="background1" w:themeFillShade="D9"/>
          </w:tcPr>
          <w:p w:rsidR="002D2081" w:rsidRPr="002D2081" w:rsidRDefault="002D2081" w:rsidP="002D20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 xml:space="preserve">∩, </m:t>
                </m:r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∧</m:t>
                </m:r>
              </m:oMath>
            </m:oMathPara>
          </w:p>
        </w:tc>
        <w:tc>
          <w:tcPr>
            <w:tcW w:w="2521" w:type="dxa"/>
            <w:shd w:val="clear" w:color="auto" w:fill="D9D9D9" w:themeFill="background1" w:themeFillShade="D9"/>
          </w:tcPr>
          <w:p w:rsidR="002D2081" w:rsidRDefault="0066722D" w:rsidP="002D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Intersección, conjunción</w:t>
            </w:r>
          </w:p>
        </w:tc>
      </w:tr>
      <w:tr w:rsidR="002D2081" w:rsidTr="006672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</w:tcPr>
          <w:p w:rsidR="002D2081" w:rsidRPr="002D2081" w:rsidRDefault="002D2081" w:rsidP="002D2081">
            <w:pPr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- o ~</m:t>
                </m:r>
              </m:oMath>
            </m:oMathPara>
          </w:p>
        </w:tc>
        <w:tc>
          <w:tcPr>
            <w:tcW w:w="2521" w:type="dxa"/>
          </w:tcPr>
          <w:p w:rsidR="002D2081" w:rsidRDefault="0066722D" w:rsidP="002D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Negación</w:t>
            </w:r>
          </w:p>
        </w:tc>
      </w:tr>
      <w:tr w:rsidR="0066722D" w:rsidTr="0066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shd w:val="clear" w:color="auto" w:fill="D9D9D9" w:themeFill="background1" w:themeFillShade="D9"/>
          </w:tcPr>
          <w:p w:rsidR="002D2081" w:rsidRDefault="002D2081" w:rsidP="002D20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∈, ∉</m:t>
                </m:r>
              </m:oMath>
            </m:oMathPara>
          </w:p>
        </w:tc>
        <w:tc>
          <w:tcPr>
            <w:tcW w:w="2521" w:type="dxa"/>
            <w:shd w:val="clear" w:color="auto" w:fill="D9D9D9" w:themeFill="background1" w:themeFillShade="D9"/>
          </w:tcPr>
          <w:p w:rsidR="002D2081" w:rsidRDefault="0066722D" w:rsidP="002D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Pertenencia, no pertenencia</w:t>
            </w:r>
          </w:p>
        </w:tc>
      </w:tr>
      <w:tr w:rsidR="002D2081" w:rsidTr="0066722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</w:tcPr>
          <w:p w:rsidR="002D2081" w:rsidRDefault="002D2081" w:rsidP="002D208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∀</m:t>
                </m:r>
              </m:oMath>
            </m:oMathPara>
          </w:p>
        </w:tc>
        <w:tc>
          <w:tcPr>
            <w:tcW w:w="2521" w:type="dxa"/>
          </w:tcPr>
          <w:p w:rsidR="002D2081" w:rsidRDefault="0066722D" w:rsidP="002D208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Para todo</w:t>
            </w:r>
          </w:p>
        </w:tc>
      </w:tr>
      <w:tr w:rsidR="0066722D" w:rsidTr="006672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07" w:type="dxa"/>
            <w:shd w:val="clear" w:color="auto" w:fill="D9D9D9" w:themeFill="background1" w:themeFillShade="D9"/>
          </w:tcPr>
          <w:p w:rsidR="002D2081" w:rsidRDefault="0066722D" w:rsidP="0066722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 w:cs="Times New Roman"/>
                    <w:sz w:val="20"/>
                    <w:szCs w:val="20"/>
                  </w:rPr>
                  <m:t>|</m:t>
                </m:r>
              </m:oMath>
            </m:oMathPara>
          </w:p>
        </w:tc>
        <w:tc>
          <w:tcPr>
            <w:tcW w:w="2521" w:type="dxa"/>
            <w:shd w:val="clear" w:color="auto" w:fill="D9D9D9" w:themeFill="background1" w:themeFillShade="D9"/>
          </w:tcPr>
          <w:p w:rsidR="002D2081" w:rsidRDefault="0066722D" w:rsidP="002D208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Tal que</w:t>
            </w:r>
          </w:p>
        </w:tc>
      </w:tr>
    </w:tbl>
    <w:p w:rsidR="009D6035" w:rsidRDefault="009D6035" w:rsidP="002D2081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laconcuadrcula"/>
        <w:tblW w:w="0" w:type="auto"/>
        <w:tblInd w:w="567" w:type="dxa"/>
        <w:tblLook w:val="04A0" w:firstRow="1" w:lastRow="0" w:firstColumn="1" w:lastColumn="0" w:noHBand="0" w:noVBand="1"/>
      </w:tblPr>
      <w:tblGrid>
        <w:gridCol w:w="8261"/>
      </w:tblGrid>
      <w:tr w:rsidR="0066722D" w:rsidTr="000A4F9C">
        <w:tc>
          <w:tcPr>
            <w:tcW w:w="8261" w:type="dxa"/>
            <w:tcBorders>
              <w:bottom w:val="nil"/>
            </w:tcBorders>
            <w:shd w:val="clear" w:color="auto" w:fill="E7E6E6" w:themeFill="background2"/>
          </w:tcPr>
          <w:p w:rsidR="0066722D" w:rsidRPr="005E5320" w:rsidRDefault="0066722D" w:rsidP="00A552B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Cs w:val="20"/>
              </w:rPr>
              <w:t>Lógica booleana</w:t>
            </w:r>
          </w:p>
        </w:tc>
      </w:tr>
      <w:tr w:rsidR="0066722D" w:rsidTr="000A4F9C">
        <w:tc>
          <w:tcPr>
            <w:tcW w:w="8261" w:type="dxa"/>
            <w:tcBorders>
              <w:top w:val="nil"/>
            </w:tcBorders>
            <w:shd w:val="clear" w:color="auto" w:fill="E7E6E6" w:themeFill="background2"/>
          </w:tcPr>
          <w:p w:rsidR="0066722D" w:rsidRDefault="0066722D" w:rsidP="006672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s una lógica de conjuntos y nos 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irve, principalmente, para defi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nir formas de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intersección entre conjuntos.</w:t>
            </w:r>
          </w:p>
          <w:p w:rsidR="002133DF" w:rsidRDefault="002133DF" w:rsidP="006672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6722D" w:rsidRDefault="0066722D" w:rsidP="006672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En este caso, los conj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untos serían lo que quedan defi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nidos por una palabra, es decir, serían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conjuntos defi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nidos por intensión. Si uso la palabra “psicoanálisis”, ésta recubre todo el conjunto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de elementos, para el caso, páginas web, en las que dicha palabra se encuentre incluida. Así, a partir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de diferentes palabras se defi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nen conjuntos de páginas agrupadas por el hecho de incluir (o no) esa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determinada palabra. Estos conjuntos tendrán entre sí elementos en común y elementos que no. Una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manera de afi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nar nuestra búsqueda consistirá en utilizar estos operadores booleanos para precisar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el campo de nuestro interés.</w:t>
            </w:r>
          </w:p>
          <w:p w:rsidR="002133DF" w:rsidRPr="0066722D" w:rsidRDefault="002133DF" w:rsidP="006672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6722D" w:rsidRDefault="0066722D" w:rsidP="006672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66722D">
              <w:rPr>
                <w:rFonts w:ascii="Times New Roman" w:hAnsi="Times New Roman" w:cs="Times New Roman"/>
                <w:i/>
                <w:sz w:val="20"/>
                <w:szCs w:val="20"/>
              </w:rPr>
              <w:t>Las principales opciones son:</w:t>
            </w:r>
          </w:p>
          <w:p w:rsidR="002133DF" w:rsidRDefault="002133DF" w:rsidP="0066722D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</w:p>
          <w:p w:rsidR="0066722D" w:rsidRPr="002133DF" w:rsidRDefault="002133DF" w:rsidP="006672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 w:rsidRPr="002133DF">
              <w:rPr>
                <w:rFonts w:ascii="Times New Roman" w:hAnsi="Times New Roman" w:cs="Times New Roman"/>
                <w:i/>
                <w:sz w:val="20"/>
                <w:szCs w:val="20"/>
              </w:rPr>
              <w:t>http://www.psiconet.com/enlaces/internet/boole.htm</w:t>
            </w:r>
          </w:p>
          <w:p w:rsidR="002133DF" w:rsidRDefault="002133DF" w:rsidP="0066722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3D4" w:rsidTr="000A4F9C">
        <w:tc>
          <w:tcPr>
            <w:tcW w:w="8261" w:type="dxa"/>
            <w:tcBorders>
              <w:bottom w:val="nil"/>
            </w:tcBorders>
            <w:shd w:val="clear" w:color="auto" w:fill="E7E6E6" w:themeFill="background2"/>
          </w:tcPr>
          <w:p w:rsidR="00DF53D4" w:rsidRPr="005E5320" w:rsidRDefault="00DF53D4" w:rsidP="00A552B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Cs w:val="20"/>
              </w:rPr>
              <w:t>OR</w:t>
            </w:r>
          </w:p>
        </w:tc>
      </w:tr>
      <w:tr w:rsidR="00DF53D4" w:rsidTr="000A4F9C">
        <w:tc>
          <w:tcPr>
            <w:tcW w:w="8261" w:type="dxa"/>
            <w:tcBorders>
              <w:top w:val="nil"/>
            </w:tcBorders>
            <w:shd w:val="clear" w:color="auto" w:fill="E7E6E6" w:themeFill="background2"/>
          </w:tcPr>
          <w:p w:rsidR="00DF53D4" w:rsidRDefault="00DF53D4" w:rsidP="00DF53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se suman los conjuntos defi</w:t>
            </w:r>
            <w:r w:rsidRPr="00DF53D4">
              <w:rPr>
                <w:rFonts w:ascii="Times New Roman" w:hAnsi="Times New Roman" w:cs="Times New Roman"/>
                <w:i/>
                <w:sz w:val="20"/>
                <w:szCs w:val="20"/>
              </w:rPr>
              <w:t>nidos por dos palabras, es decir la respuesta será todas aquellas referencias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53D4">
              <w:rPr>
                <w:rFonts w:ascii="Times New Roman" w:hAnsi="Times New Roman" w:cs="Times New Roman"/>
                <w:i/>
                <w:sz w:val="20"/>
                <w:szCs w:val="20"/>
              </w:rPr>
              <w:t>donde aparezcan, indistintamente, UNA U OTRA de las palabras indicadas para búsqueda</w:t>
            </w:r>
          </w:p>
          <w:p w:rsidR="00DF53D4" w:rsidRDefault="00DF53D4" w:rsidP="00DF53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3D4" w:rsidTr="000A4F9C">
        <w:tc>
          <w:tcPr>
            <w:tcW w:w="8261" w:type="dxa"/>
            <w:tcBorders>
              <w:bottom w:val="nil"/>
            </w:tcBorders>
            <w:shd w:val="clear" w:color="auto" w:fill="E7E6E6" w:themeFill="background2"/>
          </w:tcPr>
          <w:p w:rsidR="00DF53D4" w:rsidRPr="005E5320" w:rsidRDefault="00DF53D4" w:rsidP="00DF53D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Cs w:val="20"/>
              </w:rPr>
              <w:t>AND</w:t>
            </w:r>
          </w:p>
        </w:tc>
      </w:tr>
      <w:tr w:rsidR="00DF53D4" w:rsidTr="000A4F9C">
        <w:tc>
          <w:tcPr>
            <w:tcW w:w="8261" w:type="dxa"/>
            <w:tcBorders>
              <w:top w:val="nil"/>
            </w:tcBorders>
            <w:shd w:val="clear" w:color="auto" w:fill="E7E6E6" w:themeFill="background2"/>
          </w:tcPr>
          <w:p w:rsidR="00DF53D4" w:rsidRDefault="00DF53D4" w:rsidP="00DF53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S</w:t>
            </w:r>
            <w:r w:rsidRPr="00DF53D4">
              <w:rPr>
                <w:rFonts w:ascii="Times New Roman" w:hAnsi="Times New Roman" w:cs="Times New Roman"/>
                <w:i/>
                <w:sz w:val="20"/>
                <w:szCs w:val="20"/>
              </w:rPr>
              <w:t>e trata de la int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ersección de los conjuntos defi</w:t>
            </w:r>
            <w:r w:rsidRPr="00DF53D4">
              <w:rPr>
                <w:rFonts w:ascii="Times New Roman" w:hAnsi="Times New Roman" w:cs="Times New Roman"/>
                <w:i/>
                <w:sz w:val="20"/>
                <w:szCs w:val="20"/>
              </w:rPr>
              <w:t>nidos por las dos palabras, es decir sólo aquellas</w:t>
            </w: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Pr="00DF53D4">
              <w:rPr>
                <w:rFonts w:ascii="Times New Roman" w:hAnsi="Times New Roman" w:cs="Times New Roman"/>
                <w:i/>
                <w:sz w:val="20"/>
                <w:szCs w:val="20"/>
              </w:rPr>
              <w:t>referencias que contengan AMBAS palabras a la vez.</w:t>
            </w:r>
          </w:p>
          <w:p w:rsidR="00DF53D4" w:rsidRDefault="00DF53D4" w:rsidP="00DF53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DF53D4" w:rsidTr="000A4F9C">
        <w:tc>
          <w:tcPr>
            <w:tcW w:w="8261" w:type="dxa"/>
            <w:tcBorders>
              <w:bottom w:val="nil"/>
            </w:tcBorders>
            <w:shd w:val="clear" w:color="auto" w:fill="E7E6E6" w:themeFill="background2"/>
          </w:tcPr>
          <w:p w:rsidR="00DF53D4" w:rsidRPr="005E5320" w:rsidRDefault="00DF53D4" w:rsidP="00A552B4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Cs w:val="20"/>
              </w:rPr>
              <w:t>NOT</w:t>
            </w:r>
          </w:p>
        </w:tc>
      </w:tr>
      <w:tr w:rsidR="00DF53D4" w:rsidTr="000A4F9C">
        <w:tc>
          <w:tcPr>
            <w:tcW w:w="8261" w:type="dxa"/>
            <w:tcBorders>
              <w:top w:val="nil"/>
            </w:tcBorders>
            <w:shd w:val="clear" w:color="auto" w:fill="E7E6E6" w:themeFill="background2"/>
          </w:tcPr>
          <w:p w:rsidR="00DF53D4" w:rsidRDefault="002133DF" w:rsidP="00DF53D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E</w:t>
            </w:r>
            <w:r w:rsidR="00DF53D4" w:rsidRPr="00DF53D4">
              <w:rPr>
                <w:rFonts w:ascii="Times New Roman" w:hAnsi="Times New Roman" w:cs="Times New Roman"/>
                <w:i/>
                <w:sz w:val="20"/>
                <w:szCs w:val="20"/>
              </w:rPr>
              <w:t>n este caso, aquellas referencias que tengan la primer palabra y no la segunda, es decir un</w:t>
            </w:r>
            <w:r w:rsidR="00DF53D4">
              <w:rPr>
                <w:rFonts w:ascii="Times New Roman" w:hAnsi="Times New Roman" w:cs="Times New Roman"/>
                <w:i/>
                <w:sz w:val="20"/>
                <w:szCs w:val="20"/>
              </w:rPr>
              <w:t xml:space="preserve"> </w:t>
            </w:r>
            <w:r w:rsidR="00DF53D4" w:rsidRPr="00DF53D4">
              <w:rPr>
                <w:rFonts w:ascii="Times New Roman" w:hAnsi="Times New Roman" w:cs="Times New Roman"/>
                <w:i/>
                <w:sz w:val="20"/>
                <w:szCs w:val="20"/>
              </w:rPr>
              <w:t>primer conjunto, amputado de su parte común con otro.</w:t>
            </w:r>
          </w:p>
          <w:p w:rsidR="00DF53D4" w:rsidRDefault="00DF53D4" w:rsidP="00A552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133DF" w:rsidTr="000A4F9C">
        <w:tc>
          <w:tcPr>
            <w:tcW w:w="8261" w:type="dxa"/>
            <w:tcBorders>
              <w:bottom w:val="nil"/>
            </w:tcBorders>
            <w:shd w:val="clear" w:color="auto" w:fill="E7E6E6" w:themeFill="background2"/>
          </w:tcPr>
          <w:p w:rsidR="002133DF" w:rsidRPr="005E5320" w:rsidRDefault="002133DF" w:rsidP="002133DF">
            <w:pPr>
              <w:autoSpaceDE w:val="0"/>
              <w:autoSpaceDN w:val="0"/>
              <w:adjustRightInd w:val="0"/>
              <w:spacing w:after="120"/>
              <w:jc w:val="both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Cs w:val="20"/>
              </w:rPr>
              <w:t>NEAR</w:t>
            </w:r>
          </w:p>
        </w:tc>
      </w:tr>
      <w:tr w:rsidR="002133DF" w:rsidTr="000A4F9C">
        <w:tc>
          <w:tcPr>
            <w:tcW w:w="8261" w:type="dxa"/>
            <w:tcBorders>
              <w:top w:val="nil"/>
            </w:tcBorders>
            <w:shd w:val="clear" w:color="auto" w:fill="E7E6E6" w:themeFill="background2"/>
          </w:tcPr>
          <w:p w:rsidR="002133DF" w:rsidRDefault="002133DF" w:rsidP="00A552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</w:rPr>
              <w:t>C</w:t>
            </w:r>
            <w:r w:rsidRPr="002133DF">
              <w:rPr>
                <w:rFonts w:ascii="Times New Roman" w:hAnsi="Times New Roman" w:cs="Times New Roman"/>
                <w:i/>
                <w:sz w:val="20"/>
                <w:szCs w:val="20"/>
              </w:rPr>
              <w:t>omo el AND, pero con la exigencia suplementaria de una cercanía entre las palabras.</w:t>
            </w:r>
          </w:p>
          <w:p w:rsidR="002133DF" w:rsidRDefault="002133DF" w:rsidP="00A552B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DF53D4" w:rsidRDefault="00DF53D4" w:rsidP="003B017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2133DF" w:rsidRDefault="002133DF" w:rsidP="002133DF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Axiomas de los conjuntos convencionales</w:t>
      </w:r>
    </w:p>
    <w:p w:rsidR="00D67E38" w:rsidRDefault="00D67E38" w:rsidP="002133DF">
      <w:pPr>
        <w:spacing w:after="0"/>
        <w:ind w:left="567"/>
        <w:jc w:val="both"/>
        <w:rPr>
          <w:rFonts w:ascii="Bookman Old Style" w:eastAsiaTheme="minorEastAsia" w:hAnsi="Bookman Old Style"/>
          <w:i/>
          <w:sz w:val="20"/>
          <w:szCs w:val="20"/>
        </w:rPr>
      </w:pPr>
    </w:p>
    <w:p w:rsidR="00DF53D4" w:rsidRPr="0090120D" w:rsidRDefault="0090120D" w:rsidP="002133DF">
      <w:pPr>
        <w:spacing w:after="0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 ∈X:X pertenece al universo X</m:t>
          </m:r>
        </m:oMath>
      </m:oMathPara>
    </w:p>
    <w:p w:rsidR="0090120D" w:rsidRDefault="0090120D" w:rsidP="0090120D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X ∈</m:t>
          </m:r>
          <m:r>
            <w:rPr>
              <w:rFonts w:ascii="Cambria Math" w:hAnsi="Cambria Math" w:cs="Times New Roman"/>
              <w:sz w:val="20"/>
              <w:szCs w:val="20"/>
            </w:rPr>
            <m:t>A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:X pertenece al universo </m:t>
          </m:r>
          <m:r>
            <w:rPr>
              <w:rFonts w:ascii="Cambria Math" w:hAnsi="Cambria Math" w:cs="Times New Roman"/>
              <w:sz w:val="20"/>
              <w:szCs w:val="20"/>
            </w:rPr>
            <m:t>A</m:t>
          </m:r>
        </m:oMath>
      </m:oMathPara>
    </w:p>
    <w:p w:rsidR="00DF53D4" w:rsidRDefault="0090120D" w:rsidP="0090120D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 xml:space="preserve">X </m:t>
          </m:r>
          <m:r>
            <w:rPr>
              <w:rFonts w:ascii="Cambria Math" w:hAnsi="Cambria Math" w:cs="Times New Roman"/>
              <w:sz w:val="20"/>
              <w:szCs w:val="20"/>
            </w:rPr>
            <m:t>∉A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:X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no 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pertenece al universo </m:t>
          </m:r>
          <m:r>
            <w:rPr>
              <w:rFonts w:ascii="Cambria Math" w:hAnsi="Cambria Math" w:cs="Times New Roman"/>
              <w:sz w:val="20"/>
              <w:szCs w:val="20"/>
            </w:rPr>
            <m:t>A</m:t>
          </m:r>
        </m:oMath>
      </m:oMathPara>
    </w:p>
    <w:p w:rsidR="00DF53D4" w:rsidRDefault="0090120D" w:rsidP="0090120D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 ⊂B</m:t>
          </m:r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w:rPr>
              <w:rFonts w:ascii="Cambria Math" w:hAnsi="Cambria Math" w:cs="Times New Roman"/>
              <w:sz w:val="20"/>
              <w:szCs w:val="20"/>
            </w:rPr>
            <m:t>A esta contenido en B</m:t>
          </m:r>
        </m:oMath>
      </m:oMathPara>
    </w:p>
    <w:p w:rsidR="00DF53D4" w:rsidRDefault="0090120D" w:rsidP="0090120D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A⊆B</m:t>
          </m:r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w:rPr>
              <w:rFonts w:ascii="Cambria Math" w:hAnsi="Cambria Math" w:cs="Times New Roman"/>
              <w:sz w:val="20"/>
              <w:szCs w:val="20"/>
            </w:rPr>
            <m:t>A</m:t>
          </m:r>
          <m:r>
            <w:rPr>
              <w:rFonts w:ascii="Cambria Math" w:hAnsi="Cambria Math" w:cs="Times New Roman"/>
              <w:sz w:val="20"/>
              <w:szCs w:val="20"/>
            </w:rPr>
            <m:t xml:space="preserve"> </m:t>
          </m:r>
          <m:r>
            <w:rPr>
              <w:rFonts w:ascii="Cambria Math" w:hAnsi="Cambria Math" w:cs="Times New Roman"/>
              <w:sz w:val="20"/>
              <w:szCs w:val="20"/>
            </w:rPr>
            <m:t>esta contenido en o es equivalente a B</m:t>
          </m:r>
        </m:oMath>
      </m:oMathPara>
    </w:p>
    <w:p w:rsidR="00DF53D4" w:rsidRDefault="0090120D" w:rsidP="0090120D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∅</m:t>
          </m:r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w:rPr>
              <w:rFonts w:ascii="Cambria Math" w:hAnsi="Cambria Math" w:cs="Times New Roman"/>
              <w:sz w:val="20"/>
              <w:szCs w:val="20"/>
            </w:rPr>
            <m:t>Conjunto vacio</m:t>
          </m:r>
        </m:oMath>
      </m:oMathPara>
    </w:p>
    <w:p w:rsidR="00DF53D4" w:rsidRDefault="0090120D" w:rsidP="00D67E38">
      <w:pPr>
        <w:spacing w:after="12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:</m:t>
          </m:r>
          <m:r>
            <w:rPr>
              <w:rFonts w:ascii="Cambria Math" w:hAnsi="Cambria Math" w:cs="Times New Roman"/>
              <w:sz w:val="20"/>
              <w:szCs w:val="20"/>
            </w:rPr>
            <m:t>Conjuntode potencias</m:t>
          </m:r>
        </m:oMath>
      </m:oMathPara>
    </w:p>
    <w:p w:rsidR="009D6035" w:rsidRDefault="0090120D" w:rsidP="0090120D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90120D">
        <w:rPr>
          <w:rFonts w:ascii="Times New Roman" w:hAnsi="Times New Roman" w:cs="Times New Roman"/>
          <w:sz w:val="20"/>
          <w:szCs w:val="20"/>
        </w:rPr>
        <w:t>U</w:t>
      </w:r>
      <w:r>
        <w:rPr>
          <w:rFonts w:ascii="Times New Roman" w:hAnsi="Times New Roman" w:cs="Times New Roman"/>
          <w:sz w:val="20"/>
          <w:szCs w:val="20"/>
        </w:rPr>
        <w:t>n conjunto de potencias se defi</w:t>
      </w:r>
      <w:r w:rsidRPr="0090120D">
        <w:rPr>
          <w:rFonts w:ascii="Times New Roman" w:hAnsi="Times New Roman" w:cs="Times New Roman"/>
          <w:sz w:val="20"/>
          <w:szCs w:val="20"/>
        </w:rPr>
        <w:t>ne como todos los conjuntos posibles que se pueden formar con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90120D">
        <w:rPr>
          <w:rFonts w:ascii="Times New Roman" w:hAnsi="Times New Roman" w:cs="Times New Roman"/>
          <w:sz w:val="20"/>
          <w:szCs w:val="20"/>
        </w:rPr>
        <w:t>los elementos de un conjunto.</w:t>
      </w:r>
    </w:p>
    <w:p w:rsidR="000A4F9C" w:rsidRDefault="000A4F9C" w:rsidP="0090120D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9D6035" w:rsidRPr="00D67E38" w:rsidRDefault="00D67E38" w:rsidP="003B017E">
      <w:pPr>
        <w:spacing w:after="0"/>
        <w:ind w:left="567"/>
        <w:jc w:val="both"/>
        <w:rPr>
          <w:rFonts w:ascii="Bookman Old Style" w:hAnsi="Bookman Old Style" w:cs="Times New Roman"/>
          <w:b/>
          <w:i/>
          <w:sz w:val="20"/>
          <w:szCs w:val="20"/>
        </w:rPr>
      </w:pPr>
      <w:r w:rsidRPr="00D67E38">
        <w:rPr>
          <w:rFonts w:ascii="Bookman Old Style" w:hAnsi="Bookman Old Style" w:cs="Times New Roman"/>
          <w:b/>
          <w:i/>
          <w:sz w:val="20"/>
          <w:szCs w:val="20"/>
        </w:rPr>
        <w:t>Ejemplo:</w:t>
      </w:r>
    </w:p>
    <w:p w:rsidR="00D67E38" w:rsidRDefault="00D67E38" w:rsidP="00D67E38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D67E38">
        <w:rPr>
          <w:rFonts w:ascii="Times New Roman" w:hAnsi="Times New Roman" w:cs="Times New Roman"/>
          <w:sz w:val="20"/>
          <w:szCs w:val="20"/>
        </w:rPr>
        <w:t>Ten</w:t>
      </w:r>
      <w:r>
        <w:rPr>
          <w:rFonts w:ascii="Times New Roman" w:hAnsi="Times New Roman" w:cs="Times New Roman"/>
          <w:sz w:val="20"/>
          <w:szCs w:val="20"/>
        </w:rPr>
        <w:t xml:space="preserve">iendo el conjunto: </w:t>
      </w:r>
      <m:oMath>
        <m:r>
          <w:rPr>
            <w:rFonts w:ascii="Cambria Math" w:hAnsi="Cambria Math" w:cs="Times New Roman"/>
            <w:sz w:val="20"/>
            <w:szCs w:val="20"/>
          </w:rPr>
          <m:t>X={a,b,c}</m:t>
        </m:r>
      </m:oMath>
      <w:r w:rsidR="000A4F9C">
        <w:rPr>
          <w:rFonts w:ascii="Times New Roman" w:eastAsiaTheme="minorEastAsia" w:hAnsi="Times New Roman" w:cs="Times New Roman"/>
          <w:sz w:val="20"/>
          <w:szCs w:val="20"/>
        </w:rPr>
        <w:t xml:space="preserve">. </w:t>
      </w:r>
      <w:r w:rsidRPr="00D67E38">
        <w:rPr>
          <w:rFonts w:ascii="Times New Roman" w:hAnsi="Times New Roman" w:cs="Times New Roman"/>
          <w:sz w:val="20"/>
          <w:szCs w:val="20"/>
        </w:rPr>
        <w:t xml:space="preserve">Se tienen tres elementos, lo que nos da un posible de </w:t>
      </w:r>
      <w:r>
        <w:rPr>
          <w:rFonts w:ascii="Times New Roman" w:hAnsi="Times New Roman" w:cs="Times New Roman"/>
          <w:sz w:val="20"/>
          <w:szCs w:val="20"/>
        </w:rPr>
        <w:t>ocho combinaciones distintas (</w:t>
      </w:r>
      <m:oMath>
        <m:sSup>
          <m:sSup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pPr>
          <m:e>
            <m:r>
              <w:rPr>
                <w:rFonts w:ascii="Cambria Math" w:hAnsi="Cambria Math" w:cs="Times New Roman"/>
                <w:sz w:val="20"/>
                <w:szCs w:val="20"/>
              </w:rPr>
              <m:t>2</m:t>
            </m:r>
          </m:e>
          <m:sup>
            <m:r>
              <w:rPr>
                <w:rFonts w:ascii="Cambria Math" w:hAnsi="Cambria Math" w:cs="Times New Roman"/>
                <w:sz w:val="20"/>
                <w:szCs w:val="20"/>
              </w:rPr>
              <m:t>n</m:t>
            </m:r>
          </m:sup>
        </m:sSup>
      </m:oMath>
      <w:r w:rsidRPr="00D67E38">
        <w:rPr>
          <w:rFonts w:ascii="Times New Roman" w:hAnsi="Times New Roman" w:cs="Times New Roman"/>
          <w:sz w:val="20"/>
          <w:szCs w:val="20"/>
        </w:rPr>
        <w:t>, donde</w:t>
      </w:r>
      <w:r>
        <w:rPr>
          <w:rFonts w:ascii="Times New Roman" w:hAnsi="Times New Roman" w:cs="Times New Roman"/>
          <w:sz w:val="20"/>
          <w:szCs w:val="20"/>
        </w:rPr>
        <w:t xml:space="preserve"> n=</w:t>
      </w:r>
      <w:r w:rsidRPr="00D67E38">
        <w:rPr>
          <w:rFonts w:ascii="Times New Roman" w:hAnsi="Times New Roman" w:cs="Times New Roman"/>
          <w:sz w:val="20"/>
          <w:szCs w:val="20"/>
        </w:rPr>
        <w:t>3). Recordemos que en las combinaciones no importa el orden de los elementos en un conjunto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D67E38">
        <w:rPr>
          <w:rFonts w:ascii="Times New Roman" w:hAnsi="Times New Roman" w:cs="Times New Roman"/>
          <w:sz w:val="20"/>
          <w:szCs w:val="20"/>
        </w:rPr>
        <w:t>dado, mientras que en las permutaciones sí importa.</w:t>
      </w:r>
    </w:p>
    <w:p w:rsidR="00D67E38" w:rsidRDefault="00D67E38" w:rsidP="00D67E38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D67E38">
        <w:rPr>
          <w:rFonts w:ascii="Times New Roman" w:hAnsi="Times New Roman" w:cs="Times New Roman"/>
          <w:sz w:val="20"/>
          <w:szCs w:val="20"/>
        </w:rPr>
        <w:lastRenderedPageBreak/>
        <w:t xml:space="preserve">A continuación se muestra el conjunto de potencias de </w:t>
      </w:r>
      <w:r w:rsidRPr="00D67E38">
        <w:rPr>
          <w:rFonts w:ascii="Times New Roman" w:hAnsi="Times New Roman" w:cs="Times New Roman"/>
          <w:i/>
          <w:sz w:val="20"/>
          <w:szCs w:val="20"/>
        </w:rPr>
        <w:t>X</w:t>
      </w:r>
      <w:r w:rsidRPr="00D67E38">
        <w:rPr>
          <w:rFonts w:ascii="Times New Roman" w:hAnsi="Times New Roman" w:cs="Times New Roman"/>
          <w:sz w:val="20"/>
          <w:szCs w:val="20"/>
        </w:rPr>
        <w:t>:</w:t>
      </w:r>
    </w:p>
    <w:p w:rsidR="00D67E38" w:rsidRPr="00D67E38" w:rsidRDefault="00D67E38" w:rsidP="00D67E38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D67E38" w:rsidP="00D67E38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r>
            <w:rPr>
              <w:rFonts w:ascii="Cambria Math" w:hAnsi="Cambria Math" w:cs="Times New Roman"/>
              <w:sz w:val="20"/>
              <w:szCs w:val="20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X</m:t>
              </m:r>
            </m:e>
          </m:d>
          <m:r>
            <w:rPr>
              <w:rFonts w:ascii="Cambria Math" w:hAnsi="Cambria Math" w:cs="Times New Roman"/>
              <w:sz w:val="20"/>
              <w:szCs w:val="20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0,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c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,b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,c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b,c</m:t>
                  </m:r>
                </m:e>
              </m:d>
              <m:r>
                <w:rPr>
                  <w:rFonts w:ascii="Cambria Math" w:hAnsi="Cambria Math" w:cs="Times New Roman"/>
                  <w:sz w:val="20"/>
                  <w:szCs w:val="20"/>
                </w:rPr>
                <m:t>,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a</m:t>
                  </m:r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,b,c</m:t>
                  </m:r>
                </m:e>
              </m:d>
            </m:e>
          </m:d>
        </m:oMath>
      </m:oMathPara>
    </w:p>
    <w:p w:rsidR="00D67E38" w:rsidRDefault="00D67E38" w:rsidP="00D67E38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879FB" w:rsidRDefault="008879FB" w:rsidP="008879FB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Operaciones en la lógica convencional</w:t>
      </w:r>
    </w:p>
    <w:p w:rsidR="008879FB" w:rsidRDefault="008879FB" w:rsidP="008879FB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8879FB">
        <w:rPr>
          <w:rFonts w:ascii="Times New Roman" w:hAnsi="Times New Roman" w:cs="Times New Roman"/>
          <w:sz w:val="20"/>
          <w:szCs w:val="20"/>
        </w:rPr>
        <w:t>Las operaciones entre distintos conjuntos c</w:t>
      </w:r>
      <w:r>
        <w:rPr>
          <w:rFonts w:ascii="Times New Roman" w:hAnsi="Times New Roman" w:cs="Times New Roman"/>
          <w:sz w:val="20"/>
          <w:szCs w:val="20"/>
        </w:rPr>
        <w:t>onvencionales se muestran gráfi</w:t>
      </w:r>
      <w:r w:rsidRPr="008879FB">
        <w:rPr>
          <w:rFonts w:ascii="Times New Roman" w:hAnsi="Times New Roman" w:cs="Times New Roman"/>
          <w:sz w:val="20"/>
          <w:szCs w:val="20"/>
        </w:rPr>
        <w:t>camente en las siguientes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8879FB">
        <w:rPr>
          <w:rFonts w:ascii="Times New Roman" w:hAnsi="Times New Roman" w:cs="Times New Roman"/>
          <w:sz w:val="20"/>
          <w:szCs w:val="20"/>
        </w:rPr>
        <w:t>imágenes.</w:t>
      </w:r>
    </w:p>
    <w:p w:rsidR="008879FB" w:rsidRDefault="008879FB" w:rsidP="008879FB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8879FB" w:rsidRDefault="008879FB" w:rsidP="00447819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es-CO"/>
        </w:rPr>
        <w:drawing>
          <wp:inline distT="0" distB="0" distL="0" distR="0">
            <wp:extent cx="3781425" cy="2465341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D04EBC.tmp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0" t="13068" r="13102" b="4169"/>
                    <a:stretch/>
                  </pic:blipFill>
                  <pic:spPr bwMode="auto">
                    <a:xfrm>
                      <a:off x="0" y="0"/>
                      <a:ext cx="3817362" cy="24887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7819" w:rsidRDefault="00447819" w:rsidP="00447819">
      <w:pPr>
        <w:autoSpaceDE w:val="0"/>
        <w:autoSpaceDN w:val="0"/>
        <w:adjustRightInd w:val="0"/>
        <w:spacing w:after="0" w:line="240" w:lineRule="auto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 w:rsidRPr="008C5F34">
        <w:rPr>
          <w:rFonts w:ascii="Times New Roman" w:hAnsi="Times New Roman" w:cs="Times New Roman"/>
          <w:b/>
          <w:sz w:val="20"/>
          <w:szCs w:val="20"/>
        </w:rPr>
        <w:t>Fig. 2.3</w:t>
      </w:r>
      <w:r w:rsidRPr="008C5F34">
        <w:rPr>
          <w:rFonts w:ascii="Times New Roman" w:hAnsi="Times New Roman" w:cs="Times New Roman"/>
          <w:sz w:val="20"/>
          <w:szCs w:val="20"/>
        </w:rPr>
        <w:t xml:space="preserve"> </w:t>
      </w:r>
      <w:r w:rsidRPr="00447819">
        <w:rPr>
          <w:rFonts w:ascii="Times New Roman" w:hAnsi="Times New Roman" w:cs="Times New Roman"/>
          <w:sz w:val="20"/>
          <w:szCs w:val="20"/>
        </w:rPr>
        <w:t>Operaciones entre conjuntos convencionales.</w:t>
      </w:r>
    </w:p>
    <w:p w:rsidR="00D67E38" w:rsidRDefault="00D67E38" w:rsidP="0044781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447819" w:rsidRDefault="00447819" w:rsidP="00447819">
      <w:pPr>
        <w:spacing w:after="0"/>
        <w:jc w:val="both"/>
        <w:rPr>
          <w:rFonts w:ascii="Bookman Old Style" w:hAnsi="Bookman Old Style"/>
          <w:i/>
          <w:sz w:val="28"/>
          <w:szCs w:val="28"/>
        </w:rPr>
      </w:pPr>
      <w:r>
        <w:rPr>
          <w:rFonts w:ascii="Bookman Old Style" w:hAnsi="Bookman Old Style"/>
          <w:i/>
          <w:sz w:val="28"/>
          <w:szCs w:val="28"/>
        </w:rPr>
        <w:t>Leyes de Morgan</w:t>
      </w:r>
    </w:p>
    <w:p w:rsidR="00447819" w:rsidRDefault="00447819" w:rsidP="00447819">
      <w:pPr>
        <w:spacing w:after="0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A∪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=X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: A unión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complemento es igual al universo.</w:t>
      </w:r>
    </w:p>
    <w:p w:rsidR="00447819" w:rsidRDefault="00447819" w:rsidP="0044781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m:oMath>
        <m:r>
          <w:rPr>
            <w:rFonts w:ascii="Cambria Math" w:hAnsi="Cambria Math" w:cs="Times New Roman"/>
            <w:sz w:val="20"/>
            <w:szCs w:val="20"/>
          </w:rPr>
          <m:t>A∩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=0: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A intersección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complemento es igual al conjunto vacío.</w:t>
      </w:r>
    </w:p>
    <w:p w:rsidR="00447819" w:rsidRPr="00447819" w:rsidRDefault="00447819" w:rsidP="00447819">
      <w:pPr>
        <w:spacing w:after="0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A∩B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 xml:space="preserve">∪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: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47819">
        <w:rPr>
          <w:rFonts w:ascii="Times New Roman" w:eastAsiaTheme="minorEastAsia" w:hAnsi="Times New Roman" w:cs="Times New Roman"/>
          <w:sz w:val="20"/>
          <w:szCs w:val="20"/>
        </w:rPr>
        <w:t>El</w:t>
      </w:r>
      <w:r w:rsidRPr="00447819">
        <w:rPr>
          <w:rFonts w:ascii="Times New Roman" w:eastAsiaTheme="minorEastAsia" w:hAnsi="Times New Roman" w:cs="Times New Roman"/>
          <w:sz w:val="20"/>
          <w:szCs w:val="20"/>
        </w:rPr>
        <w:t xml:space="preserve"> complemento de la intersección de A co</w:t>
      </w:r>
      <w:r>
        <w:rPr>
          <w:rFonts w:ascii="Times New Roman" w:eastAsiaTheme="minorEastAsia" w:hAnsi="Times New Roman" w:cs="Times New Roman"/>
          <w:sz w:val="20"/>
          <w:szCs w:val="20"/>
        </w:rPr>
        <w:t>n B es igual al complemento 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47819">
        <w:rPr>
          <w:rFonts w:ascii="Times New Roman" w:eastAsiaTheme="minorEastAsia" w:hAnsi="Times New Roman" w:cs="Times New Roman"/>
          <w:sz w:val="20"/>
          <w:szCs w:val="20"/>
        </w:rPr>
        <w:t>en unión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con el complemento de 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D67E38" w:rsidRDefault="00447819" w:rsidP="00D67E38">
      <w:pPr>
        <w:spacing w:after="0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  <m:r>
              <w:rPr>
                <w:rFonts w:ascii="Cambria Math" w:hAnsi="Cambria Math" w:cs="Times New Roman"/>
                <w:sz w:val="20"/>
                <w:szCs w:val="20"/>
              </w:rPr>
              <m:t>∪</m:t>
            </m:r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A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∩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B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:</m:t>
        </m:r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47819">
        <w:rPr>
          <w:rFonts w:ascii="Times New Roman" w:eastAsiaTheme="minorEastAsia" w:hAnsi="Times New Roman" w:cs="Times New Roman"/>
          <w:sz w:val="20"/>
          <w:szCs w:val="20"/>
        </w:rPr>
        <w:t xml:space="preserve">El complemento de la </w:t>
      </w:r>
      <w:r>
        <w:rPr>
          <w:rFonts w:ascii="Times New Roman" w:eastAsiaTheme="minorEastAsia" w:hAnsi="Times New Roman" w:cs="Times New Roman"/>
          <w:sz w:val="20"/>
          <w:szCs w:val="20"/>
        </w:rPr>
        <w:t>unión de</w:t>
      </w:r>
      <w:r w:rsidRPr="00447819">
        <w:rPr>
          <w:rFonts w:ascii="Times New Roman" w:eastAsiaTheme="minorEastAsia" w:hAnsi="Times New Roman" w:cs="Times New Roman"/>
          <w:sz w:val="20"/>
          <w:szCs w:val="20"/>
        </w:rPr>
        <w:t xml:space="preserve"> A co</w:t>
      </w:r>
      <w:r>
        <w:rPr>
          <w:rFonts w:ascii="Times New Roman" w:eastAsiaTheme="minorEastAsia" w:hAnsi="Times New Roman" w:cs="Times New Roman"/>
          <w:sz w:val="20"/>
          <w:szCs w:val="20"/>
        </w:rPr>
        <w:t>n B es igual a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la intersección del complemento de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A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</w:t>
      </w:r>
      <w:r w:rsidRPr="00447819">
        <w:rPr>
          <w:rFonts w:ascii="Times New Roman" w:eastAsiaTheme="minorEastAsia" w:hAnsi="Times New Roman" w:cs="Times New Roman"/>
          <w:sz w:val="20"/>
          <w:szCs w:val="20"/>
        </w:rPr>
        <w:t xml:space="preserve">en </w:t>
      </w:r>
      <w:r>
        <w:rPr>
          <w:rFonts w:ascii="Times New Roman" w:eastAsiaTheme="minorEastAsia" w:hAnsi="Times New Roman" w:cs="Times New Roman"/>
          <w:sz w:val="20"/>
          <w:szCs w:val="20"/>
        </w:rPr>
        <w:t>intersección con el</w:t>
      </w:r>
      <w:r>
        <w:rPr>
          <w:rFonts w:ascii="Times New Roman" w:eastAsiaTheme="minorEastAsia" w:hAnsi="Times New Roman" w:cs="Times New Roman"/>
          <w:sz w:val="20"/>
          <w:szCs w:val="20"/>
        </w:rPr>
        <w:t xml:space="preserve"> complemento de 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0"/>
                <w:szCs w:val="20"/>
              </w:rPr>
              <m:t>B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>.</w:t>
      </w:r>
    </w:p>
    <w:p w:rsidR="000B271E" w:rsidRDefault="000B271E" w:rsidP="00D67E38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0B271E" w:rsidRPr="00447819" w:rsidRDefault="000B271E" w:rsidP="000B271E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0B271E">
        <w:rPr>
          <w:rFonts w:ascii="Times New Roman" w:hAnsi="Times New Roman" w:cs="Times New Roman"/>
          <w:sz w:val="20"/>
          <w:szCs w:val="20"/>
        </w:rPr>
        <w:t xml:space="preserve">Las leyes de </w:t>
      </w:r>
      <w:r w:rsidR="00732959">
        <w:rPr>
          <w:rFonts w:ascii="Times New Roman" w:hAnsi="Times New Roman" w:cs="Times New Roman"/>
          <w:sz w:val="20"/>
          <w:szCs w:val="20"/>
        </w:rPr>
        <w:t>“</w:t>
      </w:r>
      <w:r w:rsidRPr="000B271E">
        <w:rPr>
          <w:rFonts w:ascii="Times New Roman" w:hAnsi="Times New Roman" w:cs="Times New Roman"/>
          <w:sz w:val="20"/>
          <w:szCs w:val="20"/>
        </w:rPr>
        <w:t>De Morgan</w:t>
      </w:r>
      <w:r w:rsidR="00732959">
        <w:rPr>
          <w:rFonts w:ascii="Times New Roman" w:hAnsi="Times New Roman" w:cs="Times New Roman"/>
          <w:sz w:val="20"/>
          <w:szCs w:val="20"/>
        </w:rPr>
        <w:t>”</w:t>
      </w:r>
      <w:r w:rsidRPr="000B271E">
        <w:rPr>
          <w:rFonts w:ascii="Times New Roman" w:hAnsi="Times New Roman" w:cs="Times New Roman"/>
          <w:sz w:val="20"/>
          <w:szCs w:val="20"/>
        </w:rPr>
        <w:t xml:space="preserve"> establecen equivalencias. En otras palabras, la </w:t>
      </w:r>
      <w:r w:rsidRPr="00732959">
        <w:rPr>
          <w:rFonts w:ascii="Times New Roman" w:hAnsi="Times New Roman" w:cs="Times New Roman"/>
          <w:b/>
          <w:i/>
          <w:sz w:val="20"/>
          <w:szCs w:val="20"/>
        </w:rPr>
        <w:t>negación de la conjunción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0B271E">
        <w:rPr>
          <w:rFonts w:ascii="Times New Roman" w:hAnsi="Times New Roman" w:cs="Times New Roman"/>
          <w:sz w:val="20"/>
          <w:szCs w:val="20"/>
        </w:rPr>
        <w:t xml:space="preserve">es equivalente a la </w:t>
      </w:r>
      <w:r w:rsidRPr="00732959">
        <w:rPr>
          <w:rFonts w:ascii="Times New Roman" w:hAnsi="Times New Roman" w:cs="Times New Roman"/>
          <w:b/>
          <w:i/>
          <w:sz w:val="20"/>
          <w:szCs w:val="20"/>
        </w:rPr>
        <w:t>disyunción de las negaciones</w:t>
      </w:r>
      <w:r w:rsidRPr="000B271E">
        <w:rPr>
          <w:rFonts w:ascii="Times New Roman" w:hAnsi="Times New Roman" w:cs="Times New Roman"/>
          <w:sz w:val="20"/>
          <w:szCs w:val="20"/>
        </w:rPr>
        <w:t xml:space="preserve"> y la </w:t>
      </w:r>
      <w:r w:rsidRPr="00732959">
        <w:rPr>
          <w:rFonts w:ascii="Times New Roman" w:hAnsi="Times New Roman" w:cs="Times New Roman"/>
          <w:b/>
          <w:i/>
          <w:sz w:val="20"/>
          <w:szCs w:val="20"/>
        </w:rPr>
        <w:t>negación de la disyunción</w:t>
      </w:r>
      <w:r w:rsidRPr="000B271E">
        <w:rPr>
          <w:rFonts w:ascii="Times New Roman" w:hAnsi="Times New Roman" w:cs="Times New Roman"/>
          <w:sz w:val="20"/>
          <w:szCs w:val="20"/>
        </w:rPr>
        <w:t xml:space="preserve"> es equivalente a la </w:t>
      </w:r>
      <w:r w:rsidRPr="00732959">
        <w:rPr>
          <w:rFonts w:ascii="Times New Roman" w:hAnsi="Times New Roman" w:cs="Times New Roman"/>
          <w:b/>
          <w:i/>
          <w:sz w:val="20"/>
          <w:szCs w:val="20"/>
        </w:rPr>
        <w:t>conjunción</w:t>
      </w:r>
      <w:r w:rsidRPr="00732959">
        <w:rPr>
          <w:rFonts w:ascii="Times New Roman" w:hAnsi="Times New Roman" w:cs="Times New Roman"/>
          <w:b/>
          <w:i/>
          <w:sz w:val="20"/>
          <w:szCs w:val="20"/>
        </w:rPr>
        <w:t xml:space="preserve"> </w:t>
      </w:r>
      <w:r w:rsidRPr="00732959">
        <w:rPr>
          <w:rFonts w:ascii="Times New Roman" w:hAnsi="Times New Roman" w:cs="Times New Roman"/>
          <w:b/>
          <w:i/>
          <w:sz w:val="20"/>
          <w:szCs w:val="20"/>
        </w:rPr>
        <w:t>de las negaciones</w:t>
      </w:r>
      <w:r w:rsidRPr="000B271E">
        <w:rPr>
          <w:rFonts w:ascii="Times New Roman" w:hAnsi="Times New Roman" w:cs="Times New Roman"/>
          <w:sz w:val="20"/>
          <w:szCs w:val="20"/>
        </w:rPr>
        <w:t>.</w:t>
      </w:r>
    </w:p>
    <w:p w:rsidR="00D67E38" w:rsidRDefault="00D67E38" w:rsidP="00D67E38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732959" w:rsidRPr="00D67E38" w:rsidRDefault="00732959" w:rsidP="00732959">
      <w:pPr>
        <w:spacing w:after="0"/>
        <w:ind w:left="567"/>
        <w:jc w:val="both"/>
        <w:rPr>
          <w:rFonts w:ascii="Bookman Old Style" w:hAnsi="Bookman Old Style" w:cs="Times New Roman"/>
          <w:b/>
          <w:i/>
          <w:sz w:val="20"/>
          <w:szCs w:val="20"/>
        </w:rPr>
      </w:pPr>
      <w:r w:rsidRPr="00D67E38">
        <w:rPr>
          <w:rFonts w:ascii="Bookman Old Style" w:hAnsi="Bookman Old Style" w:cs="Times New Roman"/>
          <w:b/>
          <w:i/>
          <w:sz w:val="20"/>
          <w:szCs w:val="20"/>
        </w:rPr>
        <w:t>Ejemplo:</w:t>
      </w:r>
    </w:p>
    <w:p w:rsidR="00D67E38" w:rsidRDefault="00E74501" w:rsidP="0073295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  <w:r w:rsidRPr="00E74501">
        <w:rPr>
          <w:rFonts w:ascii="Times New Roman" w:hAnsi="Times New Roman" w:cs="Times New Roman"/>
          <w:sz w:val="20"/>
          <w:szCs w:val="20"/>
        </w:rPr>
        <w:t>Haciendo una analogía con una cadena, si se tienen eslabones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(</m:t>
        </m:r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  <m:r>
          <w:rPr>
            <w:rFonts w:ascii="Cambria Math" w:hAnsi="Cambria Math" w:cs="Times New Roman"/>
            <w:sz w:val="20"/>
            <w:szCs w:val="20"/>
          </w:rPr>
          <m:t>)</m:t>
        </m:r>
      </m:oMath>
    </w:p>
    <w:p w:rsidR="00D67E38" w:rsidRDefault="00D67E38" w:rsidP="00D67E38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E74501" w:rsidRDefault="00E74501" w:rsidP="00E74501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m:oMathPara>
        <m:oMath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0"/>
                  <w:szCs w:val="20"/>
                </w:rPr>
                <m:t>…</m:t>
              </m:r>
              <m:r>
                <w:rPr>
                  <w:rFonts w:ascii="Cambria Math" w:hAnsi="Cambria Math" w:cs="Times New Roman"/>
                  <w:sz w:val="20"/>
                  <w:szCs w:val="20"/>
                </w:rPr>
                <m:t>∪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acc>
          <m:r>
            <w:rPr>
              <w:rFonts w:ascii="Cambria Math" w:hAnsi="Cambria Math" w:cs="Times New Roman"/>
              <w:sz w:val="20"/>
              <w:szCs w:val="20"/>
            </w:rPr>
            <m:t>=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e>
          </m:acc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3</m:t>
                  </m:r>
                </m:sub>
              </m:sSub>
            </m:e>
          </m:acc>
          <m:r>
            <w:rPr>
              <w:rFonts w:ascii="Cambria Math" w:hAnsi="Cambria Math" w:cs="Times New Roman"/>
              <w:sz w:val="20"/>
              <w:szCs w:val="20"/>
            </w:rPr>
            <m:t>…</m:t>
          </m:r>
          <m:r>
            <w:rPr>
              <w:rFonts w:ascii="Cambria Math" w:hAnsi="Cambria Math" w:cs="Times New Roman"/>
              <w:sz w:val="20"/>
              <w:szCs w:val="20"/>
            </w:rPr>
            <m:t>∩</m:t>
          </m:r>
          <m:acc>
            <m:accPr>
              <m:chr m:val="̅"/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acc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hAnsi="Cambria Math" w:cs="Times New Roman"/>
                      <w:sz w:val="20"/>
                      <w:szCs w:val="20"/>
                    </w:rPr>
                    <m:t>n</m:t>
                  </m:r>
                </m:sub>
              </m:sSub>
            </m:e>
          </m:acc>
        </m:oMath>
      </m:oMathPara>
    </w:p>
    <w:p w:rsidR="00D67E38" w:rsidRDefault="000A4F9C" w:rsidP="00D67E38">
      <w:pPr>
        <w:spacing w:after="0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Donde cada elemento es </w:t>
      </w:r>
      <m:oMath>
        <m:sSub>
          <m:sSub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  <m:sub>
            <m:r>
              <w:rPr>
                <w:rFonts w:ascii="Cambria Math" w:hAnsi="Cambria Math" w:cs="Times New Roman"/>
                <w:sz w:val="20"/>
                <w:szCs w:val="20"/>
              </w:rPr>
              <m:t>i</m:t>
            </m:r>
          </m:sub>
        </m:sSub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, y donde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E</m:t>
            </m:r>
          </m:e>
        </m:acc>
      </m:oMath>
      <w:r>
        <w:rPr>
          <w:rFonts w:ascii="Times New Roman" w:eastAsiaTheme="minorEastAsia" w:hAnsi="Times New Roman" w:cs="Times New Roman"/>
          <w:sz w:val="20"/>
          <w:szCs w:val="20"/>
        </w:rPr>
        <w:t xml:space="preserve"> es que se rompa el eslabón, se puede decir que:</w:t>
      </w:r>
    </w:p>
    <w:p w:rsidR="000A4F9C" w:rsidRDefault="000A4F9C" w:rsidP="00D67E38">
      <w:pPr>
        <w:spacing w:after="0"/>
        <w:ind w:left="567"/>
        <w:jc w:val="both"/>
        <w:rPr>
          <w:rFonts w:ascii="Times New Roman" w:eastAsiaTheme="minorEastAsia" w:hAnsi="Times New Roman" w:cs="Times New Roman"/>
          <w:sz w:val="20"/>
          <w:szCs w:val="20"/>
        </w:rPr>
      </w:pPr>
    </w:p>
    <w:p w:rsidR="000A4F9C" w:rsidRDefault="000A4F9C" w:rsidP="000A4F9C">
      <w:pPr>
        <w:spacing w:after="0"/>
        <w:ind w:left="567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eastAsiaTheme="minorEastAsia" w:hAnsi="Times New Roman" w:cs="Times New Roman"/>
          <w:sz w:val="20"/>
          <w:szCs w:val="20"/>
        </w:rPr>
        <w:t>“</w:t>
      </w:r>
      <w:r w:rsidRPr="000A4F9C">
        <w:rPr>
          <w:rFonts w:ascii="Times New Roman" w:eastAsiaTheme="minorEastAsia" w:hAnsi="Times New Roman" w:cs="Times New Roman"/>
          <w:i/>
          <w:sz w:val="20"/>
          <w:szCs w:val="20"/>
        </w:rPr>
        <w:t>La unión rota de todos los eslabones (nótese que los eslabones están completos) es igual a la intersección</w:t>
      </w:r>
      <w:r w:rsidRPr="000A4F9C">
        <w:rPr>
          <w:rFonts w:ascii="Times New Roman" w:eastAsiaTheme="minorEastAsia" w:hAnsi="Times New Roman" w:cs="Times New Roman"/>
          <w:i/>
          <w:sz w:val="20"/>
          <w:szCs w:val="20"/>
        </w:rPr>
        <w:t xml:space="preserve"> </w:t>
      </w:r>
      <w:r w:rsidRPr="000A4F9C">
        <w:rPr>
          <w:rFonts w:ascii="Times New Roman" w:eastAsiaTheme="minorEastAsia" w:hAnsi="Times New Roman" w:cs="Times New Roman"/>
          <w:i/>
          <w:sz w:val="20"/>
          <w:szCs w:val="20"/>
        </w:rPr>
        <w:t>de cada eslabón roto</w:t>
      </w:r>
      <w:r>
        <w:rPr>
          <w:rFonts w:ascii="Times New Roman" w:eastAsiaTheme="minorEastAsia" w:hAnsi="Times New Roman" w:cs="Times New Roman"/>
          <w:sz w:val="20"/>
          <w:szCs w:val="20"/>
        </w:rPr>
        <w:t>”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Default="00937542" w:rsidP="00937542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Bookman Old Style" w:hAnsi="Bookman Old Style"/>
          <w:i/>
          <w:sz w:val="28"/>
          <w:szCs w:val="28"/>
        </w:rPr>
        <w:t>Bibliografía</w:t>
      </w:r>
    </w:p>
    <w:p w:rsidR="00B43AB9" w:rsidRDefault="00B43AB9" w:rsidP="00B43AB9">
      <w:pPr>
        <w:spacing w:after="0"/>
        <w:ind w:left="567"/>
        <w:jc w:val="both"/>
        <w:rPr>
          <w:rFonts w:ascii="Times New Roman" w:hAnsi="Times New Roman" w:cs="Times New Roman"/>
          <w:sz w:val="20"/>
          <w:szCs w:val="20"/>
        </w:rPr>
      </w:pPr>
    </w:p>
    <w:p w:rsidR="00B43AB9" w:rsidRPr="000A4F9C" w:rsidRDefault="00937542" w:rsidP="000A4F9C">
      <w:pPr>
        <w:spacing w:after="0"/>
        <w:ind w:left="567"/>
        <w:jc w:val="both"/>
        <w:rPr>
          <w:rFonts w:ascii="Arial" w:hAnsi="Arial" w:cs="Arial"/>
          <w:color w:val="32322F"/>
          <w:sz w:val="19"/>
          <w:szCs w:val="19"/>
          <w:shd w:val="clear" w:color="auto" w:fill="FFFFFF"/>
        </w:rPr>
      </w:pPr>
      <w:r>
        <w:rPr>
          <w:rFonts w:ascii="Times New Roman" w:hAnsi="Times New Roman" w:cs="Times New Roman"/>
          <w:sz w:val="20"/>
          <w:szCs w:val="20"/>
        </w:rPr>
        <w:t xml:space="preserve">[1] Ponce Cruz Pedro. </w:t>
      </w:r>
      <w:r w:rsidR="001D0508">
        <w:rPr>
          <w:rFonts w:ascii="Times New Roman" w:hAnsi="Times New Roman" w:cs="Times New Roman"/>
          <w:sz w:val="20"/>
          <w:szCs w:val="20"/>
        </w:rPr>
        <w:t>“</w:t>
      </w:r>
      <w:r>
        <w:rPr>
          <w:rFonts w:ascii="Times New Roman" w:hAnsi="Times New Roman" w:cs="Times New Roman"/>
          <w:sz w:val="20"/>
          <w:szCs w:val="20"/>
        </w:rPr>
        <w:t xml:space="preserve">Inteligencia </w:t>
      </w:r>
      <w:r w:rsidR="001D0508">
        <w:rPr>
          <w:rFonts w:ascii="Times New Roman" w:hAnsi="Times New Roman" w:cs="Times New Roman"/>
          <w:sz w:val="20"/>
          <w:szCs w:val="20"/>
        </w:rPr>
        <w:t>Artificial con A</w:t>
      </w:r>
      <w:r>
        <w:rPr>
          <w:rFonts w:ascii="Times New Roman" w:hAnsi="Times New Roman" w:cs="Times New Roman"/>
          <w:sz w:val="20"/>
          <w:szCs w:val="20"/>
        </w:rPr>
        <w:t xml:space="preserve">plicaciones a la </w:t>
      </w:r>
      <w:r w:rsidR="001D0508">
        <w:rPr>
          <w:rFonts w:ascii="Times New Roman" w:hAnsi="Times New Roman" w:cs="Times New Roman"/>
          <w:sz w:val="20"/>
          <w:szCs w:val="20"/>
        </w:rPr>
        <w:t>I</w:t>
      </w:r>
      <w:r>
        <w:rPr>
          <w:rFonts w:ascii="Times New Roman" w:hAnsi="Times New Roman" w:cs="Times New Roman"/>
          <w:sz w:val="20"/>
          <w:szCs w:val="20"/>
        </w:rPr>
        <w:t>ngeniería</w:t>
      </w:r>
      <w:r w:rsidR="001D0508">
        <w:rPr>
          <w:rFonts w:ascii="Times New Roman" w:hAnsi="Times New Roman" w:cs="Times New Roman"/>
          <w:sz w:val="20"/>
          <w:szCs w:val="20"/>
        </w:rPr>
        <w:t xml:space="preserve">”. Editorial Alfaomega. 2010. Biblioteca “Francisco Mora Díaz” Universidad Santo Tomas Tunja. Cód. </w:t>
      </w:r>
      <w:r w:rsidR="001D0508">
        <w:rPr>
          <w:rFonts w:ascii="Arial" w:hAnsi="Arial" w:cs="Arial"/>
          <w:color w:val="32322F"/>
          <w:sz w:val="19"/>
          <w:szCs w:val="19"/>
          <w:shd w:val="clear" w:color="auto" w:fill="FFFFFF"/>
        </w:rPr>
        <w:t>621.399 P55I 1A.ED.</w:t>
      </w:r>
    </w:p>
    <w:sectPr w:rsidR="00B43AB9" w:rsidRPr="000A4F9C">
      <w:headerReference w:type="default" r:id="rId12"/>
      <w:footerReference w:type="defaul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50D8" w:rsidRDefault="00FC50D8" w:rsidP="001D0508">
      <w:pPr>
        <w:spacing w:after="0" w:line="240" w:lineRule="auto"/>
      </w:pPr>
      <w:r>
        <w:separator/>
      </w:r>
    </w:p>
  </w:endnote>
  <w:endnote w:type="continuationSeparator" w:id="0">
    <w:p w:rsidR="00FC50D8" w:rsidRDefault="00FC50D8" w:rsidP="001D05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Piedepgina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ING. EDGAR ANDRES GUTIERREZ CACERES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50D8" w:rsidRDefault="00FC50D8" w:rsidP="001D0508">
      <w:pPr>
        <w:spacing w:after="0" w:line="240" w:lineRule="auto"/>
      </w:pPr>
      <w:r>
        <w:separator/>
      </w:r>
    </w:p>
  </w:footnote>
  <w:footnote w:type="continuationSeparator" w:id="0">
    <w:p w:rsidR="00FC50D8" w:rsidRDefault="00FC50D8" w:rsidP="001D05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0508" w:rsidRPr="001D0508" w:rsidRDefault="001D0508" w:rsidP="001D0508">
    <w:pPr>
      <w:pStyle w:val="Encabezado"/>
      <w:jc w:val="center"/>
      <w:rPr>
        <w:rFonts w:ascii="Times New Roman" w:hAnsi="Times New Roman" w:cs="Times New Roman"/>
        <w:b/>
        <w:sz w:val="20"/>
        <w:szCs w:val="20"/>
      </w:rPr>
    </w:pPr>
    <w:r w:rsidRPr="001D0508">
      <w:rPr>
        <w:rFonts w:ascii="Times New Roman" w:hAnsi="Times New Roman" w:cs="Times New Roman"/>
        <w:b/>
        <w:sz w:val="20"/>
        <w:szCs w:val="20"/>
      </w:rPr>
      <w:t>UNIVERSIDAD SANTO TOMAS SECCIONAL TUNJA – FACULTAD DE INGENIERIA ELECTRONICA – INTELIGENCIA ARTIFICIAL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621506"/>
    <w:multiLevelType w:val="hybridMultilevel"/>
    <w:tmpl w:val="708AF54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1F0E4B"/>
    <w:multiLevelType w:val="hybridMultilevel"/>
    <w:tmpl w:val="DAD25344"/>
    <w:lvl w:ilvl="0" w:tplc="EDEE6A8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80C"/>
    <w:rsid w:val="00072976"/>
    <w:rsid w:val="00093575"/>
    <w:rsid w:val="000A4F9C"/>
    <w:rsid w:val="000B271E"/>
    <w:rsid w:val="001D0508"/>
    <w:rsid w:val="001D1CBD"/>
    <w:rsid w:val="002133DF"/>
    <w:rsid w:val="00261813"/>
    <w:rsid w:val="002D2081"/>
    <w:rsid w:val="003B017E"/>
    <w:rsid w:val="00447819"/>
    <w:rsid w:val="004B4A04"/>
    <w:rsid w:val="004C4EFB"/>
    <w:rsid w:val="0066722D"/>
    <w:rsid w:val="00732959"/>
    <w:rsid w:val="008879FB"/>
    <w:rsid w:val="008C5F34"/>
    <w:rsid w:val="008F0613"/>
    <w:rsid w:val="0090120D"/>
    <w:rsid w:val="00937542"/>
    <w:rsid w:val="00956E85"/>
    <w:rsid w:val="009A36AF"/>
    <w:rsid w:val="009D6035"/>
    <w:rsid w:val="00B43AB9"/>
    <w:rsid w:val="00D67E38"/>
    <w:rsid w:val="00DF53D4"/>
    <w:rsid w:val="00E74501"/>
    <w:rsid w:val="00EE0483"/>
    <w:rsid w:val="00F0780C"/>
    <w:rsid w:val="00F33A13"/>
    <w:rsid w:val="00F667E0"/>
    <w:rsid w:val="00FC5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3148E989-6A29-48FA-B77F-B031E9C79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3B017E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D0508"/>
  </w:style>
  <w:style w:type="paragraph" w:styleId="Piedepgina">
    <w:name w:val="footer"/>
    <w:basedOn w:val="Normal"/>
    <w:link w:val="PiedepginaCar"/>
    <w:uiPriority w:val="99"/>
    <w:unhideWhenUsed/>
    <w:rsid w:val="001D050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D0508"/>
  </w:style>
  <w:style w:type="paragraph" w:styleId="Prrafodelista">
    <w:name w:val="List Paragraph"/>
    <w:basedOn w:val="Normal"/>
    <w:uiPriority w:val="34"/>
    <w:qFormat/>
    <w:rsid w:val="008C5F34"/>
    <w:pPr>
      <w:ind w:left="720"/>
      <w:contextualSpacing/>
    </w:pPr>
  </w:style>
  <w:style w:type="table" w:styleId="Tablaconcuadrcula">
    <w:name w:val="Table Grid"/>
    <w:basedOn w:val="Tablanormal"/>
    <w:uiPriority w:val="39"/>
    <w:rsid w:val="002D20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66722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tmp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93EF8F-744F-4710-8146-F7E093315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4</Pages>
  <Words>1188</Words>
  <Characters>6535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Director CIIAM</dc:creator>
  <cp:keywords/>
  <dc:description/>
  <cp:lastModifiedBy>Director CIIAM</cp:lastModifiedBy>
  <cp:revision>15</cp:revision>
  <dcterms:created xsi:type="dcterms:W3CDTF">2017-01-16T16:36:00Z</dcterms:created>
  <dcterms:modified xsi:type="dcterms:W3CDTF">2017-01-17T14:28:00Z</dcterms:modified>
</cp:coreProperties>
</file>