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613" w:rsidRPr="00F0780C" w:rsidRDefault="00B31630" w:rsidP="00F0780C">
      <w:pPr>
        <w:spacing w:after="0"/>
        <w:jc w:val="center"/>
        <w:rPr>
          <w:rFonts w:ascii="Bookman Old Style" w:hAnsi="Bookman Old Style"/>
          <w:i/>
          <w:sz w:val="36"/>
          <w:szCs w:val="24"/>
        </w:rPr>
      </w:pPr>
      <w:r>
        <w:rPr>
          <w:rFonts w:ascii="Bookman Old Style" w:hAnsi="Bookman Old Style"/>
          <w:i/>
          <w:sz w:val="36"/>
          <w:szCs w:val="24"/>
        </w:rPr>
        <w:t>Introducción a la lógica Difusa</w:t>
      </w:r>
      <w:r w:rsidR="00937542" w:rsidRPr="00937542">
        <w:rPr>
          <w:rFonts w:ascii="Bookman Old Style" w:hAnsi="Bookman Old Style"/>
          <w:i/>
          <w:sz w:val="16"/>
          <w:szCs w:val="24"/>
        </w:rPr>
        <w:t>[1]</w:t>
      </w:r>
    </w:p>
    <w:p w:rsidR="00F0780C" w:rsidRDefault="00F0780C" w:rsidP="00F0780C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31630">
        <w:rPr>
          <w:rFonts w:ascii="Times New Roman" w:hAnsi="Times New Roman" w:cs="Times New Roman"/>
          <w:sz w:val="20"/>
          <w:szCs w:val="20"/>
        </w:rPr>
        <w:t>Primero es indispensable establecer cierta nomenclatura y terminología. Cuando se habla de conjuntos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1630">
        <w:rPr>
          <w:rFonts w:ascii="Times New Roman" w:hAnsi="Times New Roman" w:cs="Times New Roman"/>
          <w:sz w:val="20"/>
          <w:szCs w:val="20"/>
        </w:rPr>
        <w:t xml:space="preserve">nítidos, la variable típica a usar es la </w:t>
      </w:r>
      <w:r w:rsidRPr="00B31630">
        <w:rPr>
          <w:rFonts w:ascii="Times New Roman" w:hAnsi="Times New Roman" w:cs="Times New Roman"/>
          <w:b/>
          <w:sz w:val="20"/>
          <w:szCs w:val="20"/>
        </w:rPr>
        <w:t>X</w:t>
      </w:r>
      <w:r w:rsidRPr="00B31630">
        <w:rPr>
          <w:rFonts w:ascii="Times New Roman" w:hAnsi="Times New Roman" w:cs="Times New Roman"/>
          <w:sz w:val="20"/>
          <w:szCs w:val="20"/>
        </w:rPr>
        <w:t>. En conjuntos difusos la función de pertenencia que se utiliza</w:t>
      </w:r>
      <w:r>
        <w:rPr>
          <w:rFonts w:ascii="Times New Roman" w:hAnsi="Times New Roman" w:cs="Times New Roman"/>
          <w:sz w:val="20"/>
          <w:szCs w:val="20"/>
        </w:rPr>
        <w:t xml:space="preserve"> es la </w:t>
      </w:r>
      <m:oMath>
        <m:r>
          <w:rPr>
            <w:rFonts w:ascii="Cambria Math" w:hAnsi="Cambria Math" w:cs="Times New Roman"/>
            <w:sz w:val="20"/>
            <w:szCs w:val="20"/>
          </w:rPr>
          <m:t>μ</m:t>
        </m:r>
      </m:oMath>
      <w:r w:rsidRPr="00B31630">
        <w:rPr>
          <w:rFonts w:ascii="Times New Roman" w:hAnsi="Times New Roman" w:cs="Times New Roman"/>
          <w:sz w:val="20"/>
          <w:szCs w:val="20"/>
        </w:rPr>
        <w:t>. Ésta toma los valores entre cero (0) y uno (1); como se mencionó, la forma de representación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1630">
        <w:rPr>
          <w:rFonts w:ascii="Times New Roman" w:hAnsi="Times New Roman" w:cs="Times New Roman"/>
          <w:sz w:val="20"/>
          <w:szCs w:val="20"/>
        </w:rPr>
        <w:t>de los conjuntos difusos puede ser de dos maneras: de forma continua o discreta, como se presenta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1630">
        <w:rPr>
          <w:rFonts w:ascii="Times New Roman" w:hAnsi="Times New Roman" w:cs="Times New Roman"/>
          <w:sz w:val="20"/>
          <w:szCs w:val="20"/>
        </w:rPr>
        <w:t>continuación.</w:t>
      </w:r>
    </w:p>
    <w:p w:rsidR="00B31630" w:rsidRP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31630">
        <w:rPr>
          <w:rFonts w:ascii="Times New Roman" w:hAnsi="Times New Roman" w:cs="Times New Roman"/>
          <w:sz w:val="20"/>
          <w:szCs w:val="20"/>
        </w:rPr>
        <w:t>Un conjunto difuso se escribe con una tilde arriba del nombre del conjunto:</w:t>
      </w:r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={a,b,c}</m:t>
          </m:r>
        </m:oMath>
      </m:oMathPara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31630">
        <w:rPr>
          <w:rFonts w:ascii="Times New Roman" w:hAnsi="Times New Roman" w:cs="Times New Roman"/>
          <w:sz w:val="20"/>
          <w:szCs w:val="20"/>
        </w:rPr>
        <w:t>Ésta se utiliza para diferenciarlos de los conjuntos nítidos.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1630">
        <w:rPr>
          <w:rFonts w:ascii="Times New Roman" w:hAnsi="Times New Roman" w:cs="Times New Roman"/>
          <w:sz w:val="20"/>
          <w:szCs w:val="20"/>
        </w:rPr>
        <w:t>En la lógica difusa los conjuntos se pueden presentar en forma continua o discreta.</w:t>
      </w:r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31630" w:rsidRDefault="00B31630" w:rsidP="00B31630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Conjunto difuso discreto</w:t>
      </w:r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+…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d>
        </m:oMath>
      </m:oMathPara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31630">
        <w:rPr>
          <w:rFonts w:ascii="Times New Roman" w:hAnsi="Times New Roman" w:cs="Times New Roman"/>
          <w:sz w:val="20"/>
          <w:szCs w:val="20"/>
        </w:rPr>
        <w:t>En este punto es imp</w:t>
      </w:r>
      <w:r>
        <w:rPr>
          <w:rFonts w:ascii="Times New Roman" w:hAnsi="Times New Roman" w:cs="Times New Roman"/>
          <w:sz w:val="20"/>
          <w:szCs w:val="20"/>
        </w:rPr>
        <w:t>ortante recordar que el signo (+</w:t>
      </w:r>
      <w:r w:rsidRPr="00B31630">
        <w:rPr>
          <w:rFonts w:ascii="Times New Roman" w:hAnsi="Times New Roman" w:cs="Times New Roman"/>
          <w:sz w:val="20"/>
          <w:szCs w:val="20"/>
        </w:rPr>
        <w:t>) no indica suma sino unión. Dicha forma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1630">
        <w:rPr>
          <w:rFonts w:ascii="Times New Roman" w:hAnsi="Times New Roman" w:cs="Times New Roman"/>
          <w:sz w:val="20"/>
          <w:szCs w:val="20"/>
        </w:rPr>
        <w:t>representación es muy empleada en los sistemas digitales como los microcontroladores, computadoras,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1630">
        <w:rPr>
          <w:rFonts w:ascii="Times New Roman" w:hAnsi="Times New Roman" w:cs="Times New Roman"/>
          <w:sz w:val="20"/>
          <w:szCs w:val="20"/>
        </w:rPr>
        <w:t>etcétera.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27BE" w:rsidRDefault="005127BE" w:rsidP="005127B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127BE" w:rsidRDefault="005127BE" w:rsidP="005127BE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Conjunto difuso continúo</w:t>
      </w:r>
    </w:p>
    <w:p w:rsidR="005127BE" w:rsidRDefault="005127BE" w:rsidP="005127BE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nary>
            </m:e>
          </m:d>
        </m:oMath>
      </m:oMathPara>
    </w:p>
    <w:p w:rsidR="005127BE" w:rsidRDefault="005127BE" w:rsidP="005127B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31630" w:rsidRDefault="005127BE" w:rsidP="005127B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127BE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 conjunto convencional se defi</w:t>
      </w:r>
      <w:r w:rsidRPr="005127BE">
        <w:rPr>
          <w:rFonts w:ascii="Times New Roman" w:hAnsi="Times New Roman" w:cs="Times New Roman"/>
          <w:sz w:val="20"/>
          <w:szCs w:val="20"/>
        </w:rPr>
        <w:t>ne por una función característica, que se conoce también como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127BE">
        <w:rPr>
          <w:rFonts w:ascii="Times New Roman" w:hAnsi="Times New Roman" w:cs="Times New Roman"/>
          <w:sz w:val="20"/>
          <w:szCs w:val="20"/>
        </w:rPr>
        <w:t>función de pertenencia. El símbolo de integral denota ∫ unión de elementos del conjunto.</w:t>
      </w:r>
    </w:p>
    <w:p w:rsidR="001509D0" w:rsidRDefault="001509D0" w:rsidP="001509D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1509D0" w:rsidRDefault="001509D0" w:rsidP="001509D0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Lógica simbólica</w:t>
      </w:r>
    </w:p>
    <w:p w:rsidR="001509D0" w:rsidRDefault="001509D0" w:rsidP="001509D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1509D0">
        <w:rPr>
          <w:rFonts w:ascii="Times New Roman" w:hAnsi="Times New Roman" w:cs="Times New Roman"/>
          <w:sz w:val="20"/>
          <w:szCs w:val="20"/>
        </w:rPr>
        <w:t>La lógica difusa tiene sus bases en la lógica simbólica. La lógica simbólica permite el establecimiento</w:t>
      </w:r>
      <w:r w:rsidR="00C96DAB">
        <w:rPr>
          <w:rFonts w:ascii="Times New Roman" w:hAnsi="Times New Roman" w:cs="Times New Roman"/>
          <w:sz w:val="20"/>
          <w:szCs w:val="20"/>
        </w:rPr>
        <w:t xml:space="preserve"> </w:t>
      </w:r>
      <w:r w:rsidRPr="001509D0">
        <w:rPr>
          <w:rFonts w:ascii="Times New Roman" w:hAnsi="Times New Roman" w:cs="Times New Roman"/>
          <w:sz w:val="20"/>
          <w:szCs w:val="20"/>
        </w:rPr>
        <w:t>de un lenguaje artificial empleando símbolos para de esta forma representar argumentos lógicos complicados.</w:t>
      </w:r>
      <w:r w:rsidR="00C96DAB">
        <w:rPr>
          <w:rFonts w:ascii="Times New Roman" w:hAnsi="Times New Roman" w:cs="Times New Roman"/>
          <w:sz w:val="20"/>
          <w:szCs w:val="20"/>
        </w:rPr>
        <w:t xml:space="preserve"> </w:t>
      </w:r>
      <w:r w:rsidRPr="001509D0">
        <w:rPr>
          <w:rFonts w:ascii="Times New Roman" w:hAnsi="Times New Roman" w:cs="Times New Roman"/>
          <w:sz w:val="20"/>
          <w:szCs w:val="20"/>
        </w:rPr>
        <w:t xml:space="preserve">Partiendo de </w:t>
      </w:r>
      <w:r w:rsidRPr="00C96DAB">
        <w:rPr>
          <w:rFonts w:ascii="Times New Roman" w:hAnsi="Times New Roman" w:cs="Times New Roman"/>
          <w:b/>
          <w:i/>
          <w:sz w:val="20"/>
          <w:szCs w:val="20"/>
        </w:rPr>
        <w:t>proposiciones</w:t>
      </w:r>
      <w:r w:rsidRPr="001509D0">
        <w:rPr>
          <w:rFonts w:ascii="Times New Roman" w:hAnsi="Times New Roman" w:cs="Times New Roman"/>
          <w:sz w:val="20"/>
          <w:szCs w:val="20"/>
        </w:rPr>
        <w:t>, es decir, de oraciones verdaderas o falsas, es posible traducirlas</w:t>
      </w:r>
      <w:r w:rsidR="00C96DAB">
        <w:rPr>
          <w:rFonts w:ascii="Times New Roman" w:hAnsi="Times New Roman" w:cs="Times New Roman"/>
          <w:sz w:val="20"/>
          <w:szCs w:val="20"/>
        </w:rPr>
        <w:t xml:space="preserve"> </w:t>
      </w:r>
      <w:r w:rsidRPr="001509D0">
        <w:rPr>
          <w:rFonts w:ascii="Times New Roman" w:hAnsi="Times New Roman" w:cs="Times New Roman"/>
          <w:sz w:val="20"/>
          <w:szCs w:val="20"/>
        </w:rPr>
        <w:t>a un lenguaje de símbolos y representacione</w:t>
      </w:r>
      <w:r w:rsidR="00C96DAB">
        <w:rPr>
          <w:rFonts w:ascii="Times New Roman" w:hAnsi="Times New Roman" w:cs="Times New Roman"/>
          <w:sz w:val="20"/>
          <w:szCs w:val="20"/>
        </w:rPr>
        <w:t>s, para posteriormente simplifi</w:t>
      </w:r>
      <w:r w:rsidRPr="001509D0">
        <w:rPr>
          <w:rFonts w:ascii="Times New Roman" w:hAnsi="Times New Roman" w:cs="Times New Roman"/>
          <w:sz w:val="20"/>
          <w:szCs w:val="20"/>
        </w:rPr>
        <w:t>car y ejecutar operaciones, e</w:t>
      </w:r>
      <w:r w:rsidR="00C96DAB">
        <w:rPr>
          <w:rFonts w:ascii="Times New Roman" w:hAnsi="Times New Roman" w:cs="Times New Roman"/>
          <w:sz w:val="20"/>
          <w:szCs w:val="20"/>
        </w:rPr>
        <w:t xml:space="preserve"> </w:t>
      </w:r>
      <w:r w:rsidRPr="001509D0">
        <w:rPr>
          <w:rFonts w:ascii="Times New Roman" w:hAnsi="Times New Roman" w:cs="Times New Roman"/>
          <w:sz w:val="20"/>
          <w:szCs w:val="20"/>
        </w:rPr>
        <w:t>incluso traducir nuevamente hacia proposiciones de lenguaje ordinario.</w:t>
      </w:r>
    </w:p>
    <w:p w:rsidR="00C96DAB" w:rsidRPr="001509D0" w:rsidRDefault="00C96DAB" w:rsidP="001509D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F06C4" w:rsidRDefault="001509D0" w:rsidP="001509D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1509D0">
        <w:rPr>
          <w:rFonts w:ascii="Times New Roman" w:hAnsi="Times New Roman" w:cs="Times New Roman"/>
          <w:sz w:val="20"/>
          <w:szCs w:val="20"/>
        </w:rPr>
        <w:t xml:space="preserve">Una proposición puede ser </w:t>
      </w:r>
      <w:r w:rsidRPr="00C96DAB">
        <w:rPr>
          <w:rFonts w:ascii="Times New Roman" w:hAnsi="Times New Roman" w:cs="Times New Roman"/>
          <w:b/>
          <w:i/>
          <w:sz w:val="20"/>
          <w:szCs w:val="20"/>
        </w:rPr>
        <w:t>simple</w:t>
      </w:r>
      <w:r w:rsidRPr="001509D0">
        <w:rPr>
          <w:rFonts w:ascii="Times New Roman" w:hAnsi="Times New Roman" w:cs="Times New Roman"/>
          <w:sz w:val="20"/>
          <w:szCs w:val="20"/>
        </w:rPr>
        <w:t xml:space="preserve">, con valor de Verdadero o Falso, o </w:t>
      </w:r>
      <w:r w:rsidRPr="00C96DAB">
        <w:rPr>
          <w:rFonts w:ascii="Times New Roman" w:hAnsi="Times New Roman" w:cs="Times New Roman"/>
          <w:b/>
          <w:i/>
          <w:sz w:val="20"/>
          <w:szCs w:val="20"/>
        </w:rPr>
        <w:t>compuesta</w:t>
      </w:r>
      <w:r w:rsidRPr="001509D0">
        <w:rPr>
          <w:rFonts w:ascii="Times New Roman" w:hAnsi="Times New Roman" w:cs="Times New Roman"/>
          <w:sz w:val="20"/>
          <w:szCs w:val="20"/>
        </w:rPr>
        <w:t>, dependiendo de</w:t>
      </w:r>
      <w:r w:rsidR="00C96DAB">
        <w:rPr>
          <w:rFonts w:ascii="Times New Roman" w:hAnsi="Times New Roman" w:cs="Times New Roman"/>
          <w:sz w:val="20"/>
          <w:szCs w:val="20"/>
        </w:rPr>
        <w:t xml:space="preserve"> </w:t>
      </w:r>
      <w:r w:rsidRPr="001509D0">
        <w:rPr>
          <w:rFonts w:ascii="Times New Roman" w:hAnsi="Times New Roman" w:cs="Times New Roman"/>
          <w:sz w:val="20"/>
          <w:szCs w:val="20"/>
        </w:rPr>
        <w:t>los valores de verdad de componentes simples conectados a partir de operadores como</w:t>
      </w:r>
      <w:r w:rsidR="00C96DAB">
        <w:rPr>
          <w:rFonts w:ascii="Times New Roman" w:hAnsi="Times New Roman" w:cs="Times New Roman"/>
          <w:sz w:val="20"/>
          <w:szCs w:val="20"/>
        </w:rPr>
        <w:t>:</w:t>
      </w:r>
      <w:r w:rsidRPr="001509D0">
        <w:rPr>
          <w:rFonts w:ascii="Times New Roman" w:hAnsi="Times New Roman" w:cs="Times New Roman"/>
          <w:sz w:val="20"/>
          <w:szCs w:val="20"/>
        </w:rPr>
        <w:t xml:space="preserve"> </w:t>
      </w:r>
      <w:r w:rsidRPr="00C96DAB">
        <w:rPr>
          <w:rFonts w:ascii="Times New Roman" w:hAnsi="Times New Roman" w:cs="Times New Roman"/>
          <w:b/>
          <w:i/>
          <w:sz w:val="20"/>
          <w:szCs w:val="20"/>
        </w:rPr>
        <w:t>y</w:t>
      </w:r>
      <w:r w:rsidRPr="001509D0">
        <w:rPr>
          <w:rFonts w:ascii="Times New Roman" w:hAnsi="Times New Roman" w:cs="Times New Roman"/>
          <w:sz w:val="20"/>
          <w:szCs w:val="20"/>
        </w:rPr>
        <w:t xml:space="preserve">, </w:t>
      </w:r>
      <w:r w:rsidRPr="00C96DAB">
        <w:rPr>
          <w:rFonts w:ascii="Times New Roman" w:hAnsi="Times New Roman" w:cs="Times New Roman"/>
          <w:b/>
          <w:i/>
          <w:sz w:val="20"/>
          <w:szCs w:val="20"/>
        </w:rPr>
        <w:t>o</w:t>
      </w:r>
      <w:r w:rsidRPr="001509D0">
        <w:rPr>
          <w:rFonts w:ascii="Times New Roman" w:hAnsi="Times New Roman" w:cs="Times New Roman"/>
          <w:sz w:val="20"/>
          <w:szCs w:val="20"/>
        </w:rPr>
        <w:t xml:space="preserve">, </w:t>
      </w:r>
      <w:r w:rsidRPr="00C96DAB">
        <w:rPr>
          <w:rFonts w:ascii="Times New Roman" w:hAnsi="Times New Roman" w:cs="Times New Roman"/>
          <w:b/>
          <w:i/>
          <w:sz w:val="20"/>
          <w:szCs w:val="20"/>
        </w:rPr>
        <w:t>no</w:t>
      </w:r>
      <w:r w:rsidRPr="001509D0">
        <w:rPr>
          <w:rFonts w:ascii="Times New Roman" w:hAnsi="Times New Roman" w:cs="Times New Roman"/>
          <w:sz w:val="20"/>
          <w:szCs w:val="20"/>
        </w:rPr>
        <w:t>, entre</w:t>
      </w:r>
      <w:r w:rsidR="00C96DAB">
        <w:rPr>
          <w:rFonts w:ascii="Times New Roman" w:hAnsi="Times New Roman" w:cs="Times New Roman"/>
          <w:sz w:val="20"/>
          <w:szCs w:val="20"/>
        </w:rPr>
        <w:t xml:space="preserve"> </w:t>
      </w:r>
      <w:r w:rsidRPr="001509D0">
        <w:rPr>
          <w:rFonts w:ascii="Times New Roman" w:hAnsi="Times New Roman" w:cs="Times New Roman"/>
          <w:sz w:val="20"/>
          <w:szCs w:val="20"/>
        </w:rPr>
        <w:t xml:space="preserve">otros. El operador </w:t>
      </w:r>
      <w:r w:rsidRPr="00C96DAB">
        <w:rPr>
          <w:rFonts w:ascii="Times New Roman" w:hAnsi="Times New Roman" w:cs="Times New Roman"/>
          <w:b/>
          <w:i/>
          <w:sz w:val="20"/>
          <w:szCs w:val="20"/>
        </w:rPr>
        <w:t>y</w:t>
      </w:r>
      <w:r w:rsidRPr="001509D0">
        <w:rPr>
          <w:rFonts w:ascii="Times New Roman" w:hAnsi="Times New Roman" w:cs="Times New Roman"/>
          <w:sz w:val="20"/>
          <w:szCs w:val="20"/>
        </w:rPr>
        <w:t xml:space="preserve"> se denomina </w:t>
      </w:r>
      <w:r w:rsidRPr="00C96DAB">
        <w:rPr>
          <w:rFonts w:ascii="Times New Roman" w:hAnsi="Times New Roman" w:cs="Times New Roman"/>
          <w:b/>
          <w:i/>
          <w:sz w:val="20"/>
          <w:szCs w:val="20"/>
        </w:rPr>
        <w:t>conjunción</w:t>
      </w:r>
      <w:r w:rsidRPr="001509D0">
        <w:rPr>
          <w:rFonts w:ascii="Times New Roman" w:hAnsi="Times New Roman" w:cs="Times New Roman"/>
          <w:sz w:val="20"/>
          <w:szCs w:val="20"/>
        </w:rPr>
        <w:t xml:space="preserve">, y se simboliza con </w:t>
      </w:r>
      <w:r w:rsidRPr="00C96DAB">
        <w:rPr>
          <w:rFonts w:ascii="Cambria Math" w:hAnsi="Cambria Math" w:cs="Cambria Math"/>
          <w:b/>
          <w:sz w:val="20"/>
          <w:szCs w:val="20"/>
        </w:rPr>
        <w:t>∧</w:t>
      </w:r>
      <w:r w:rsidRPr="001509D0">
        <w:rPr>
          <w:rFonts w:ascii="Times New Roman" w:hAnsi="Times New Roman" w:cs="Times New Roman"/>
          <w:sz w:val="20"/>
          <w:szCs w:val="20"/>
        </w:rPr>
        <w:t xml:space="preserve">. El operador </w:t>
      </w:r>
      <w:r w:rsidRPr="00C96DAB">
        <w:rPr>
          <w:rFonts w:ascii="Times New Roman" w:hAnsi="Times New Roman" w:cs="Times New Roman"/>
          <w:b/>
          <w:sz w:val="20"/>
          <w:szCs w:val="20"/>
        </w:rPr>
        <w:t>o</w:t>
      </w:r>
      <w:r w:rsidRPr="001509D0">
        <w:rPr>
          <w:rFonts w:ascii="Times New Roman" w:hAnsi="Times New Roman" w:cs="Times New Roman"/>
          <w:sz w:val="20"/>
          <w:szCs w:val="20"/>
        </w:rPr>
        <w:t xml:space="preserve"> se denomina </w:t>
      </w:r>
      <w:r w:rsidRPr="00C96DAB">
        <w:rPr>
          <w:rFonts w:ascii="Times New Roman" w:hAnsi="Times New Roman" w:cs="Times New Roman"/>
          <w:b/>
          <w:i/>
          <w:sz w:val="20"/>
          <w:szCs w:val="20"/>
        </w:rPr>
        <w:t>disyunción</w:t>
      </w:r>
      <w:r w:rsidRPr="001509D0">
        <w:rPr>
          <w:rFonts w:ascii="Times New Roman" w:hAnsi="Times New Roman" w:cs="Times New Roman"/>
          <w:sz w:val="20"/>
          <w:szCs w:val="20"/>
        </w:rPr>
        <w:t>,</w:t>
      </w:r>
      <w:r w:rsidR="00C96DAB">
        <w:rPr>
          <w:rFonts w:ascii="Times New Roman" w:hAnsi="Times New Roman" w:cs="Times New Roman"/>
          <w:sz w:val="20"/>
          <w:szCs w:val="20"/>
        </w:rPr>
        <w:t xml:space="preserve"> </w:t>
      </w:r>
      <w:r w:rsidRPr="001509D0">
        <w:rPr>
          <w:rFonts w:ascii="Times New Roman" w:hAnsi="Times New Roman" w:cs="Times New Roman"/>
          <w:sz w:val="20"/>
          <w:szCs w:val="20"/>
        </w:rPr>
        <w:t xml:space="preserve">y se simboliza con </w:t>
      </w:r>
      <w:r w:rsidRPr="001509D0">
        <w:rPr>
          <w:rFonts w:ascii="Cambria Math" w:hAnsi="Cambria Math" w:cs="Cambria Math"/>
          <w:sz w:val="20"/>
          <w:szCs w:val="20"/>
        </w:rPr>
        <w:t>∨</w:t>
      </w:r>
      <w:r w:rsidRPr="001509D0">
        <w:rPr>
          <w:rFonts w:ascii="Times New Roman" w:hAnsi="Times New Roman" w:cs="Times New Roman"/>
          <w:sz w:val="20"/>
          <w:szCs w:val="20"/>
        </w:rPr>
        <w:t>. A continuación se muestran las definiciones de la conjunción y disyunción</w:t>
      </w:r>
      <w:r w:rsidR="00C96DAB">
        <w:rPr>
          <w:rFonts w:ascii="Times New Roman" w:hAnsi="Times New Roman" w:cs="Times New Roman"/>
          <w:sz w:val="20"/>
          <w:szCs w:val="20"/>
        </w:rPr>
        <w:t xml:space="preserve"> </w:t>
      </w:r>
      <w:r w:rsidRPr="001509D0">
        <w:rPr>
          <w:rFonts w:ascii="Times New Roman" w:hAnsi="Times New Roman" w:cs="Times New Roman"/>
          <w:sz w:val="20"/>
          <w:szCs w:val="20"/>
        </w:rPr>
        <w:t>para dos proposiciones simples p y q.</w:t>
      </w:r>
    </w:p>
    <w:p w:rsidR="00FF06C4" w:rsidRDefault="00FF06C4" w:rsidP="001509D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F06C4" w:rsidRDefault="00C77EE1" w:rsidP="00C77EE1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C77EE1">
        <w:rPr>
          <w:rFonts w:ascii="Times New Roman" w:hAnsi="Times New Roman" w:cs="Times New Roman"/>
          <w:b/>
          <w:sz w:val="20"/>
          <w:szCs w:val="20"/>
        </w:rPr>
        <w:t xml:space="preserve">Tabla 2.2 </w:t>
      </w:r>
      <w:r>
        <w:rPr>
          <w:rFonts w:ascii="Times New Roman" w:hAnsi="Times New Roman" w:cs="Times New Roman"/>
          <w:sz w:val="20"/>
          <w:szCs w:val="20"/>
        </w:rPr>
        <w:t>Tabla de verdad de la conjunción y la disyunción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461"/>
        <w:gridCol w:w="737"/>
        <w:gridCol w:w="747"/>
      </w:tblGrid>
      <w:tr w:rsidR="00C77EE1" w:rsidTr="00C77EE1">
        <w:trPr>
          <w:jc w:val="center"/>
        </w:trPr>
        <w:tc>
          <w:tcPr>
            <w:tcW w:w="461" w:type="dxa"/>
            <w:shd w:val="clear" w:color="auto" w:fill="AEAAAA" w:themeFill="background2" w:themeFillShade="BF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61" w:type="dxa"/>
            <w:shd w:val="clear" w:color="auto" w:fill="AEAAAA" w:themeFill="background2" w:themeFillShade="BF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737" w:type="dxa"/>
            <w:shd w:val="clear" w:color="auto" w:fill="AEAAAA" w:themeFill="background2" w:themeFillShade="BF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 </w:t>
            </w:r>
            <w:r w:rsidRPr="00C96DAB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>
              <w:rPr>
                <w:rFonts w:ascii="Cambria Math" w:hAnsi="Cambria Math" w:cs="Cambria Math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747" w:type="dxa"/>
            <w:shd w:val="clear" w:color="auto" w:fill="AEAAAA" w:themeFill="background2" w:themeFillShade="BF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 </w:t>
            </w:r>
            <w:r w:rsidRPr="00C77EE1">
              <w:rPr>
                <w:rFonts w:ascii="Cambria Math" w:hAnsi="Cambria Math" w:cs="Cambria Math"/>
                <w:b/>
                <w:sz w:val="20"/>
                <w:szCs w:val="20"/>
              </w:rPr>
              <w:t>∨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q</w:t>
            </w:r>
          </w:p>
        </w:tc>
      </w:tr>
      <w:tr w:rsidR="00C77EE1" w:rsidTr="00C77EE1">
        <w:trPr>
          <w:jc w:val="center"/>
        </w:trPr>
        <w:tc>
          <w:tcPr>
            <w:tcW w:w="461" w:type="dxa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61" w:type="dxa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37" w:type="dxa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47" w:type="dxa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</w:tr>
      <w:tr w:rsidR="00C77EE1" w:rsidTr="00C77EE1">
        <w:trPr>
          <w:jc w:val="center"/>
        </w:trPr>
        <w:tc>
          <w:tcPr>
            <w:tcW w:w="461" w:type="dxa"/>
            <w:shd w:val="clear" w:color="auto" w:fill="D9D9D9" w:themeFill="background1" w:themeFillShade="D9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</w:tr>
      <w:tr w:rsidR="00C77EE1" w:rsidTr="00C77EE1">
        <w:trPr>
          <w:jc w:val="center"/>
        </w:trPr>
        <w:tc>
          <w:tcPr>
            <w:tcW w:w="461" w:type="dxa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61" w:type="dxa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37" w:type="dxa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747" w:type="dxa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</w:tr>
      <w:tr w:rsidR="00C77EE1" w:rsidTr="00C77EE1">
        <w:trPr>
          <w:jc w:val="center"/>
        </w:trPr>
        <w:tc>
          <w:tcPr>
            <w:tcW w:w="461" w:type="dxa"/>
            <w:shd w:val="clear" w:color="auto" w:fill="D9D9D9" w:themeFill="background1" w:themeFillShade="D9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:rsidR="00C77EE1" w:rsidRDefault="00C77EE1" w:rsidP="00C77E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</w:tbl>
    <w:p w:rsidR="00FF06C4" w:rsidRDefault="00FF06C4" w:rsidP="00C77EE1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</w:p>
    <w:p w:rsidR="00B31630" w:rsidRDefault="00D52E39" w:rsidP="001509D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D52E39">
        <w:rPr>
          <w:rFonts w:ascii="Times New Roman" w:hAnsi="Times New Roman" w:cs="Times New Roman"/>
          <w:sz w:val="20"/>
          <w:szCs w:val="20"/>
        </w:rPr>
        <w:t xml:space="preserve">La negativa de una proposición se denomina </w:t>
      </w:r>
      <w:r w:rsidRPr="00D52E39">
        <w:rPr>
          <w:rFonts w:ascii="Times New Roman" w:hAnsi="Times New Roman" w:cs="Times New Roman"/>
          <w:b/>
          <w:i/>
          <w:sz w:val="20"/>
          <w:szCs w:val="20"/>
        </w:rPr>
        <w:t>negación</w:t>
      </w:r>
      <w:r w:rsidRPr="00D52E39">
        <w:rPr>
          <w:rFonts w:ascii="Times New Roman" w:hAnsi="Times New Roman" w:cs="Times New Roman"/>
          <w:sz w:val="20"/>
          <w:szCs w:val="20"/>
        </w:rPr>
        <w:t>.</w:t>
      </w:r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52E39" w:rsidRPr="00D52E39" w:rsidRDefault="00D52E39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52E39">
        <w:rPr>
          <w:rFonts w:ascii="Times New Roman" w:hAnsi="Times New Roman" w:cs="Times New Roman"/>
          <w:b/>
          <w:sz w:val="20"/>
          <w:szCs w:val="20"/>
        </w:rPr>
        <w:lastRenderedPageBreak/>
        <w:t>Ejemplo:</w:t>
      </w:r>
    </w:p>
    <w:p w:rsidR="00B31630" w:rsidRDefault="00D52E39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“Tengo un lápiz y una pluma” es una conjunción.</w:t>
      </w:r>
    </w:p>
    <w:p w:rsidR="00D52E39" w:rsidRDefault="00D52E39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“Tengo un lápiz o una pluma” es una disyunción.</w:t>
      </w:r>
    </w:p>
    <w:p w:rsidR="00D52E39" w:rsidRDefault="00D52E39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“No tengo un lápiz” es una negación.</w:t>
      </w:r>
    </w:p>
    <w:p w:rsidR="00B31630" w:rsidRDefault="00B31630" w:rsidP="00B3163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31630" w:rsidRDefault="00D52E39" w:rsidP="00D52E3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D52E39">
        <w:rPr>
          <w:rFonts w:ascii="Times New Roman" w:hAnsi="Times New Roman" w:cs="Times New Roman"/>
          <w:sz w:val="20"/>
          <w:szCs w:val="20"/>
        </w:rPr>
        <w:t xml:space="preserve">Existen proposiciones </w:t>
      </w:r>
      <w:r w:rsidRPr="00D52E39">
        <w:rPr>
          <w:rFonts w:ascii="Times New Roman" w:hAnsi="Times New Roman" w:cs="Times New Roman"/>
          <w:b/>
          <w:i/>
          <w:sz w:val="20"/>
          <w:szCs w:val="20"/>
        </w:rPr>
        <w:t>condicionales</w:t>
      </w:r>
      <w:r w:rsidRPr="00D52E39">
        <w:rPr>
          <w:rFonts w:ascii="Times New Roman" w:hAnsi="Times New Roman" w:cs="Times New Roman"/>
          <w:sz w:val="20"/>
          <w:szCs w:val="20"/>
        </w:rPr>
        <w:t xml:space="preserve"> de la forma “</w:t>
      </w:r>
      <w:r w:rsidRPr="00D52E39">
        <w:rPr>
          <w:rFonts w:ascii="Times New Roman" w:hAnsi="Times New Roman" w:cs="Times New Roman"/>
          <w:b/>
          <w:i/>
          <w:sz w:val="20"/>
          <w:szCs w:val="20"/>
        </w:rPr>
        <w:t>si p, entonces q</w:t>
      </w:r>
      <w:r w:rsidRPr="00D52E39">
        <w:rPr>
          <w:rFonts w:ascii="Times New Roman" w:hAnsi="Times New Roman" w:cs="Times New Roman"/>
          <w:sz w:val="20"/>
          <w:szCs w:val="20"/>
        </w:rPr>
        <w:t xml:space="preserve">”; p es el </w:t>
      </w:r>
      <w:r w:rsidRPr="00D52E39">
        <w:rPr>
          <w:rFonts w:ascii="Times New Roman" w:hAnsi="Times New Roman" w:cs="Times New Roman"/>
          <w:b/>
          <w:i/>
          <w:sz w:val="20"/>
          <w:szCs w:val="20"/>
        </w:rPr>
        <w:t>antecedente o hipótesis</w:t>
      </w:r>
      <w:r w:rsidRPr="00D52E3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52E39">
        <w:rPr>
          <w:rFonts w:ascii="Times New Roman" w:hAnsi="Times New Roman" w:cs="Times New Roman"/>
          <w:sz w:val="20"/>
          <w:szCs w:val="20"/>
        </w:rPr>
        <w:t xml:space="preserve">y q es el </w:t>
      </w:r>
      <w:r w:rsidRPr="00D52E39">
        <w:rPr>
          <w:rFonts w:ascii="Times New Roman" w:hAnsi="Times New Roman" w:cs="Times New Roman"/>
          <w:b/>
          <w:i/>
          <w:sz w:val="20"/>
          <w:szCs w:val="20"/>
        </w:rPr>
        <w:t>consecuente o la conclusión</w:t>
      </w:r>
      <w:r w:rsidRPr="00D52E39">
        <w:rPr>
          <w:rFonts w:ascii="Times New Roman" w:hAnsi="Times New Roman" w:cs="Times New Roman"/>
          <w:sz w:val="20"/>
          <w:szCs w:val="20"/>
        </w:rPr>
        <w:t>. Una forma de simbolizar las proposiciones condicionales es: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52E39">
        <w:rPr>
          <w:rFonts w:ascii="Times New Roman" w:hAnsi="Times New Roman" w:cs="Times New Roman"/>
          <w:b/>
          <w:i/>
          <w:sz w:val="20"/>
          <w:szCs w:val="20"/>
        </w:rPr>
        <w:t>p → q</w:t>
      </w:r>
      <w:r w:rsidRPr="00D52E39">
        <w:rPr>
          <w:rFonts w:ascii="Times New Roman" w:hAnsi="Times New Roman" w:cs="Times New Roman"/>
          <w:sz w:val="20"/>
          <w:szCs w:val="20"/>
        </w:rPr>
        <w:t>, y su tabla de verdad se muestra a continuación.</w:t>
      </w:r>
    </w:p>
    <w:p w:rsidR="00D52E39" w:rsidRDefault="00D52E39" w:rsidP="00D52E3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D52E39" w:rsidRDefault="00D52E39" w:rsidP="00D52E39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C77EE1">
        <w:rPr>
          <w:rFonts w:ascii="Times New Roman" w:hAnsi="Times New Roman" w:cs="Times New Roman"/>
          <w:b/>
          <w:sz w:val="20"/>
          <w:szCs w:val="20"/>
        </w:rPr>
        <w:t>Tabla 2.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C77EE1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Tabla de verdad de </w:t>
      </w:r>
      <w:r>
        <w:rPr>
          <w:rFonts w:ascii="Times New Roman" w:hAnsi="Times New Roman" w:cs="Times New Roman"/>
          <w:sz w:val="20"/>
          <w:szCs w:val="20"/>
        </w:rPr>
        <w:t>una proposición condicional.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461"/>
        <w:gridCol w:w="747"/>
      </w:tblGrid>
      <w:tr w:rsidR="00D52E39" w:rsidTr="002B09ED">
        <w:trPr>
          <w:jc w:val="center"/>
        </w:trPr>
        <w:tc>
          <w:tcPr>
            <w:tcW w:w="461" w:type="dxa"/>
            <w:shd w:val="clear" w:color="auto" w:fill="AEAAAA" w:themeFill="background2" w:themeFillShade="BF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61" w:type="dxa"/>
            <w:shd w:val="clear" w:color="auto" w:fill="AEAAAA" w:themeFill="background2" w:themeFillShade="BF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747" w:type="dxa"/>
            <w:shd w:val="clear" w:color="auto" w:fill="AEAAAA" w:themeFill="background2" w:themeFillShade="BF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 </w:t>
            </w:r>
            <w:r w:rsidRPr="00D52E3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→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q</w:t>
            </w:r>
          </w:p>
        </w:tc>
      </w:tr>
      <w:tr w:rsidR="00D52E39" w:rsidTr="002B09ED">
        <w:trPr>
          <w:jc w:val="center"/>
        </w:trPr>
        <w:tc>
          <w:tcPr>
            <w:tcW w:w="461" w:type="dxa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61" w:type="dxa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47" w:type="dxa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</w:tr>
      <w:tr w:rsidR="00D52E39" w:rsidTr="002B09ED">
        <w:trPr>
          <w:jc w:val="center"/>
        </w:trPr>
        <w:tc>
          <w:tcPr>
            <w:tcW w:w="461" w:type="dxa"/>
            <w:shd w:val="clear" w:color="auto" w:fill="D9D9D9" w:themeFill="background1" w:themeFillShade="D9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D52E39" w:rsidTr="002B09ED">
        <w:trPr>
          <w:jc w:val="center"/>
        </w:trPr>
        <w:tc>
          <w:tcPr>
            <w:tcW w:w="461" w:type="dxa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61" w:type="dxa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47" w:type="dxa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</w:tr>
      <w:tr w:rsidR="00D52E39" w:rsidTr="002B09ED">
        <w:trPr>
          <w:jc w:val="center"/>
        </w:trPr>
        <w:tc>
          <w:tcPr>
            <w:tcW w:w="461" w:type="dxa"/>
            <w:shd w:val="clear" w:color="auto" w:fill="D9D9D9" w:themeFill="background1" w:themeFillShade="D9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:rsidR="00D52E39" w:rsidRDefault="00D52E39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</w:tr>
    </w:tbl>
    <w:p w:rsidR="00B31630" w:rsidRDefault="00B31630" w:rsidP="00D52E39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</w:p>
    <w:p w:rsidR="00553E67" w:rsidRPr="00553E67" w:rsidRDefault="00553E67" w:rsidP="00553E6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53E67">
        <w:rPr>
          <w:rFonts w:ascii="Times New Roman" w:hAnsi="Times New Roman" w:cs="Times New Roman"/>
          <w:b/>
          <w:sz w:val="20"/>
          <w:szCs w:val="20"/>
        </w:rPr>
        <w:t>Ejemplo:</w:t>
      </w:r>
    </w:p>
    <w:p w:rsidR="00553E67" w:rsidRPr="00553E67" w:rsidRDefault="00553E67" w:rsidP="00553E6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53E67">
        <w:rPr>
          <w:rFonts w:ascii="Times New Roman" w:hAnsi="Times New Roman" w:cs="Times New Roman"/>
          <w:sz w:val="20"/>
          <w:szCs w:val="20"/>
        </w:rPr>
        <w:t>“Si 1</w:t>
      </w:r>
      <w:r>
        <w:rPr>
          <w:rFonts w:ascii="Times New Roman" w:hAnsi="Times New Roman" w:cs="Times New Roman"/>
          <w:sz w:val="20"/>
          <w:szCs w:val="20"/>
        </w:rPr>
        <w:t>+</w:t>
      </w:r>
      <w:r w:rsidRPr="00553E67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=2, entonces 4&gt;</w:t>
      </w:r>
      <w:r w:rsidRPr="00553E67">
        <w:rPr>
          <w:rFonts w:ascii="Times New Roman" w:hAnsi="Times New Roman" w:cs="Times New Roman"/>
          <w:sz w:val="20"/>
          <w:szCs w:val="20"/>
        </w:rPr>
        <w:t>0” es una proposición condicional verdadera.</w:t>
      </w:r>
    </w:p>
    <w:p w:rsidR="00553E67" w:rsidRPr="00553E67" w:rsidRDefault="00553E67" w:rsidP="00553E6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“Si 1+1=3, entonces 4&gt;</w:t>
      </w:r>
      <w:r w:rsidRPr="00553E67">
        <w:rPr>
          <w:rFonts w:ascii="Times New Roman" w:hAnsi="Times New Roman" w:cs="Times New Roman"/>
          <w:sz w:val="20"/>
          <w:szCs w:val="20"/>
        </w:rPr>
        <w:t>0” es una proposición condicional verdadera.</w:t>
      </w:r>
    </w:p>
    <w:p w:rsidR="00553E67" w:rsidRPr="00553E67" w:rsidRDefault="00553E67" w:rsidP="00553E6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“Si 1+1=3, entonces 4&lt;</w:t>
      </w:r>
      <w:r w:rsidRPr="00553E67">
        <w:rPr>
          <w:rFonts w:ascii="Times New Roman" w:hAnsi="Times New Roman" w:cs="Times New Roman"/>
          <w:sz w:val="20"/>
          <w:szCs w:val="20"/>
        </w:rPr>
        <w:t>0” es una proposición condicional verdadera.</w:t>
      </w:r>
    </w:p>
    <w:p w:rsidR="00B31630" w:rsidRPr="00553E67" w:rsidRDefault="00553E67" w:rsidP="00553E6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53E67">
        <w:rPr>
          <w:rFonts w:ascii="Times New Roman" w:hAnsi="Times New Roman" w:cs="Times New Roman"/>
          <w:b/>
          <w:sz w:val="20"/>
          <w:szCs w:val="20"/>
        </w:rPr>
        <w:t>“Si 1+1=2, entonces 4&lt;</w:t>
      </w:r>
      <w:r w:rsidRPr="00553E67">
        <w:rPr>
          <w:rFonts w:ascii="Times New Roman" w:hAnsi="Times New Roman" w:cs="Times New Roman"/>
          <w:b/>
          <w:sz w:val="20"/>
          <w:szCs w:val="20"/>
        </w:rPr>
        <w:t>0” es una proposición condicional falsa.</w:t>
      </w: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53E67" w:rsidRDefault="00553E67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3B017E" w:rsidRDefault="00553E67" w:rsidP="003B017E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Tautologías y quasi-tautologías</w:t>
      </w:r>
    </w:p>
    <w:p w:rsidR="00553E67" w:rsidRPr="00553E67" w:rsidRDefault="00553E67" w:rsidP="00553E67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53E67">
        <w:rPr>
          <w:rFonts w:ascii="Times New Roman" w:hAnsi="Times New Roman" w:cs="Times New Roman"/>
          <w:sz w:val="20"/>
          <w:szCs w:val="20"/>
        </w:rPr>
        <w:t xml:space="preserve">Las proposiciones que siempre son verdaderas se denominan </w:t>
      </w:r>
      <w:r w:rsidRPr="00553E67">
        <w:rPr>
          <w:rFonts w:ascii="Times New Roman" w:hAnsi="Times New Roman" w:cs="Times New Roman"/>
          <w:b/>
          <w:i/>
          <w:sz w:val="20"/>
          <w:szCs w:val="20"/>
        </w:rPr>
        <w:t>tautologías</w:t>
      </w:r>
      <w:r w:rsidRPr="00553E67">
        <w:rPr>
          <w:rFonts w:ascii="Times New Roman" w:hAnsi="Times New Roman" w:cs="Times New Roman"/>
          <w:sz w:val="20"/>
          <w:szCs w:val="20"/>
        </w:rPr>
        <w:t>. Para probar que una proposición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53E67">
        <w:rPr>
          <w:rFonts w:ascii="Times New Roman" w:hAnsi="Times New Roman" w:cs="Times New Roman"/>
          <w:sz w:val="20"/>
          <w:szCs w:val="20"/>
        </w:rPr>
        <w:t>es una tautología se construye su tabla de verdad y se verifica que todos los casos sean verdaderos.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53E67">
        <w:rPr>
          <w:rFonts w:ascii="Times New Roman" w:hAnsi="Times New Roman" w:cs="Times New Roman"/>
          <w:sz w:val="20"/>
          <w:szCs w:val="20"/>
        </w:rPr>
        <w:t xml:space="preserve">Si una proposición condicional es una tautología se denomina </w:t>
      </w:r>
      <w:r w:rsidRPr="00553E67">
        <w:rPr>
          <w:rFonts w:ascii="Times New Roman" w:hAnsi="Times New Roman" w:cs="Times New Roman"/>
          <w:b/>
          <w:i/>
          <w:sz w:val="20"/>
          <w:szCs w:val="20"/>
        </w:rPr>
        <w:t>implicación</w:t>
      </w:r>
      <w:r w:rsidRPr="00553E67">
        <w:rPr>
          <w:rFonts w:ascii="Times New Roman" w:hAnsi="Times New Roman" w:cs="Times New Roman"/>
          <w:sz w:val="20"/>
          <w:szCs w:val="20"/>
        </w:rPr>
        <w:t>.</w:t>
      </w:r>
    </w:p>
    <w:p w:rsidR="00553E67" w:rsidRDefault="00553E67" w:rsidP="00553E67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53E67" w:rsidRDefault="00553E67" w:rsidP="00553E67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53E67">
        <w:rPr>
          <w:rFonts w:ascii="Times New Roman" w:hAnsi="Times New Roman" w:cs="Times New Roman"/>
          <w:sz w:val="20"/>
          <w:szCs w:val="20"/>
        </w:rPr>
        <w:t xml:space="preserve">En la lógica convencional existen ocho tautologías: </w:t>
      </w:r>
      <w:r w:rsidRPr="00553E67">
        <w:rPr>
          <w:rFonts w:ascii="Times New Roman" w:hAnsi="Times New Roman" w:cs="Times New Roman"/>
          <w:b/>
          <w:i/>
          <w:sz w:val="20"/>
          <w:szCs w:val="20"/>
        </w:rPr>
        <w:t>trivial, ley de la doble negación, ley del medio</w:t>
      </w:r>
      <w:r w:rsidRPr="00553E67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553E67">
        <w:rPr>
          <w:rFonts w:ascii="Times New Roman" w:hAnsi="Times New Roman" w:cs="Times New Roman"/>
          <w:b/>
          <w:i/>
          <w:sz w:val="20"/>
          <w:szCs w:val="20"/>
        </w:rPr>
        <w:t>excluido, razonamiento directo, razonamiento indirecto, ley de transitividad, ley de la contrarrecíproca</w:t>
      </w:r>
      <w:r w:rsidRPr="00553E67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553E67">
        <w:rPr>
          <w:rFonts w:ascii="Times New Roman" w:hAnsi="Times New Roman" w:cs="Times New Roman"/>
          <w:b/>
          <w:i/>
          <w:sz w:val="20"/>
          <w:szCs w:val="20"/>
        </w:rPr>
        <w:t>y silogismo disyuntivo</w:t>
      </w:r>
      <w:r w:rsidRPr="00553E67">
        <w:rPr>
          <w:rFonts w:ascii="Times New Roman" w:hAnsi="Times New Roman" w:cs="Times New Roman"/>
          <w:sz w:val="20"/>
          <w:szCs w:val="20"/>
        </w:rPr>
        <w:t>.</w:t>
      </w:r>
    </w:p>
    <w:p w:rsidR="00553E67" w:rsidRPr="00553E67" w:rsidRDefault="00553E67" w:rsidP="00553E67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53E67" w:rsidRDefault="00553E67" w:rsidP="00553E67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53E67">
        <w:rPr>
          <w:rFonts w:ascii="Times New Roman" w:hAnsi="Times New Roman" w:cs="Times New Roman"/>
          <w:sz w:val="20"/>
          <w:szCs w:val="20"/>
        </w:rPr>
        <w:t>En la lógica difusa no existen tautologías pero sí quasi-tautologías, ya que las proposiciones no adquieren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53E67">
        <w:rPr>
          <w:rFonts w:ascii="Times New Roman" w:hAnsi="Times New Roman" w:cs="Times New Roman"/>
          <w:sz w:val="20"/>
          <w:szCs w:val="20"/>
        </w:rPr>
        <w:t>valores de 0 o 1 como en la lógica booleana, sino que contemplan valores de pertenencia entre 0 y 1.</w:t>
      </w:r>
    </w:p>
    <w:p w:rsidR="00553E67" w:rsidRDefault="00553E67" w:rsidP="003B017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53E67" w:rsidRPr="00553E67" w:rsidRDefault="00553E67" w:rsidP="003B017E">
      <w:pPr>
        <w:spacing w:after="0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53E67">
        <w:rPr>
          <w:rFonts w:ascii="Times New Roman" w:hAnsi="Times New Roman" w:cs="Times New Roman"/>
          <w:b/>
          <w:sz w:val="20"/>
          <w:szCs w:val="20"/>
        </w:rPr>
        <w:t>Ejemplo:</w:t>
      </w:r>
    </w:p>
    <w:p w:rsidR="00553E67" w:rsidRDefault="00553E67" w:rsidP="00553E67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53E67">
        <w:rPr>
          <w:rFonts w:ascii="Times New Roman" w:hAnsi="Times New Roman" w:cs="Times New Roman"/>
          <w:sz w:val="20"/>
          <w:szCs w:val="20"/>
        </w:rPr>
        <w:t>Es muy claro que las tablas de verdad de elementos difusos se encuentran determinadas por las operaciones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53E67">
        <w:rPr>
          <w:rFonts w:ascii="Times New Roman" w:hAnsi="Times New Roman" w:cs="Times New Roman"/>
          <w:sz w:val="20"/>
          <w:szCs w:val="20"/>
        </w:rPr>
        <w:t>básicas de dichos elementos, como son la unión, intersección y complemento. Este ejemplo 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53E67">
        <w:rPr>
          <w:rFonts w:ascii="Times New Roman" w:hAnsi="Times New Roman" w:cs="Times New Roman"/>
          <w:sz w:val="20"/>
          <w:szCs w:val="20"/>
        </w:rPr>
        <w:t>puede utilizar para denotar una tabla de implicación difusa que parte de valores entre cero y uno.</w:t>
      </w:r>
    </w:p>
    <w:p w:rsidR="00553E67" w:rsidRDefault="00553E67" w:rsidP="00553E67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53E67" w:rsidRDefault="00553E67" w:rsidP="00553E67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53E67">
        <w:rPr>
          <w:rFonts w:ascii="Times New Roman" w:hAnsi="Times New Roman" w:cs="Times New Roman"/>
          <w:sz w:val="20"/>
          <w:szCs w:val="20"/>
        </w:rPr>
        <w:t>Determinar A → B</w:t>
      </w:r>
    </w:p>
    <w:p w:rsidR="00553E67" w:rsidRDefault="00553E67" w:rsidP="00553E6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53E67" w:rsidRDefault="00553E67" w:rsidP="00553E6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C77EE1">
        <w:rPr>
          <w:rFonts w:ascii="Times New Roman" w:hAnsi="Times New Roman" w:cs="Times New Roman"/>
          <w:b/>
          <w:sz w:val="20"/>
          <w:szCs w:val="20"/>
        </w:rPr>
        <w:t>Tabla 2.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C77EE1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Tabla de verdad de una </w:t>
      </w:r>
      <w:r>
        <w:rPr>
          <w:rFonts w:ascii="Times New Roman" w:hAnsi="Times New Roman" w:cs="Times New Roman"/>
          <w:sz w:val="20"/>
          <w:szCs w:val="20"/>
        </w:rPr>
        <w:t>quasi-tautología</w:t>
      </w:r>
      <w:r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466"/>
        <w:gridCol w:w="1893"/>
      </w:tblGrid>
      <w:tr w:rsidR="00553E67" w:rsidTr="00A66840">
        <w:trPr>
          <w:jc w:val="center"/>
        </w:trPr>
        <w:tc>
          <w:tcPr>
            <w:tcW w:w="461" w:type="dxa"/>
            <w:shd w:val="clear" w:color="auto" w:fill="AEAAAA" w:themeFill="background2" w:themeFillShade="BF"/>
          </w:tcPr>
          <w:p w:rsidR="00553E67" w:rsidRPr="00A66840" w:rsidRDefault="00553E67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840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461" w:type="dxa"/>
            <w:shd w:val="clear" w:color="auto" w:fill="AEAAAA" w:themeFill="background2" w:themeFillShade="BF"/>
          </w:tcPr>
          <w:p w:rsidR="00553E67" w:rsidRPr="00A66840" w:rsidRDefault="00553E67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840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1893" w:type="dxa"/>
            <w:shd w:val="clear" w:color="auto" w:fill="AEAAAA" w:themeFill="background2" w:themeFillShade="BF"/>
          </w:tcPr>
          <w:p w:rsidR="00553E67" w:rsidRPr="00A66840" w:rsidRDefault="00553E67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840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A668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68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→</w:t>
            </w:r>
            <w:r w:rsidRPr="00A66840">
              <w:rPr>
                <w:rFonts w:ascii="Cambria Math" w:hAnsi="Cambria Math" w:cs="Cambria Math"/>
                <w:b/>
                <w:sz w:val="20"/>
                <w:szCs w:val="20"/>
              </w:rPr>
              <w:t xml:space="preserve"> B=máx</w:t>
            </w:r>
            <w:r w:rsidR="00A66840">
              <w:rPr>
                <w:rFonts w:ascii="Cambria Math" w:hAnsi="Cambria Math" w:cs="Cambria Math"/>
                <w:b/>
                <w:sz w:val="20"/>
                <w:szCs w:val="20"/>
              </w:rPr>
              <w:t xml:space="preserve"> </w:t>
            </w:r>
            <w:r w:rsidRPr="00A66840">
              <w:rPr>
                <w:rFonts w:ascii="Cambria Math" w:hAnsi="Cambria Math" w:cs="Cambria Math"/>
                <w:b/>
                <w:sz w:val="20"/>
                <w:szCs w:val="20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Cambria Math"/>
                  <w:sz w:val="20"/>
                  <w:szCs w:val="20"/>
                </w:rPr>
                <m:t>,B</m:t>
              </m:r>
            </m:oMath>
            <w:r w:rsidRPr="00A66840">
              <w:rPr>
                <w:rFonts w:ascii="Cambria Math" w:hAnsi="Cambria Math" w:cs="Cambria Math"/>
                <w:b/>
                <w:sz w:val="20"/>
                <w:szCs w:val="20"/>
              </w:rPr>
              <w:t>)</w:t>
            </w:r>
          </w:p>
        </w:tc>
      </w:tr>
      <w:tr w:rsidR="00553E67" w:rsidTr="00A66840">
        <w:trPr>
          <w:jc w:val="center"/>
        </w:trPr>
        <w:tc>
          <w:tcPr>
            <w:tcW w:w="461" w:type="dxa"/>
          </w:tcPr>
          <w:p w:rsidR="00553E67" w:rsidRDefault="00A66840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461" w:type="dxa"/>
          </w:tcPr>
          <w:p w:rsidR="00553E67" w:rsidRDefault="00A66840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893" w:type="dxa"/>
          </w:tcPr>
          <w:p w:rsidR="00553E67" w:rsidRDefault="00A66840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553E67" w:rsidTr="00A66840">
        <w:trPr>
          <w:jc w:val="center"/>
        </w:trPr>
        <w:tc>
          <w:tcPr>
            <w:tcW w:w="461" w:type="dxa"/>
            <w:shd w:val="clear" w:color="auto" w:fill="D9D9D9" w:themeFill="background1" w:themeFillShade="D9"/>
          </w:tcPr>
          <w:p w:rsidR="00553E67" w:rsidRDefault="00A66840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:rsidR="00553E67" w:rsidRDefault="00A66840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553E67" w:rsidRDefault="00A66840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553E67" w:rsidTr="00A66840">
        <w:trPr>
          <w:jc w:val="center"/>
        </w:trPr>
        <w:tc>
          <w:tcPr>
            <w:tcW w:w="461" w:type="dxa"/>
          </w:tcPr>
          <w:p w:rsidR="00553E67" w:rsidRDefault="00A66840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461" w:type="dxa"/>
          </w:tcPr>
          <w:p w:rsidR="00553E67" w:rsidRDefault="00A66840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893" w:type="dxa"/>
          </w:tcPr>
          <w:p w:rsidR="00553E67" w:rsidRDefault="00A66840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553E67" w:rsidTr="00A66840">
        <w:trPr>
          <w:jc w:val="center"/>
        </w:trPr>
        <w:tc>
          <w:tcPr>
            <w:tcW w:w="461" w:type="dxa"/>
            <w:shd w:val="clear" w:color="auto" w:fill="D9D9D9" w:themeFill="background1" w:themeFillShade="D9"/>
          </w:tcPr>
          <w:p w:rsidR="00553E67" w:rsidRDefault="00A66840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:rsidR="00553E67" w:rsidRDefault="00A66840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553E67" w:rsidRDefault="00A66840" w:rsidP="002B09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</w:tbl>
    <w:p w:rsidR="00553E67" w:rsidRDefault="00553E67" w:rsidP="00553E67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</w:p>
    <w:p w:rsidR="00553E67" w:rsidRDefault="00843F23" w:rsidP="00843F2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43F23">
        <w:rPr>
          <w:rFonts w:ascii="Times New Roman" w:hAnsi="Times New Roman" w:cs="Times New Roman"/>
          <w:sz w:val="20"/>
          <w:szCs w:val="20"/>
        </w:rPr>
        <w:t>Después de revisar las operaciones básicas de unión, intersección y complemento que se presentan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3F23">
        <w:rPr>
          <w:rFonts w:ascii="Times New Roman" w:hAnsi="Times New Roman" w:cs="Times New Roman"/>
          <w:sz w:val="20"/>
          <w:szCs w:val="20"/>
        </w:rPr>
        <w:t>más adelante, se recomienda realizar la tabla de verdad de la implicación.</w:t>
      </w:r>
    </w:p>
    <w:p w:rsidR="00843F23" w:rsidRDefault="00843F23" w:rsidP="00843F2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43F23" w:rsidRDefault="00843F23" w:rsidP="00843F2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43F23" w:rsidRDefault="00843F23" w:rsidP="00843F23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lastRenderedPageBreak/>
        <w:t>Representación de conjuntos difusos discretos</w:t>
      </w:r>
    </w:p>
    <w:p w:rsidR="00843F23" w:rsidRDefault="00843F23" w:rsidP="00843F2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43F23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 puede expresar en forma gráfi</w:t>
      </w:r>
      <w:r w:rsidRPr="00843F23">
        <w:rPr>
          <w:rFonts w:ascii="Times New Roman" w:hAnsi="Times New Roman" w:cs="Times New Roman"/>
          <w:sz w:val="20"/>
          <w:szCs w:val="20"/>
        </w:rPr>
        <w:t>ca un conjunto difuso discreto como la unión de sus elementos; 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3F23">
        <w:rPr>
          <w:rFonts w:ascii="Times New Roman" w:hAnsi="Times New Roman" w:cs="Times New Roman"/>
          <w:sz w:val="20"/>
          <w:szCs w:val="20"/>
        </w:rPr>
        <w:t>número de elementos depende del problema que se va a resolver. Es muy común que a través de una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3F23">
        <w:rPr>
          <w:rFonts w:ascii="Times New Roman" w:hAnsi="Times New Roman" w:cs="Times New Roman"/>
          <w:sz w:val="20"/>
          <w:szCs w:val="20"/>
        </w:rPr>
        <w:t>interpolación de cada uno de los elementos se pueda construir una trayectoria con cada uno de ellos, 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3F23">
        <w:rPr>
          <w:rFonts w:ascii="Times New Roman" w:hAnsi="Times New Roman" w:cs="Times New Roman"/>
          <w:sz w:val="20"/>
          <w:szCs w:val="20"/>
        </w:rPr>
        <w:t>cual es la base de una función de membresía o pertenencia. Tomemos como ejemplo el conjunto difuso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3F23">
        <w:rPr>
          <w:rFonts w:ascii="Times New Roman" w:hAnsi="Times New Roman" w:cs="Times New Roman"/>
          <w:sz w:val="20"/>
          <w:szCs w:val="20"/>
        </w:rPr>
        <w:t>que se muestra a continuación:</w:t>
      </w:r>
      <w:r w:rsidRPr="00843F2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3F23" w:rsidRDefault="00843F23" w:rsidP="00843F2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43F23" w:rsidRDefault="00843F23" w:rsidP="00843F23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>
            <wp:extent cx="3162300" cy="1584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4C741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0" t="18046" r="10896" b="11325"/>
                    <a:stretch/>
                  </pic:blipFill>
                  <pic:spPr bwMode="auto">
                    <a:xfrm>
                      <a:off x="0" y="0"/>
                      <a:ext cx="3200932" cy="1603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F23" w:rsidRDefault="00843F23" w:rsidP="00843F23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843F23">
        <w:rPr>
          <w:rFonts w:ascii="Times New Roman" w:hAnsi="Times New Roman" w:cs="Times New Roman"/>
          <w:b/>
          <w:sz w:val="20"/>
          <w:szCs w:val="20"/>
        </w:rPr>
        <w:t>Fig. 2.5</w:t>
      </w:r>
      <w:r>
        <w:rPr>
          <w:rFonts w:ascii="Times New Roman" w:hAnsi="Times New Roman" w:cs="Times New Roman"/>
          <w:sz w:val="20"/>
          <w:szCs w:val="20"/>
        </w:rPr>
        <w:t xml:space="preserve"> Gráfi</w:t>
      </w:r>
      <w:r w:rsidRPr="00843F23">
        <w:rPr>
          <w:rFonts w:ascii="Times New Roman" w:hAnsi="Times New Roman" w:cs="Times New Roman"/>
          <w:sz w:val="20"/>
          <w:szCs w:val="20"/>
        </w:rPr>
        <w:t>ca difusa.</w:t>
      </w:r>
    </w:p>
    <w:p w:rsidR="00843F23" w:rsidRDefault="00843F23" w:rsidP="00843F2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43F23" w:rsidRDefault="00843F23" w:rsidP="00843F23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0.4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5</m:t>
                      </m:r>
                    </m:sub>
                  </m:sSub>
                </m:den>
              </m:f>
            </m:e>
          </m:d>
        </m:oMath>
      </m:oMathPara>
    </w:p>
    <w:p w:rsidR="00843F23" w:rsidRDefault="00843F23" w:rsidP="00843F2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43F23" w:rsidRDefault="00843F23" w:rsidP="00843F2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 conjunto difuso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</m:acc>
      </m:oMath>
      <w:r w:rsidRPr="00843F2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 define a partir de la gráfi</w:t>
      </w:r>
      <w:r w:rsidRPr="00843F23">
        <w:rPr>
          <w:rFonts w:ascii="Times New Roman" w:hAnsi="Times New Roman" w:cs="Times New Roman"/>
          <w:sz w:val="20"/>
          <w:szCs w:val="20"/>
        </w:rPr>
        <w:t>ca. Como se puede observar, los elementos de este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3F23">
        <w:rPr>
          <w:rFonts w:ascii="Times New Roman" w:hAnsi="Times New Roman" w:cs="Times New Roman"/>
          <w:sz w:val="20"/>
          <w:szCs w:val="20"/>
        </w:rPr>
        <w:t>conjunto están formados por fracciones, en las cuales el denominador es el elemento y el numerador 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3F23">
        <w:rPr>
          <w:rFonts w:ascii="Times New Roman" w:hAnsi="Times New Roman" w:cs="Times New Roman"/>
          <w:sz w:val="20"/>
          <w:szCs w:val="20"/>
        </w:rPr>
        <w:t>el grado de pertenencia del elemento, pero con una cierta función de membresía.</w:t>
      </w: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B43AB9" w:rsidRDefault="00937542" w:rsidP="009375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Bookman Old Style" w:hAnsi="Bookman Old Style"/>
          <w:i/>
          <w:sz w:val="28"/>
          <w:szCs w:val="28"/>
        </w:rPr>
        <w:t>Bibliografía</w:t>
      </w: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Pr="000A4F9C" w:rsidRDefault="00937542" w:rsidP="000A4F9C">
      <w:pPr>
        <w:spacing w:after="0"/>
        <w:ind w:left="567"/>
        <w:jc w:val="both"/>
        <w:rPr>
          <w:rFonts w:ascii="Arial" w:hAnsi="Arial" w:cs="Arial"/>
          <w:color w:val="32322F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[1] Ponce Cruz Pedro. </w:t>
      </w:r>
      <w:r w:rsidR="001D0508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 xml:space="preserve">Inteligencia </w:t>
      </w:r>
      <w:r w:rsidR="001D0508">
        <w:rPr>
          <w:rFonts w:ascii="Times New Roman" w:hAnsi="Times New Roman" w:cs="Times New Roman"/>
          <w:sz w:val="20"/>
          <w:szCs w:val="20"/>
        </w:rPr>
        <w:t>Artificial con A</w:t>
      </w:r>
      <w:r>
        <w:rPr>
          <w:rFonts w:ascii="Times New Roman" w:hAnsi="Times New Roman" w:cs="Times New Roman"/>
          <w:sz w:val="20"/>
          <w:szCs w:val="20"/>
        </w:rPr>
        <w:t xml:space="preserve">plicaciones a la </w:t>
      </w:r>
      <w:r w:rsidR="001D0508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ngeniería</w:t>
      </w:r>
      <w:r w:rsidR="001D0508">
        <w:rPr>
          <w:rFonts w:ascii="Times New Roman" w:hAnsi="Times New Roman" w:cs="Times New Roman"/>
          <w:sz w:val="20"/>
          <w:szCs w:val="20"/>
        </w:rPr>
        <w:t xml:space="preserve">”. Editorial Alfaomega. 2010. Biblioteca “Francisco Mora Díaz” Universidad Santo Tomas Tunja. Cód. </w:t>
      </w:r>
      <w:r w:rsidR="001D0508">
        <w:rPr>
          <w:rFonts w:ascii="Arial" w:hAnsi="Arial" w:cs="Arial"/>
          <w:color w:val="32322F"/>
          <w:sz w:val="19"/>
          <w:szCs w:val="19"/>
          <w:shd w:val="clear" w:color="auto" w:fill="FFFFFF"/>
        </w:rPr>
        <w:t>621.399 P55I 1A.ED.</w:t>
      </w:r>
    </w:p>
    <w:sectPr w:rsidR="00B43AB9" w:rsidRPr="000A4F9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C7D" w:rsidRDefault="00845C7D" w:rsidP="001D0508">
      <w:pPr>
        <w:spacing w:after="0" w:line="240" w:lineRule="auto"/>
      </w:pPr>
      <w:r>
        <w:separator/>
      </w:r>
    </w:p>
  </w:endnote>
  <w:endnote w:type="continuationSeparator" w:id="0">
    <w:p w:rsidR="00845C7D" w:rsidRDefault="00845C7D" w:rsidP="001D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508" w:rsidRPr="001D0508" w:rsidRDefault="001D0508" w:rsidP="001D0508">
    <w:pPr>
      <w:pStyle w:val="Piedepgina"/>
      <w:jc w:val="center"/>
      <w:rPr>
        <w:rFonts w:ascii="Times New Roman" w:hAnsi="Times New Roman" w:cs="Times New Roman"/>
        <w:b/>
        <w:sz w:val="20"/>
        <w:szCs w:val="20"/>
      </w:rPr>
    </w:pPr>
    <w:r w:rsidRPr="001D0508">
      <w:rPr>
        <w:rFonts w:ascii="Times New Roman" w:hAnsi="Times New Roman" w:cs="Times New Roman"/>
        <w:b/>
        <w:sz w:val="20"/>
        <w:szCs w:val="20"/>
      </w:rPr>
      <w:t>ING. EDGAR ANDRES GUTIERREZ CACERES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C7D" w:rsidRDefault="00845C7D" w:rsidP="001D0508">
      <w:pPr>
        <w:spacing w:after="0" w:line="240" w:lineRule="auto"/>
      </w:pPr>
      <w:r>
        <w:separator/>
      </w:r>
    </w:p>
  </w:footnote>
  <w:footnote w:type="continuationSeparator" w:id="0">
    <w:p w:rsidR="00845C7D" w:rsidRDefault="00845C7D" w:rsidP="001D0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508" w:rsidRPr="001D0508" w:rsidRDefault="001D0508" w:rsidP="001D0508">
    <w:pPr>
      <w:pStyle w:val="Encabezado"/>
      <w:jc w:val="center"/>
      <w:rPr>
        <w:rFonts w:ascii="Times New Roman" w:hAnsi="Times New Roman" w:cs="Times New Roman"/>
        <w:b/>
        <w:sz w:val="20"/>
        <w:szCs w:val="20"/>
      </w:rPr>
    </w:pPr>
    <w:r w:rsidRPr="001D0508">
      <w:rPr>
        <w:rFonts w:ascii="Times New Roman" w:hAnsi="Times New Roman" w:cs="Times New Roman"/>
        <w:b/>
        <w:sz w:val="20"/>
        <w:szCs w:val="20"/>
      </w:rPr>
      <w:t>UNIVERSIDAD SANTO TOMAS SECCIONAL TUNJA – FACULTAD DE INGENIERIA ELECTRONICA – INTELIGENCIA ARTIFICIAL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21506"/>
    <w:multiLevelType w:val="hybridMultilevel"/>
    <w:tmpl w:val="708AF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0E4B"/>
    <w:multiLevelType w:val="hybridMultilevel"/>
    <w:tmpl w:val="DAD25344"/>
    <w:lvl w:ilvl="0" w:tplc="EDEE6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0C"/>
    <w:rsid w:val="00072976"/>
    <w:rsid w:val="00093575"/>
    <w:rsid w:val="000A4F9C"/>
    <w:rsid w:val="000B271E"/>
    <w:rsid w:val="001509D0"/>
    <w:rsid w:val="001D0508"/>
    <w:rsid w:val="001D1CBD"/>
    <w:rsid w:val="002133DF"/>
    <w:rsid w:val="00261813"/>
    <w:rsid w:val="002D2081"/>
    <w:rsid w:val="003B017E"/>
    <w:rsid w:val="00447819"/>
    <w:rsid w:val="004B4A04"/>
    <w:rsid w:val="004C4EFB"/>
    <w:rsid w:val="005127BE"/>
    <w:rsid w:val="00553E67"/>
    <w:rsid w:val="0066722D"/>
    <w:rsid w:val="00732959"/>
    <w:rsid w:val="00843F23"/>
    <w:rsid w:val="00845C7D"/>
    <w:rsid w:val="008879FB"/>
    <w:rsid w:val="008A1A6F"/>
    <w:rsid w:val="008C5F34"/>
    <w:rsid w:val="008F0613"/>
    <w:rsid w:val="0090120D"/>
    <w:rsid w:val="00937542"/>
    <w:rsid w:val="00956E85"/>
    <w:rsid w:val="009A36AF"/>
    <w:rsid w:val="009D6035"/>
    <w:rsid w:val="00A66840"/>
    <w:rsid w:val="00B31630"/>
    <w:rsid w:val="00B43AB9"/>
    <w:rsid w:val="00C77EE1"/>
    <w:rsid w:val="00C96DAB"/>
    <w:rsid w:val="00D52E39"/>
    <w:rsid w:val="00D67E38"/>
    <w:rsid w:val="00DF53D4"/>
    <w:rsid w:val="00E74501"/>
    <w:rsid w:val="00EE0483"/>
    <w:rsid w:val="00F0780C"/>
    <w:rsid w:val="00F33A13"/>
    <w:rsid w:val="00F667E0"/>
    <w:rsid w:val="00FC50D8"/>
    <w:rsid w:val="00F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48E989-6A29-48FA-B77F-B031E9C7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017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D0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08"/>
  </w:style>
  <w:style w:type="paragraph" w:styleId="Piedepgina">
    <w:name w:val="footer"/>
    <w:basedOn w:val="Normal"/>
    <w:link w:val="PiedepginaCar"/>
    <w:uiPriority w:val="99"/>
    <w:unhideWhenUsed/>
    <w:rsid w:val="001D0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08"/>
  </w:style>
  <w:style w:type="paragraph" w:styleId="Prrafodelista">
    <w:name w:val="List Paragraph"/>
    <w:basedOn w:val="Normal"/>
    <w:uiPriority w:val="34"/>
    <w:qFormat/>
    <w:rsid w:val="008C5F3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2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6672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762C2-10BD-4085-933D-B2012757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 CIIAM</dc:creator>
  <cp:keywords/>
  <dc:description/>
  <cp:lastModifiedBy>Director CIIAM</cp:lastModifiedBy>
  <cp:revision>30</cp:revision>
  <dcterms:created xsi:type="dcterms:W3CDTF">2017-01-16T16:36:00Z</dcterms:created>
  <dcterms:modified xsi:type="dcterms:W3CDTF">2017-01-17T16:40:00Z</dcterms:modified>
</cp:coreProperties>
</file>