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A58ED" w14:textId="77777777" w:rsidR="009A78C2" w:rsidRPr="00E57757" w:rsidRDefault="00527338" w:rsidP="00E57757">
      <w:pPr>
        <w:pStyle w:val="FirstParagraph"/>
        <w:spacing w:before="0" w:after="0" w:line="360" w:lineRule="auto"/>
        <w:rPr>
          <w:rFonts w:ascii="Times New Roman" w:hAnsi="Times New Roman" w:cs="Times New Roman"/>
        </w:rPr>
      </w:pPr>
      <w:r w:rsidRPr="00E57757">
        <w:rPr>
          <w:rFonts w:ascii="Times New Roman" w:hAnsi="Times New Roman" w:cs="Times New Roman"/>
          <w:noProof/>
        </w:rPr>
        <w:drawing>
          <wp:inline distT="0" distB="0" distL="0" distR="0" wp14:anchorId="6E63225D" wp14:editId="6C2A357E">
            <wp:extent cx="2743200" cy="908858"/>
            <wp:effectExtent l="0" t="0" r="0" b="0"/>
            <wp:docPr id="1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" descr="media/image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9088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8922FE0" w14:textId="77777777" w:rsidR="009A78C2" w:rsidRPr="00E57757" w:rsidRDefault="00527338" w:rsidP="00E57757">
      <w:pPr>
        <w:pStyle w:val="Textoindependiente"/>
        <w:spacing w:before="0" w:after="0" w:line="360" w:lineRule="auto"/>
        <w:rPr>
          <w:rFonts w:ascii="Times New Roman" w:hAnsi="Times New Roman" w:cs="Times New Roman"/>
        </w:rPr>
      </w:pPr>
      <w:r w:rsidRPr="00E57757">
        <w:rPr>
          <w:rFonts w:ascii="Times New Roman" w:hAnsi="Times New Roman" w:cs="Times New Roman"/>
          <w:b/>
          <w:bCs/>
        </w:rPr>
        <w:t>ARQUITECTURA BLOCKCHAIN DUAL NEXUS: UN MODELO MATEMÁTICO-COMPUTACIONAL PARA SISTEMAS BANCARIOS SEGUROS Y RESILIENTES POST-CUÁNTICO</w:t>
      </w:r>
    </w:p>
    <w:p w14:paraId="3B436B8F" w14:textId="77777777" w:rsidR="009A78C2" w:rsidRPr="00E57757" w:rsidRDefault="00527338" w:rsidP="00E57757">
      <w:pPr>
        <w:pStyle w:val="Textoindependiente"/>
        <w:spacing w:before="0" w:after="0" w:line="360" w:lineRule="auto"/>
        <w:rPr>
          <w:rFonts w:ascii="Times New Roman" w:hAnsi="Times New Roman" w:cs="Times New Roman"/>
        </w:rPr>
      </w:pPr>
      <w:r w:rsidRPr="00E57757">
        <w:rPr>
          <w:rFonts w:ascii="Times New Roman" w:hAnsi="Times New Roman" w:cs="Times New Roman"/>
        </w:rPr>
        <w:t>Juan Diego Susunaga Velasquez</w:t>
      </w:r>
    </w:p>
    <w:p w14:paraId="248215DB" w14:textId="77777777" w:rsidR="009A78C2" w:rsidRPr="00E57757" w:rsidRDefault="00527338" w:rsidP="00E57757">
      <w:pPr>
        <w:pStyle w:val="Textoindependiente"/>
        <w:spacing w:before="0" w:after="0" w:line="360" w:lineRule="auto"/>
        <w:rPr>
          <w:rFonts w:ascii="Times New Roman" w:hAnsi="Times New Roman" w:cs="Times New Roman"/>
        </w:rPr>
      </w:pPr>
      <w:r w:rsidRPr="00E57757">
        <w:rPr>
          <w:rFonts w:ascii="Times New Roman" w:hAnsi="Times New Roman" w:cs="Times New Roman"/>
        </w:rPr>
        <w:t>Dirección: Leonardo Huertas Calle</w:t>
      </w:r>
    </w:p>
    <w:p w14:paraId="2D8D4249" w14:textId="77777777" w:rsidR="009A78C2" w:rsidRPr="00E57757" w:rsidRDefault="00527338" w:rsidP="00E57757">
      <w:pPr>
        <w:pStyle w:val="Textoindependiente"/>
        <w:spacing w:before="0" w:after="0" w:line="360" w:lineRule="auto"/>
        <w:rPr>
          <w:rFonts w:ascii="Times New Roman" w:hAnsi="Times New Roman" w:cs="Times New Roman"/>
        </w:rPr>
      </w:pPr>
      <w:r w:rsidRPr="00E57757">
        <w:rPr>
          <w:rFonts w:ascii="Times New Roman" w:hAnsi="Times New Roman" w:cs="Times New Roman"/>
        </w:rPr>
        <w:t>Programa académico: Matemáticas Aplicadas y Ciencias de la Computación</w:t>
      </w:r>
    </w:p>
    <w:p w14:paraId="1F34A830" w14:textId="77777777" w:rsidR="009A78C2" w:rsidRPr="00E57757" w:rsidRDefault="00527338" w:rsidP="00E57757">
      <w:pPr>
        <w:pStyle w:val="Textoindependiente"/>
        <w:spacing w:before="0" w:after="0" w:line="360" w:lineRule="auto"/>
        <w:rPr>
          <w:rFonts w:ascii="Times New Roman" w:hAnsi="Times New Roman" w:cs="Times New Roman"/>
        </w:rPr>
      </w:pPr>
      <w:r w:rsidRPr="00E57757">
        <w:rPr>
          <w:rFonts w:ascii="Times New Roman" w:hAnsi="Times New Roman" w:cs="Times New Roman"/>
        </w:rPr>
        <w:t>Escuela de Ciencias e Ingeniería</w:t>
      </w:r>
    </w:p>
    <w:p w14:paraId="4224FFB8" w14:textId="77777777" w:rsidR="009A78C2" w:rsidRPr="00E57757" w:rsidRDefault="00527338" w:rsidP="00E57757">
      <w:pPr>
        <w:pStyle w:val="Textoindependiente"/>
        <w:spacing w:before="0" w:after="0" w:line="360" w:lineRule="auto"/>
        <w:rPr>
          <w:rFonts w:ascii="Times New Roman" w:hAnsi="Times New Roman" w:cs="Times New Roman"/>
        </w:rPr>
      </w:pPr>
      <w:r w:rsidRPr="00E57757">
        <w:rPr>
          <w:rFonts w:ascii="Times New Roman" w:hAnsi="Times New Roman" w:cs="Times New Roman"/>
        </w:rPr>
        <w:t>Universidad del Rosario</w:t>
      </w:r>
    </w:p>
    <w:p w14:paraId="20731E39" w14:textId="77777777" w:rsidR="009A78C2" w:rsidRPr="00E57757" w:rsidRDefault="00527338" w:rsidP="00E57757">
      <w:pPr>
        <w:pStyle w:val="Textoindependiente"/>
        <w:spacing w:before="0" w:after="0" w:line="360" w:lineRule="auto"/>
        <w:rPr>
          <w:rFonts w:ascii="Times New Roman" w:hAnsi="Times New Roman" w:cs="Times New Roman"/>
        </w:rPr>
      </w:pPr>
      <w:r w:rsidRPr="00E57757">
        <w:rPr>
          <w:rFonts w:ascii="Times New Roman" w:hAnsi="Times New Roman" w:cs="Times New Roman"/>
        </w:rPr>
        <w:t>05/06/2026</w:t>
      </w:r>
    </w:p>
    <w:p w14:paraId="7B5B2527" w14:textId="77777777" w:rsidR="009A78C2" w:rsidRPr="00E57757" w:rsidRDefault="00527338" w:rsidP="00E57757">
      <w:pPr>
        <w:spacing w:after="0" w:line="360" w:lineRule="auto"/>
        <w:rPr>
          <w:rFonts w:ascii="Times New Roman" w:hAnsi="Times New Roman" w:cs="Times New Roman"/>
        </w:rPr>
      </w:pPr>
      <w:r w:rsidRPr="00E57757">
        <w:rPr>
          <w:rFonts w:ascii="Times New Roman" w:hAnsi="Times New Roman" w:cs="Times New Roman"/>
        </w:rPr>
        <w:br w:type="page"/>
      </w:r>
    </w:p>
    <w:p w14:paraId="72AD4F10" w14:textId="77777777" w:rsidR="009A78C2" w:rsidRPr="00E57757" w:rsidRDefault="00527338" w:rsidP="00E57757">
      <w:pPr>
        <w:pStyle w:val="Ttulo1"/>
        <w:spacing w:before="0" w:after="0" w:line="360" w:lineRule="auto"/>
        <w:rPr>
          <w:rFonts w:ascii="Times New Roman" w:hAnsi="Times New Roman" w:cs="Times New Roman"/>
          <w:sz w:val="24"/>
        </w:rPr>
      </w:pPr>
      <w:bookmarkStart w:id="0" w:name="introducción"/>
      <w:r w:rsidRPr="00E57757">
        <w:rPr>
          <w:rFonts w:ascii="Times New Roman" w:hAnsi="Times New Roman" w:cs="Times New Roman"/>
          <w:sz w:val="24"/>
        </w:rPr>
        <w:lastRenderedPageBreak/>
        <w:t>INTRODUCCIÓN</w:t>
      </w:r>
    </w:p>
    <w:p w14:paraId="7DBF096D" w14:textId="77777777" w:rsidR="009A78C2" w:rsidRPr="00E57757" w:rsidRDefault="00527338" w:rsidP="00E57757">
      <w:pPr>
        <w:pStyle w:val="FirstParagraph"/>
        <w:spacing w:before="0" w:after="0" w:line="360" w:lineRule="auto"/>
        <w:rPr>
          <w:rFonts w:ascii="Times New Roman" w:hAnsi="Times New Roman" w:cs="Times New Roman"/>
        </w:rPr>
      </w:pPr>
      <w:r w:rsidRPr="00E57757">
        <w:rPr>
          <w:rFonts w:ascii="Times New Roman" w:hAnsi="Times New Roman" w:cs="Times New Roman"/>
        </w:rPr>
        <w:t xml:space="preserve">La infraestructura financiera digital depende de firmas digitales (RSA, ECC). El algoritmo de Shor las rompería en tiempo polinómico, y el fenómeno </w:t>
      </w:r>
      <w:r w:rsidRPr="00E57757">
        <w:rPr>
          <w:rFonts w:ascii="Times New Roman" w:hAnsi="Times New Roman" w:cs="Times New Roman"/>
          <w:i/>
          <w:iCs/>
        </w:rPr>
        <w:t>Harvest Now, Decrypt Later</w:t>
      </w:r>
      <w:r w:rsidRPr="00E57757">
        <w:rPr>
          <w:rFonts w:ascii="Times New Roman" w:hAnsi="Times New Roman" w:cs="Times New Roman"/>
        </w:rPr>
        <w:t xml:space="preserve"> obliga a migrar </w:t>
      </w:r>
      <w:r w:rsidRPr="00E57757">
        <w:rPr>
          <w:rFonts w:ascii="Times New Roman" w:hAnsi="Times New Roman" w:cs="Times New Roman"/>
          <w:b/>
          <w:bCs/>
        </w:rPr>
        <w:t>desde ya</w:t>
      </w:r>
      <w:r w:rsidRPr="00E57757">
        <w:rPr>
          <w:rFonts w:ascii="Times New Roman" w:hAnsi="Times New Roman" w:cs="Times New Roman"/>
        </w:rPr>
        <w:t xml:space="preserve"> a criptografía post-cuántica (PQC) —tendencia confirmada por la estandarización del NIST (FIPS 204, 2024) y por la migración en curso de las cadenas líderes (Ethereum y Solana). Este trabajo propone </w:t>
      </w:r>
      <w:r w:rsidRPr="00E57757">
        <w:rPr>
          <w:rFonts w:ascii="Times New Roman" w:hAnsi="Times New Roman" w:cs="Times New Roman"/>
          <w:b/>
          <w:bCs/>
        </w:rPr>
        <w:t>NEXUS</w:t>
      </w:r>
      <w:r w:rsidRPr="00E57757">
        <w:rPr>
          <w:rFonts w:ascii="Times New Roman" w:hAnsi="Times New Roman" w:cs="Times New Roman"/>
        </w:rPr>
        <w:t xml:space="preserve">, un </w:t>
      </w:r>
      <w:r w:rsidRPr="00E57757">
        <w:rPr>
          <w:rFonts w:ascii="Times New Roman" w:hAnsi="Times New Roman" w:cs="Times New Roman"/>
          <w:b/>
          <w:bCs/>
        </w:rPr>
        <w:t>modelo matemático-computacional y prototipo de referencia</w:t>
      </w:r>
      <w:r w:rsidRPr="00E57757">
        <w:rPr>
          <w:rFonts w:ascii="Times New Roman" w:hAnsi="Times New Roman" w:cs="Times New Roman"/>
        </w:rPr>
        <w:t xml:space="preserve"> que asegura las firmas de una blockchain bancaria mediante el esquema post-cuántico </w:t>
      </w:r>
      <w:r w:rsidRPr="00E57757">
        <w:rPr>
          <w:rFonts w:ascii="Times New Roman" w:hAnsi="Times New Roman" w:cs="Times New Roman"/>
          <w:b/>
          <w:bCs/>
        </w:rPr>
        <w:t>CRYSTALS-Dilithium</w:t>
      </w:r>
      <w:r w:rsidRPr="00E57757">
        <w:rPr>
          <w:rFonts w:ascii="Times New Roman" w:hAnsi="Times New Roman" w:cs="Times New Roman"/>
        </w:rPr>
        <w:t xml:space="preserve"> sobre una </w:t>
      </w:r>
      <w:r w:rsidRPr="00E57757">
        <w:rPr>
          <w:rFonts w:ascii="Times New Roman" w:hAnsi="Times New Roman" w:cs="Times New Roman"/>
          <w:b/>
          <w:bCs/>
        </w:rPr>
        <w:t>arquitectura dual-chain</w:t>
      </w:r>
      <w:r w:rsidRPr="00E57757">
        <w:rPr>
          <w:rFonts w:ascii="Times New Roman" w:hAnsi="Times New Roman" w:cs="Times New Roman"/>
        </w:rPr>
        <w:t xml:space="preserve"> (capa de anclaje L1 + capa de ejecución L2). A lo largo </w:t>
      </w:r>
      <w:r w:rsidRPr="00E57757">
        <w:rPr>
          <w:rFonts w:ascii="Times New Roman" w:hAnsi="Times New Roman" w:cs="Times New Roman"/>
        </w:rPr>
        <w:t>del trabajo se construye: (i) la especificación de la arquitectura dual, (ii) la implementación verificada del núcleo de firma Dilithium, (iii) la gestión activa del ciclo de vida de claves, y (iv) la validación formal de su seguridad y complejidad.</w:t>
      </w:r>
    </w:p>
    <w:p w14:paraId="24D99B1A" w14:textId="77777777" w:rsidR="009A78C2" w:rsidRPr="00E57757" w:rsidRDefault="00527338" w:rsidP="00E57757">
      <w:pPr>
        <w:pStyle w:val="Ttulo1"/>
        <w:spacing w:before="0" w:after="0" w:line="360" w:lineRule="auto"/>
        <w:rPr>
          <w:rFonts w:ascii="Times New Roman" w:hAnsi="Times New Roman" w:cs="Times New Roman"/>
          <w:sz w:val="24"/>
        </w:rPr>
      </w:pPr>
      <w:bookmarkStart w:id="1" w:name="descripción-del-problema"/>
      <w:bookmarkEnd w:id="0"/>
      <w:r w:rsidRPr="00E57757">
        <w:rPr>
          <w:rFonts w:ascii="Times New Roman" w:hAnsi="Times New Roman" w:cs="Times New Roman"/>
          <w:sz w:val="24"/>
        </w:rPr>
        <w:t>DESCRIPCIÓN DEL PROBLEMA</w:t>
      </w:r>
    </w:p>
    <w:p w14:paraId="4B1FFBB4" w14:textId="77777777" w:rsidR="009A78C2" w:rsidRPr="00E57757" w:rsidRDefault="00527338" w:rsidP="00E57757">
      <w:pPr>
        <w:pStyle w:val="FirstParagraph"/>
        <w:spacing w:before="0" w:after="0" w:line="360" w:lineRule="auto"/>
        <w:rPr>
          <w:rFonts w:ascii="Times New Roman" w:hAnsi="Times New Roman" w:cs="Times New Roman"/>
        </w:rPr>
      </w:pPr>
      <w:r w:rsidRPr="00E57757">
        <w:rPr>
          <w:rFonts w:ascii="Times New Roman" w:hAnsi="Times New Roman" w:cs="Times New Roman"/>
        </w:rPr>
        <w:t xml:space="preserve">La amenaza cuántica concreta sobre una blockchain es la </w:t>
      </w:r>
      <w:r w:rsidRPr="00E57757">
        <w:rPr>
          <w:rFonts w:ascii="Times New Roman" w:hAnsi="Times New Roman" w:cs="Times New Roman"/>
          <w:b/>
          <w:bCs/>
        </w:rPr>
        <w:t>falsificación de firmas</w:t>
      </w:r>
      <w:r w:rsidRPr="00E57757">
        <w:rPr>
          <w:rFonts w:ascii="Times New Roman" w:hAnsi="Times New Roman" w:cs="Times New Roman"/>
        </w:rPr>
        <w:t xml:space="preserve">: al estar expuestas las claves públicas en cadena, un adversario cuántico puede recuperar la clave privada (Shor) y suplantar cuentas o robar fondos. Adoptar firmas post-cuánticas neutraliza esa amenaza, pero introduce un </w:t>
      </w:r>
      <w:r w:rsidRPr="00E57757">
        <w:rPr>
          <w:rFonts w:ascii="Times New Roman" w:hAnsi="Times New Roman" w:cs="Times New Roman"/>
          <w:b/>
          <w:bCs/>
        </w:rPr>
        <w:t>sobrecosto de datos</w:t>
      </w:r>
      <w:r w:rsidRPr="00E57757">
        <w:rPr>
          <w:rFonts w:ascii="Times New Roman" w:hAnsi="Times New Roman" w:cs="Times New Roman"/>
        </w:rPr>
        <w:t>: una firma Dilithium es ~50× mayor que una ECDSA (3 309 B frente a 64 B), lo que en una blockchain de cadena única degrada el rendimiento ~20× y reabre el trilema de la blockchain (escalabilidad, seguridad, descentralización). El problema central</w:t>
      </w:r>
      <w:r w:rsidRPr="00E57757">
        <w:rPr>
          <w:rFonts w:ascii="Times New Roman" w:hAnsi="Times New Roman" w:cs="Times New Roman"/>
        </w:rPr>
        <w:t xml:space="preserve"> que aborda este trabajo es, por tanto: </w:t>
      </w:r>
      <w:r w:rsidRPr="00E57757">
        <w:rPr>
          <w:rFonts w:ascii="Times New Roman" w:hAnsi="Times New Roman" w:cs="Times New Roman"/>
          <w:b/>
          <w:bCs/>
        </w:rPr>
        <w:t>¿cómo asegurar las firmas de una blockchain bancaria contra la amenaza cuántica sin sacrificar la escalabilidad?</w:t>
      </w:r>
    </w:p>
    <w:p w14:paraId="2507F844" w14:textId="77777777" w:rsidR="009A78C2" w:rsidRPr="00E57757" w:rsidRDefault="00527338" w:rsidP="00E57757">
      <w:pPr>
        <w:pStyle w:val="Ttulo1"/>
        <w:spacing w:before="0" w:after="0" w:line="360" w:lineRule="auto"/>
        <w:rPr>
          <w:rFonts w:ascii="Times New Roman" w:hAnsi="Times New Roman" w:cs="Times New Roman"/>
          <w:sz w:val="24"/>
        </w:rPr>
      </w:pPr>
      <w:bookmarkStart w:id="2" w:name="fundamentos-teóricos"/>
      <w:bookmarkEnd w:id="1"/>
      <w:r w:rsidRPr="00E57757">
        <w:rPr>
          <w:rFonts w:ascii="Times New Roman" w:hAnsi="Times New Roman" w:cs="Times New Roman"/>
          <w:sz w:val="24"/>
        </w:rPr>
        <w:t>FUNDAMENTOS TEÓRICOS</w:t>
      </w:r>
    </w:p>
    <w:p w14:paraId="3DCC144E" w14:textId="77777777" w:rsidR="009A78C2" w:rsidRPr="00E57757" w:rsidRDefault="00527338" w:rsidP="00E57757">
      <w:pPr>
        <w:pStyle w:val="FirstParagraph"/>
        <w:spacing w:before="0" w:after="0" w:line="360" w:lineRule="auto"/>
        <w:rPr>
          <w:rFonts w:ascii="Times New Roman" w:hAnsi="Times New Roman" w:cs="Times New Roman"/>
        </w:rPr>
      </w:pPr>
      <w:r w:rsidRPr="00E57757">
        <w:rPr>
          <w:rFonts w:ascii="Times New Roman" w:hAnsi="Times New Roman" w:cs="Times New Roman"/>
        </w:rPr>
        <w:t xml:space="preserve">El desarrollo metodológico se fundamenta en tres pilares. </w:t>
      </w:r>
      <w:r w:rsidRPr="00E57757">
        <w:rPr>
          <w:rFonts w:ascii="Times New Roman" w:hAnsi="Times New Roman" w:cs="Times New Roman"/>
          <w:b/>
          <w:bCs/>
        </w:rPr>
        <w:t>(1) Criptografía basada en retículos:</w:t>
      </w:r>
      <w:r w:rsidRPr="00E57757">
        <w:rPr>
          <w:rFonts w:ascii="Times New Roman" w:hAnsi="Times New Roman" w:cs="Times New Roman"/>
        </w:rPr>
        <w:t xml:space="preserve"> los problemas </w:t>
      </w:r>
      <w:r w:rsidRPr="00E57757">
        <w:rPr>
          <w:rFonts w:ascii="Times New Roman" w:hAnsi="Times New Roman" w:cs="Times New Roman"/>
          <w:i/>
          <w:iCs/>
        </w:rPr>
        <w:t>Module-LWE</w:t>
      </w:r>
      <w:r w:rsidRPr="00E57757">
        <w:rPr>
          <w:rFonts w:ascii="Times New Roman" w:hAnsi="Times New Roman" w:cs="Times New Roman"/>
        </w:rPr>
        <w:t xml:space="preserve"> y </w:t>
      </w:r>
      <w:r w:rsidRPr="00E57757">
        <w:rPr>
          <w:rFonts w:ascii="Times New Roman" w:hAnsi="Times New Roman" w:cs="Times New Roman"/>
          <w:i/>
          <w:iCs/>
        </w:rPr>
        <w:t>Module-SIS</w:t>
      </w:r>
      <w:r w:rsidRPr="00E57757">
        <w:rPr>
          <w:rFonts w:ascii="Times New Roman" w:hAnsi="Times New Roman" w:cs="Times New Roman"/>
        </w:rPr>
        <w:t xml:space="preserve"> sobre el anillo </w:t>
      </w:r>
      <m:oMath>
        <m:sSub>
          <m:sSubPr>
            <m:ctrlPr>
              <w:rPr>
                <w:rFonts w:ascii="Times New Roman" w:hAnsi="Times New Roman" w:cs="Times New Roman"/>
              </w:rPr>
            </m:ctrlPr>
          </m:sSubPr>
          <m:e>
            <m:r>
              <w:rPr>
                <w:rFonts w:ascii="Times New Roman" w:hAnsi="Times New Roman" w:cs="Times New Roman"/>
              </w:rPr>
              <m:t>R</m:t>
            </m:r>
          </m:e>
          <m:sub>
            <m:r>
              <w:rPr>
                <w:rFonts w:ascii="Times New Roman" w:hAnsi="Times New Roman" w:cs="Times New Roman"/>
              </w:rPr>
              <m:t>q</m:t>
            </m:r>
          </m:sub>
        </m:sSub>
        <m:r>
          <m:rPr>
            <m:sty m:val="p"/>
          </m:rPr>
          <w:rPr>
            <w:rFonts w:ascii="Times New Roman" w:hAnsi="Times New Roman" w:cs="Times New Roman"/>
          </w:rPr>
          <m:t>=</m:t>
        </m:r>
        <m:sSub>
          <m:sSubPr>
            <m:ctrlPr>
              <w:rPr>
                <w:rFonts w:ascii="Times New Roman" w:hAnsi="Times New Roman" w:cs="Times New Roman"/>
              </w:rPr>
            </m:ctrlPr>
          </m:sSubPr>
          <m:e>
            <m:r>
              <m:rPr>
                <m:scr m:val="double-struck"/>
                <m:sty m:val="p"/>
              </m:rPr>
              <w:rPr>
                <w:rFonts w:ascii="Times New Roman" w:hAnsi="Times New Roman" w:cs="Times New Roman"/>
              </w:rPr>
              <m:t>Z</m:t>
            </m:r>
          </m:e>
          <m:sub>
            <m:r>
              <w:rPr>
                <w:rFonts w:ascii="Times New Roman" w:hAnsi="Times New Roman" w:cs="Times New Roman"/>
              </w:rPr>
              <m:t>q</m:t>
            </m:r>
          </m:sub>
        </m:sSub>
        <m:r>
          <m:rPr>
            <m:sty m:val="p"/>
          </m:rPr>
          <w:rPr>
            <w:rFonts w:ascii="Times New Roman" w:hAnsi="Times New Roman" w:cs="Times New Roman"/>
          </w:rPr>
          <m:t>[</m:t>
        </m:r>
        <m:r>
          <w:rPr>
            <w:rFonts w:ascii="Times New Roman" w:hAnsi="Times New Roman" w:cs="Times New Roman"/>
          </w:rPr>
          <m:t>X</m:t>
        </m:r>
        <m:r>
          <m:rPr>
            <m:sty m:val="p"/>
          </m:rPr>
          <w:rPr>
            <w:rFonts w:ascii="Times New Roman" w:hAnsi="Times New Roman" w:cs="Times New Roman"/>
          </w:rPr>
          <m:t>]/(</m:t>
        </m:r>
        <m:sSup>
          <m:sSupPr>
            <m:ctrlPr>
              <w:rPr>
                <w:rFonts w:ascii="Times New Roman" w:hAnsi="Times New Roman" w:cs="Times New Roman"/>
              </w:rPr>
            </m:ctrlPr>
          </m:sSupPr>
          <m:e>
            <m:r>
              <w:rPr>
                <w:rFonts w:ascii="Times New Roman" w:hAnsi="Times New Roman" w:cs="Times New Roman"/>
              </w:rPr>
              <m:t>X</m:t>
            </m:r>
          </m:e>
          <m:sup>
            <m:r>
              <w:rPr>
                <w:rFonts w:ascii="Times New Roman" w:hAnsi="Times New Roman" w:cs="Times New Roman"/>
              </w:rPr>
              <m:t>n</m:t>
            </m:r>
          </m:sup>
        </m:sSup>
        <m:r>
          <m:rPr>
            <m:sty m:val="p"/>
          </m:rPr>
          <w:rPr>
            <w:rFonts w:ascii="Times New Roman" w:hAnsi="Times New Roman" w:cs="Times New Roman"/>
          </w:rPr>
          <m:t>+</m:t>
        </m:r>
        <m:r>
          <w:rPr>
            <w:rFonts w:ascii="Times New Roman" w:hAnsi="Times New Roman" w:cs="Times New Roman"/>
          </w:rPr>
          <m:t>1</m:t>
        </m:r>
        <m:r>
          <m:rPr>
            <m:sty m:val="p"/>
          </m:rPr>
          <w:rPr>
            <w:rFonts w:ascii="Times New Roman" w:hAnsi="Times New Roman" w:cs="Times New Roman"/>
          </w:rPr>
          <m:t>)</m:t>
        </m:r>
      </m:oMath>
      <w:r w:rsidRPr="00E57757">
        <w:rPr>
          <w:rFonts w:ascii="Times New Roman" w:hAnsi="Times New Roman" w:cs="Times New Roman"/>
        </w:rPr>
        <w:t xml:space="preserve"> sustentan el esquema de firma CRYSTALS-Dilithium (FIPS 204 / ML-DSA), cuya in-forjabilidad se reduce, vía reducciones de peor caso, a problemas reticulares (Mod-SIVP) que se conjeturan difíciles incluso para adversarios cuánticos (el algoritmo de Shor no se les aplica). </w:t>
      </w:r>
      <w:r w:rsidRPr="00E57757">
        <w:rPr>
          <w:rFonts w:ascii="Times New Roman" w:hAnsi="Times New Roman" w:cs="Times New Roman"/>
          <w:b/>
          <w:bCs/>
        </w:rPr>
        <w:t>(2) Gestión activa de claves:</w:t>
      </w:r>
      <w:r w:rsidRPr="00E57757">
        <w:rPr>
          <w:rFonts w:ascii="Times New Roman" w:hAnsi="Times New Roman" w:cs="Times New Roman"/>
        </w:rPr>
        <w:t xml:space="preserve"> la </w:t>
      </w:r>
      <w:r w:rsidRPr="00E57757">
        <w:rPr>
          <w:rFonts w:ascii="Times New Roman" w:hAnsi="Times New Roman" w:cs="Times New Roman"/>
          <w:i/>
          <w:iCs/>
        </w:rPr>
        <w:t>min-entropía</w:t>
      </w:r>
      <w:r w:rsidRPr="00E57757">
        <w:rPr>
          <w:rFonts w:ascii="Times New Roman" w:hAnsi="Times New Roman" w:cs="Times New Roman"/>
        </w:rPr>
        <w:t xml:space="preserve"> de la fuente de aleatoriedad y las pruebas de salud en línea de NIST SP 800-90B (RCT y APT), junto con la derivación por KDF y la rotación con secrecia hacia adelante. </w:t>
      </w:r>
      <w:r w:rsidRPr="00E57757">
        <w:rPr>
          <w:rFonts w:ascii="Times New Roman" w:hAnsi="Times New Roman" w:cs="Times New Roman"/>
          <w:b/>
          <w:bCs/>
        </w:rPr>
        <w:t>(3) Validación formal:</w:t>
      </w:r>
      <w:r w:rsidRPr="00E57757">
        <w:rPr>
          <w:rFonts w:ascii="Times New Roman" w:hAnsi="Times New Roman" w:cs="Times New Roman"/>
        </w:rPr>
        <w:t xml:space="preserve"> </w:t>
      </w:r>
      <w:r w:rsidRPr="00E57757">
        <w:rPr>
          <w:rFonts w:ascii="Times New Roman" w:hAnsi="Times New Roman" w:cs="Times New Roman"/>
        </w:rPr>
        <w:t xml:space="preserve">una metodología de </w:t>
      </w:r>
      <w:r w:rsidRPr="00E57757">
        <w:rPr>
          <w:rFonts w:ascii="Times New Roman" w:hAnsi="Times New Roman" w:cs="Times New Roman"/>
        </w:rPr>
        <w:lastRenderedPageBreak/>
        <w:t xml:space="preserve">reducción de seguridad y un análisis de complejidad computacional (notación O). El marco arquitectónico lo aporta la estructura dual-chain (rollups L1/L2) y la </w:t>
      </w:r>
      <w:r w:rsidRPr="00E57757">
        <w:rPr>
          <w:rFonts w:ascii="Times New Roman" w:hAnsi="Times New Roman" w:cs="Times New Roman"/>
          <w:b/>
          <w:bCs/>
        </w:rPr>
        <w:t>coherencia post-cuántica</w:t>
      </w:r>
      <w:r w:rsidRPr="00E57757">
        <w:rPr>
          <w:rFonts w:ascii="Times New Roman" w:hAnsi="Times New Roman" w:cs="Times New Roman"/>
        </w:rPr>
        <w:t xml:space="preserve"> de su sistema de pruebas (STARK, no esquemas basados en emparejamientos, que serían rotos por Shor).</w:t>
      </w:r>
    </w:p>
    <w:p w14:paraId="5933D8BD" w14:textId="77777777" w:rsidR="009A78C2" w:rsidRPr="00E57757" w:rsidRDefault="00527338" w:rsidP="00E57757">
      <w:pPr>
        <w:pStyle w:val="Ttulo1"/>
        <w:spacing w:before="0" w:after="0" w:line="360" w:lineRule="auto"/>
        <w:rPr>
          <w:rFonts w:ascii="Times New Roman" w:hAnsi="Times New Roman" w:cs="Times New Roman"/>
          <w:sz w:val="24"/>
        </w:rPr>
      </w:pPr>
      <w:bookmarkStart w:id="3" w:name="objetivos"/>
      <w:bookmarkEnd w:id="2"/>
      <w:r w:rsidRPr="00E57757">
        <w:rPr>
          <w:rFonts w:ascii="Times New Roman" w:hAnsi="Times New Roman" w:cs="Times New Roman"/>
          <w:sz w:val="24"/>
        </w:rPr>
        <w:t>OBJETIVOS</w:t>
      </w:r>
    </w:p>
    <w:p w14:paraId="350EB3C9" w14:textId="77777777" w:rsidR="009A78C2" w:rsidRPr="00E57757" w:rsidRDefault="00527338" w:rsidP="00E57757">
      <w:pPr>
        <w:pStyle w:val="Ttulo2"/>
        <w:spacing w:before="0" w:after="0" w:line="360" w:lineRule="auto"/>
        <w:rPr>
          <w:rFonts w:ascii="Times New Roman" w:hAnsi="Times New Roman" w:cs="Times New Roman"/>
          <w:sz w:val="24"/>
        </w:rPr>
      </w:pPr>
      <w:bookmarkStart w:id="4" w:name="objetivo-general"/>
      <w:r w:rsidRPr="00E57757">
        <w:rPr>
          <w:rFonts w:ascii="Times New Roman" w:hAnsi="Times New Roman" w:cs="Times New Roman"/>
          <w:sz w:val="24"/>
        </w:rPr>
        <w:t>Objetivo general</w:t>
      </w:r>
    </w:p>
    <w:p w14:paraId="1013F9CB" w14:textId="77777777" w:rsidR="009A78C2" w:rsidRPr="00E57757" w:rsidRDefault="00527338" w:rsidP="00E57757">
      <w:pPr>
        <w:pStyle w:val="FirstParagraph"/>
        <w:spacing w:before="0" w:after="0" w:line="360" w:lineRule="auto"/>
        <w:rPr>
          <w:rFonts w:ascii="Times New Roman" w:hAnsi="Times New Roman" w:cs="Times New Roman"/>
        </w:rPr>
      </w:pPr>
      <w:r w:rsidRPr="00E57757">
        <w:rPr>
          <w:rFonts w:ascii="Times New Roman" w:hAnsi="Times New Roman" w:cs="Times New Roman"/>
        </w:rPr>
        <w:t xml:space="preserve">Diseñar, modelar y </w:t>
      </w:r>
      <w:r w:rsidRPr="00E57757">
        <w:rPr>
          <w:rFonts w:ascii="Times New Roman" w:hAnsi="Times New Roman" w:cs="Times New Roman"/>
          <w:b/>
          <w:bCs/>
        </w:rPr>
        <w:t>validar formalmente</w:t>
      </w:r>
      <w:r w:rsidRPr="00E57757">
        <w:rPr>
          <w:rFonts w:ascii="Times New Roman" w:hAnsi="Times New Roman" w:cs="Times New Roman"/>
        </w:rPr>
        <w:t xml:space="preserve"> un modelo matemático-computacional de firmas digitales post-cuánticas (CRYSTALS-Dilithium) para una arquitectura blockchain dual orientada a sistemas bancarios resilientes, incorporando la gestión activa del ciclo de vida de claves y la prueba formal de su seguridad (reducción a Module-LWE) y de su complejidad computacional.</w:t>
      </w:r>
    </w:p>
    <w:p w14:paraId="69629711" w14:textId="77777777" w:rsidR="009A78C2" w:rsidRPr="00E57757" w:rsidRDefault="00527338" w:rsidP="00E57757">
      <w:pPr>
        <w:pStyle w:val="Ttulo2"/>
        <w:spacing w:before="0" w:after="0" w:line="360" w:lineRule="auto"/>
        <w:rPr>
          <w:rFonts w:ascii="Times New Roman" w:hAnsi="Times New Roman" w:cs="Times New Roman"/>
          <w:sz w:val="24"/>
        </w:rPr>
      </w:pPr>
      <w:bookmarkStart w:id="5" w:name="objetivos-específicos"/>
      <w:bookmarkEnd w:id="4"/>
      <w:r w:rsidRPr="00E57757">
        <w:rPr>
          <w:rFonts w:ascii="Times New Roman" w:hAnsi="Times New Roman" w:cs="Times New Roman"/>
          <w:sz w:val="24"/>
        </w:rPr>
        <w:t>Objetivos específicos</w:t>
      </w:r>
    </w:p>
    <w:p w14:paraId="064A5B78" w14:textId="77777777" w:rsidR="009A78C2" w:rsidRPr="00E57757" w:rsidRDefault="00527338" w:rsidP="00E57757">
      <w:pPr>
        <w:pStyle w:val="Compact"/>
        <w:numPr>
          <w:ilvl w:val="0"/>
          <w:numId w:val="2"/>
        </w:numPr>
        <w:spacing w:before="0" w:after="0" w:line="360" w:lineRule="auto"/>
        <w:rPr>
          <w:rFonts w:ascii="Times New Roman" w:hAnsi="Times New Roman" w:cs="Times New Roman"/>
        </w:rPr>
      </w:pPr>
      <w:r w:rsidRPr="00E57757">
        <w:rPr>
          <w:rFonts w:ascii="Times New Roman" w:hAnsi="Times New Roman" w:cs="Times New Roman"/>
          <w:b/>
          <w:bCs/>
        </w:rPr>
        <w:t>Diseñar la arquitectura del sistema Dual-Chain</w:t>
      </w:r>
      <w:r w:rsidRPr="00E57757">
        <w:rPr>
          <w:rFonts w:ascii="Times New Roman" w:hAnsi="Times New Roman" w:cs="Times New Roman"/>
        </w:rPr>
        <w:t xml:space="preserve"> como modelo de referencia, especificando los roles funcionales de la Anchor Layer (L1) y la Active Layer (L2), el camino de la firma post-cuántica y los componentes clave (Nexus Sequencer, Nitro Verifier).</w:t>
      </w:r>
    </w:p>
    <w:p w14:paraId="6DA3BA78" w14:textId="77777777" w:rsidR="009A78C2" w:rsidRPr="00E57757" w:rsidRDefault="00527338" w:rsidP="00E57757">
      <w:pPr>
        <w:pStyle w:val="Compact"/>
        <w:numPr>
          <w:ilvl w:val="0"/>
          <w:numId w:val="2"/>
        </w:numPr>
        <w:spacing w:before="0" w:after="0" w:line="360" w:lineRule="auto"/>
        <w:rPr>
          <w:rFonts w:ascii="Times New Roman" w:hAnsi="Times New Roman" w:cs="Times New Roman"/>
        </w:rPr>
      </w:pPr>
      <w:r w:rsidRPr="00E57757">
        <w:rPr>
          <w:rFonts w:ascii="Times New Roman" w:hAnsi="Times New Roman" w:cs="Times New Roman"/>
          <w:b/>
          <w:bCs/>
        </w:rPr>
        <w:t>Desarrollar e implementar el núcleo matemático y criptográfico</w:t>
      </w:r>
      <w:r w:rsidRPr="00E57757">
        <w:rPr>
          <w:rFonts w:ascii="Times New Roman" w:hAnsi="Times New Roman" w:cs="Times New Roman"/>
        </w:rPr>
        <w:t>, formalizando e implementando de forma verificada el esquema de firma PQC CRYSTALS-Dilithium y la derivación determinística de claves a partir de una semilla mediante un KDF.</w:t>
      </w:r>
    </w:p>
    <w:p w14:paraId="3D35906B" w14:textId="77777777" w:rsidR="009A78C2" w:rsidRPr="00E57757" w:rsidRDefault="00527338" w:rsidP="00E57757">
      <w:pPr>
        <w:pStyle w:val="Compact"/>
        <w:numPr>
          <w:ilvl w:val="0"/>
          <w:numId w:val="2"/>
        </w:numPr>
        <w:spacing w:before="0" w:after="0" w:line="360" w:lineRule="auto"/>
        <w:rPr>
          <w:rFonts w:ascii="Times New Roman" w:hAnsi="Times New Roman" w:cs="Times New Roman"/>
        </w:rPr>
      </w:pPr>
      <w:r w:rsidRPr="00E57757">
        <w:rPr>
          <w:rFonts w:ascii="Times New Roman" w:hAnsi="Times New Roman" w:cs="Times New Roman"/>
          <w:b/>
          <w:bCs/>
        </w:rPr>
        <w:t>Modelar e implementar la lógica de seguridad activa</w:t>
      </w:r>
      <w:r w:rsidRPr="00E57757">
        <w:rPr>
          <w:rFonts w:ascii="Times New Roman" w:hAnsi="Times New Roman" w:cs="Times New Roman"/>
        </w:rPr>
        <w:t xml:space="preserve"> del ciclo de vida de claves: monitoreo de la fuente de entropía basado en min-entropía y pruebas de salud en línea (NIST SP 800-90B), y rotación de claves con secrecia hacia adelante.</w:t>
      </w:r>
    </w:p>
    <w:p w14:paraId="4AF23868" w14:textId="77777777" w:rsidR="009A78C2" w:rsidRPr="00E57757" w:rsidRDefault="00527338" w:rsidP="00E57757">
      <w:pPr>
        <w:pStyle w:val="Compact"/>
        <w:numPr>
          <w:ilvl w:val="0"/>
          <w:numId w:val="2"/>
        </w:numPr>
        <w:spacing w:before="0" w:after="0" w:line="360" w:lineRule="auto"/>
        <w:rPr>
          <w:rFonts w:ascii="Times New Roman" w:hAnsi="Times New Roman" w:cs="Times New Roman"/>
        </w:rPr>
      </w:pPr>
      <w:r w:rsidRPr="00E57757">
        <w:rPr>
          <w:rFonts w:ascii="Times New Roman" w:hAnsi="Times New Roman" w:cs="Times New Roman"/>
          <w:b/>
          <w:bCs/>
        </w:rPr>
        <w:t>Formalizar y validar la seguridad y la complejidad</w:t>
      </w:r>
      <w:r w:rsidRPr="00E57757">
        <w:rPr>
          <w:rFonts w:ascii="Times New Roman" w:hAnsi="Times New Roman" w:cs="Times New Roman"/>
        </w:rPr>
        <w:t>: reducción de la in-forjabilidad de Dilithium a Module-LWE, SelfTargetMSIS y Module-SIS (y de éstos a Mod-SIVP de peor caso), con el argumento de no aplicabilidad del algoritmo de Shor; y análisis de complejidad computacional (notación O) de la verificación de firmas.</w:t>
      </w:r>
    </w:p>
    <w:p w14:paraId="496AB7F6" w14:textId="77777777" w:rsidR="009A78C2" w:rsidRPr="00E57757" w:rsidRDefault="00527338" w:rsidP="00E57757">
      <w:pPr>
        <w:pStyle w:val="FirstParagraph"/>
        <w:spacing w:before="0" w:after="0" w:line="360" w:lineRule="auto"/>
        <w:rPr>
          <w:rFonts w:ascii="Times New Roman" w:hAnsi="Times New Roman" w:cs="Times New Roman"/>
        </w:rPr>
      </w:pPr>
      <w:r w:rsidRPr="00E57757">
        <w:rPr>
          <w:rFonts w:ascii="Times New Roman" w:hAnsi="Times New Roman" w:cs="Times New Roman"/>
          <w:i/>
          <w:iCs/>
        </w:rPr>
        <w:t>Nota: los objetivos específicos se ajustaron respecto de la propuesta inicial (se eliminó la autenticación biométrica y se reformuló el monitoreo de entropía sobre min-entropía y NIST SP 800-90B); la justificación se presenta en el formato de modificación de objetivos.</w:t>
      </w:r>
    </w:p>
    <w:p w14:paraId="1E202B77" w14:textId="77777777" w:rsidR="009A78C2" w:rsidRPr="00E57757" w:rsidRDefault="00527338" w:rsidP="00E57757">
      <w:pPr>
        <w:pStyle w:val="Ttulo1"/>
        <w:spacing w:before="0" w:after="0" w:line="360" w:lineRule="auto"/>
        <w:rPr>
          <w:rFonts w:ascii="Times New Roman" w:hAnsi="Times New Roman" w:cs="Times New Roman"/>
          <w:sz w:val="24"/>
        </w:rPr>
      </w:pPr>
      <w:bookmarkStart w:id="6" w:name="cronograma-de-actividades"/>
      <w:bookmarkEnd w:id="3"/>
      <w:bookmarkEnd w:id="5"/>
      <w:r w:rsidRPr="00E57757">
        <w:rPr>
          <w:rFonts w:ascii="Times New Roman" w:hAnsi="Times New Roman" w:cs="Times New Roman"/>
          <w:sz w:val="24"/>
        </w:rPr>
        <w:lastRenderedPageBreak/>
        <w:t>CRONOGRAMA DE ACTIVIDADES</w:t>
      </w:r>
    </w:p>
    <w:p w14:paraId="53303890" w14:textId="77777777" w:rsidR="009A78C2" w:rsidRPr="00E57757" w:rsidRDefault="00527338" w:rsidP="00E57757">
      <w:pPr>
        <w:pStyle w:val="FirstParagraph"/>
        <w:spacing w:before="0" w:after="0" w:line="360" w:lineRule="auto"/>
        <w:rPr>
          <w:rFonts w:ascii="Times New Roman" w:hAnsi="Times New Roman" w:cs="Times New Roman"/>
        </w:rPr>
      </w:pPr>
      <w:r w:rsidRPr="00E57757">
        <w:rPr>
          <w:rFonts w:ascii="Times New Roman" w:hAnsi="Times New Roman" w:cs="Times New Roman"/>
          <w:b/>
          <w:bCs/>
        </w:rPr>
        <w:t>Trabajo de grado 1: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527"/>
        <w:gridCol w:w="4527"/>
      </w:tblGrid>
      <w:tr w:rsidR="009A78C2" w:rsidRPr="00E57757" w14:paraId="3164E7E9" w14:textId="77777777" w:rsidTr="009A78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7BF6DF53" w14:textId="77777777" w:rsidR="009A78C2" w:rsidRPr="00E57757" w:rsidRDefault="00527338" w:rsidP="00E57757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</w:rPr>
            </w:pPr>
            <w:r w:rsidRPr="00E57757">
              <w:rPr>
                <w:rFonts w:ascii="Times New Roman" w:hAnsi="Times New Roman" w:cs="Times New Roman"/>
                <w:b/>
                <w:bCs/>
              </w:rPr>
              <w:t>Objetivos específicos</w:t>
            </w:r>
          </w:p>
        </w:tc>
        <w:tc>
          <w:tcPr>
            <w:tcW w:w="3960" w:type="dxa"/>
          </w:tcPr>
          <w:p w14:paraId="48E26C63" w14:textId="77777777" w:rsidR="009A78C2" w:rsidRPr="00E57757" w:rsidRDefault="00527338" w:rsidP="00E57757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</w:rPr>
            </w:pPr>
            <w:r w:rsidRPr="00E57757">
              <w:rPr>
                <w:rFonts w:ascii="Times New Roman" w:hAnsi="Times New Roman" w:cs="Times New Roman"/>
                <w:b/>
                <w:bCs/>
              </w:rPr>
              <w:t>Actividad</w:t>
            </w:r>
          </w:p>
        </w:tc>
      </w:tr>
      <w:tr w:rsidR="009A78C2" w:rsidRPr="00E57757" w14:paraId="7CA87C14" w14:textId="77777777">
        <w:tc>
          <w:tcPr>
            <w:tcW w:w="3960" w:type="dxa"/>
          </w:tcPr>
          <w:p w14:paraId="0721963D" w14:textId="77777777" w:rsidR="009A78C2" w:rsidRPr="00E57757" w:rsidRDefault="00527338" w:rsidP="00E57757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</w:rPr>
            </w:pPr>
            <w:r w:rsidRPr="00E57757">
              <w:rPr>
                <w:rFonts w:ascii="Times New Roman" w:hAnsi="Times New Roman" w:cs="Times New Roman"/>
              </w:rPr>
              <w:t>Objetivo 1: Diseñar la arquitectura Dual-Chain.</w:t>
            </w:r>
          </w:p>
        </w:tc>
        <w:tc>
          <w:tcPr>
            <w:tcW w:w="3960" w:type="dxa"/>
          </w:tcPr>
          <w:p w14:paraId="2E8D454E" w14:textId="77777777" w:rsidR="009A78C2" w:rsidRPr="00E57757" w:rsidRDefault="00527338" w:rsidP="00E57757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</w:rPr>
            </w:pPr>
            <w:r w:rsidRPr="00E57757">
              <w:rPr>
                <w:rFonts w:ascii="Times New Roman" w:hAnsi="Times New Roman" w:cs="Times New Roman"/>
              </w:rPr>
              <w:t xml:space="preserve">1.1 Revisión del estado del arte (blockchains post-cuánticos y </w:t>
            </w:r>
            <w:r w:rsidRPr="00E57757">
              <w:rPr>
                <w:rFonts w:ascii="Times New Roman" w:hAnsi="Times New Roman" w:cs="Times New Roman"/>
                <w:i/>
                <w:iCs/>
              </w:rPr>
              <w:t>rollups</w:t>
            </w:r>
            <w:r w:rsidRPr="00E57757">
              <w:rPr>
                <w:rFonts w:ascii="Times New Roman" w:hAnsi="Times New Roman" w:cs="Times New Roman"/>
              </w:rPr>
              <w:t>) y justificación de la arquitectura dual.</w:t>
            </w:r>
          </w:p>
        </w:tc>
      </w:tr>
      <w:tr w:rsidR="009A78C2" w:rsidRPr="00E57757" w14:paraId="28174734" w14:textId="77777777">
        <w:tc>
          <w:tcPr>
            <w:tcW w:w="3960" w:type="dxa"/>
          </w:tcPr>
          <w:p w14:paraId="66ACF4B0" w14:textId="77777777" w:rsidR="009A78C2" w:rsidRPr="00E57757" w:rsidRDefault="009A78C2" w:rsidP="00E57757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960" w:type="dxa"/>
          </w:tcPr>
          <w:p w14:paraId="1433F3A9" w14:textId="77777777" w:rsidR="009A78C2" w:rsidRPr="00E57757" w:rsidRDefault="00527338" w:rsidP="00E57757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</w:rPr>
            </w:pPr>
            <w:r w:rsidRPr="00E57757">
              <w:rPr>
                <w:rFonts w:ascii="Times New Roman" w:hAnsi="Times New Roman" w:cs="Times New Roman"/>
              </w:rPr>
              <w:t>1.2 Especificación del modelo de capas (L1/L2) y del camino de verificación de la firma PQC.</w:t>
            </w:r>
          </w:p>
        </w:tc>
      </w:tr>
      <w:tr w:rsidR="009A78C2" w:rsidRPr="00E57757" w14:paraId="50BD16E9" w14:textId="77777777">
        <w:tc>
          <w:tcPr>
            <w:tcW w:w="3960" w:type="dxa"/>
          </w:tcPr>
          <w:p w14:paraId="20136132" w14:textId="77777777" w:rsidR="009A78C2" w:rsidRPr="00E57757" w:rsidRDefault="00527338" w:rsidP="00E57757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</w:rPr>
            </w:pPr>
            <w:r w:rsidRPr="00E57757">
              <w:rPr>
                <w:rFonts w:ascii="Times New Roman" w:hAnsi="Times New Roman" w:cs="Times New Roman"/>
              </w:rPr>
              <w:t>Objetivo 2: Desarrollar el núcleo matemático y criptográfico.</w:t>
            </w:r>
          </w:p>
        </w:tc>
        <w:tc>
          <w:tcPr>
            <w:tcW w:w="3960" w:type="dxa"/>
          </w:tcPr>
          <w:p w14:paraId="228483B2" w14:textId="77777777" w:rsidR="009A78C2" w:rsidRPr="00E57757" w:rsidRDefault="00527338" w:rsidP="00E57757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</w:rPr>
            </w:pPr>
            <w:r w:rsidRPr="00E57757">
              <w:rPr>
                <w:rFonts w:ascii="Times New Roman" w:hAnsi="Times New Roman" w:cs="Times New Roman"/>
              </w:rPr>
              <w:t>2.1 Formalización de retículos, Module-LWE y del esquema de firma (Dilithium).</w:t>
            </w:r>
          </w:p>
        </w:tc>
      </w:tr>
      <w:tr w:rsidR="009A78C2" w:rsidRPr="00E57757" w14:paraId="64030547" w14:textId="77777777">
        <w:tc>
          <w:tcPr>
            <w:tcW w:w="3960" w:type="dxa"/>
          </w:tcPr>
          <w:p w14:paraId="0124BAEC" w14:textId="77777777" w:rsidR="009A78C2" w:rsidRPr="00E57757" w:rsidRDefault="009A78C2" w:rsidP="00E57757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960" w:type="dxa"/>
          </w:tcPr>
          <w:p w14:paraId="79238DC7" w14:textId="77777777" w:rsidR="009A78C2" w:rsidRPr="00E57757" w:rsidRDefault="00527338" w:rsidP="00E57757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</w:rPr>
            </w:pPr>
            <w:r w:rsidRPr="00E57757">
              <w:rPr>
                <w:rFonts w:ascii="Times New Roman" w:hAnsi="Times New Roman" w:cs="Times New Roman"/>
              </w:rPr>
              <w:t>2.2 Implementación verificada de firma/verificación con enlace a la transacción y derivación determinística semilla → clave por KDF.</w:t>
            </w:r>
          </w:p>
        </w:tc>
      </w:tr>
    </w:tbl>
    <w:p w14:paraId="62EE4F14" w14:textId="77777777" w:rsidR="009A78C2" w:rsidRPr="00E57757" w:rsidRDefault="00527338" w:rsidP="00E57757">
      <w:pPr>
        <w:pStyle w:val="Textoindependiente"/>
        <w:spacing w:before="0" w:after="0" w:line="360" w:lineRule="auto"/>
        <w:rPr>
          <w:rFonts w:ascii="Times New Roman" w:hAnsi="Times New Roman" w:cs="Times New Roman"/>
        </w:rPr>
      </w:pPr>
      <w:r w:rsidRPr="00E57757">
        <w:rPr>
          <w:rFonts w:ascii="Times New Roman" w:hAnsi="Times New Roman" w:cs="Times New Roman"/>
          <w:b/>
          <w:bCs/>
        </w:rPr>
        <w:t>Trabajo de grado 2: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527"/>
        <w:gridCol w:w="4527"/>
      </w:tblGrid>
      <w:tr w:rsidR="009A78C2" w:rsidRPr="00E57757" w14:paraId="6D93360E" w14:textId="77777777" w:rsidTr="009A78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6B5CADBF" w14:textId="77777777" w:rsidR="009A78C2" w:rsidRPr="00E57757" w:rsidRDefault="00527338" w:rsidP="00E57757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</w:rPr>
            </w:pPr>
            <w:r w:rsidRPr="00E57757">
              <w:rPr>
                <w:rFonts w:ascii="Times New Roman" w:hAnsi="Times New Roman" w:cs="Times New Roman"/>
                <w:b/>
                <w:bCs/>
              </w:rPr>
              <w:t>Objetivos específicos</w:t>
            </w:r>
          </w:p>
        </w:tc>
        <w:tc>
          <w:tcPr>
            <w:tcW w:w="3960" w:type="dxa"/>
          </w:tcPr>
          <w:p w14:paraId="5D825F69" w14:textId="77777777" w:rsidR="009A78C2" w:rsidRPr="00E57757" w:rsidRDefault="00527338" w:rsidP="00E57757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</w:rPr>
            </w:pPr>
            <w:r w:rsidRPr="00E57757">
              <w:rPr>
                <w:rFonts w:ascii="Times New Roman" w:hAnsi="Times New Roman" w:cs="Times New Roman"/>
                <w:b/>
                <w:bCs/>
              </w:rPr>
              <w:t>Actividad</w:t>
            </w:r>
          </w:p>
        </w:tc>
      </w:tr>
      <w:tr w:rsidR="009A78C2" w:rsidRPr="00E57757" w14:paraId="4CF4E6F0" w14:textId="77777777">
        <w:tc>
          <w:tcPr>
            <w:tcW w:w="3960" w:type="dxa"/>
          </w:tcPr>
          <w:p w14:paraId="438D9B0A" w14:textId="77777777" w:rsidR="009A78C2" w:rsidRPr="00E57757" w:rsidRDefault="00527338" w:rsidP="00E57757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</w:rPr>
            </w:pPr>
            <w:r w:rsidRPr="00E57757">
              <w:rPr>
                <w:rFonts w:ascii="Times New Roman" w:hAnsi="Times New Roman" w:cs="Times New Roman"/>
              </w:rPr>
              <w:t>Objetivo 3: Modelar la lógica de seguridad activa.</w:t>
            </w:r>
          </w:p>
        </w:tc>
        <w:tc>
          <w:tcPr>
            <w:tcW w:w="3960" w:type="dxa"/>
          </w:tcPr>
          <w:p w14:paraId="2A81B476" w14:textId="77777777" w:rsidR="009A78C2" w:rsidRPr="00E57757" w:rsidRDefault="00527338" w:rsidP="00E57757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</w:rPr>
            </w:pPr>
            <w:r w:rsidRPr="00E57757">
              <w:rPr>
                <w:rFonts w:ascii="Times New Roman" w:hAnsi="Times New Roman" w:cs="Times New Roman"/>
              </w:rPr>
              <w:t>3.1 Modelo de la fuente de entropía: min-entropía y pruebas de salud en línea (RCT/APT, NIST SP 800-90B).</w:t>
            </w:r>
          </w:p>
        </w:tc>
      </w:tr>
      <w:tr w:rsidR="009A78C2" w:rsidRPr="00E57757" w14:paraId="471E2386" w14:textId="77777777">
        <w:tc>
          <w:tcPr>
            <w:tcW w:w="3960" w:type="dxa"/>
          </w:tcPr>
          <w:p w14:paraId="6A4C5762" w14:textId="77777777" w:rsidR="009A78C2" w:rsidRPr="00E57757" w:rsidRDefault="009A78C2" w:rsidP="00E57757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960" w:type="dxa"/>
          </w:tcPr>
          <w:p w14:paraId="0DC12E69" w14:textId="77777777" w:rsidR="009A78C2" w:rsidRPr="00E57757" w:rsidRDefault="00527338" w:rsidP="00E57757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</w:rPr>
            </w:pPr>
            <w:r w:rsidRPr="00E57757">
              <w:rPr>
                <w:rFonts w:ascii="Times New Roman" w:hAnsi="Times New Roman" w:cs="Times New Roman"/>
              </w:rPr>
              <w:t>3.2 Algoritmo de rotación con secrecia hacia adelante por política y registro auditable.</w:t>
            </w:r>
          </w:p>
        </w:tc>
      </w:tr>
      <w:tr w:rsidR="009A78C2" w:rsidRPr="00E57757" w14:paraId="60DC6A07" w14:textId="77777777">
        <w:tc>
          <w:tcPr>
            <w:tcW w:w="3960" w:type="dxa"/>
          </w:tcPr>
          <w:p w14:paraId="6A459A0D" w14:textId="77777777" w:rsidR="009A78C2" w:rsidRPr="00E57757" w:rsidRDefault="00527338" w:rsidP="00E57757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</w:rPr>
            </w:pPr>
            <w:r w:rsidRPr="00E57757">
              <w:rPr>
                <w:rFonts w:ascii="Times New Roman" w:hAnsi="Times New Roman" w:cs="Times New Roman"/>
              </w:rPr>
              <w:t>Objetivo 4: Formalizar y validar la seguridad.</w:t>
            </w:r>
          </w:p>
        </w:tc>
        <w:tc>
          <w:tcPr>
            <w:tcW w:w="3960" w:type="dxa"/>
          </w:tcPr>
          <w:p w14:paraId="0B33E4C7" w14:textId="77777777" w:rsidR="009A78C2" w:rsidRPr="00E57757" w:rsidRDefault="00527338" w:rsidP="00E57757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</w:rPr>
            </w:pPr>
            <w:r w:rsidRPr="00E57757">
              <w:rPr>
                <w:rFonts w:ascii="Times New Roman" w:hAnsi="Times New Roman" w:cs="Times New Roman"/>
              </w:rPr>
              <w:t>4.1 Desarrollo de la cadena de reducciones (in-forjabilidad → Module-LWE / SelfTargetMSIS / Module-SIS → Mod-SIVP).</w:t>
            </w:r>
          </w:p>
        </w:tc>
      </w:tr>
      <w:tr w:rsidR="009A78C2" w:rsidRPr="00E57757" w14:paraId="65ABE073" w14:textId="77777777">
        <w:tc>
          <w:tcPr>
            <w:tcW w:w="3960" w:type="dxa"/>
          </w:tcPr>
          <w:p w14:paraId="02DC702E" w14:textId="77777777" w:rsidR="009A78C2" w:rsidRPr="00E57757" w:rsidRDefault="009A78C2" w:rsidP="00E57757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960" w:type="dxa"/>
          </w:tcPr>
          <w:p w14:paraId="5DC83BD2" w14:textId="77777777" w:rsidR="009A78C2" w:rsidRPr="00E57757" w:rsidRDefault="00527338" w:rsidP="00E57757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</w:rPr>
            </w:pPr>
            <w:r w:rsidRPr="00E57757">
              <w:rPr>
                <w:rFonts w:ascii="Times New Roman" w:hAnsi="Times New Roman" w:cs="Times New Roman"/>
              </w:rPr>
              <w:t>4.2 Análisis de complejidad computacional y validación empírica (</w:t>
            </w:r>
            <w:r w:rsidRPr="00E57757">
              <w:rPr>
                <w:rFonts w:ascii="Times New Roman" w:hAnsi="Times New Roman" w:cs="Times New Roman"/>
                <w:i/>
                <w:iCs/>
              </w:rPr>
              <w:t>benchmarks</w:t>
            </w:r>
            <w:r w:rsidRPr="00E57757">
              <w:rPr>
                <w:rFonts w:ascii="Times New Roman" w:hAnsi="Times New Roman" w:cs="Times New Roman"/>
              </w:rPr>
              <w:t>).</w:t>
            </w:r>
          </w:p>
        </w:tc>
      </w:tr>
    </w:tbl>
    <w:p w14:paraId="0DCE819C" w14:textId="77777777" w:rsidR="009A78C2" w:rsidRPr="00E57757" w:rsidRDefault="00527338" w:rsidP="00E57757">
      <w:pPr>
        <w:pStyle w:val="Ttulo1"/>
        <w:spacing w:before="0" w:after="0" w:line="360" w:lineRule="auto"/>
        <w:rPr>
          <w:rFonts w:ascii="Times New Roman" w:hAnsi="Times New Roman" w:cs="Times New Roman"/>
          <w:sz w:val="24"/>
        </w:rPr>
      </w:pPr>
      <w:bookmarkStart w:id="7" w:name="presupuesto"/>
      <w:bookmarkEnd w:id="6"/>
      <w:r w:rsidRPr="00E57757">
        <w:rPr>
          <w:rFonts w:ascii="Times New Roman" w:hAnsi="Times New Roman" w:cs="Times New Roman"/>
          <w:sz w:val="24"/>
        </w:rPr>
        <w:t>PRESUPUESTO</w:t>
      </w:r>
    </w:p>
    <w:p w14:paraId="464EEB61" w14:textId="77777777" w:rsidR="009A78C2" w:rsidRPr="00E57757" w:rsidRDefault="00527338" w:rsidP="00E57757">
      <w:pPr>
        <w:pStyle w:val="FirstParagraph"/>
        <w:spacing w:before="0" w:after="0" w:line="360" w:lineRule="auto"/>
        <w:rPr>
          <w:rFonts w:ascii="Times New Roman" w:hAnsi="Times New Roman" w:cs="Times New Roman"/>
        </w:rPr>
      </w:pPr>
      <w:r w:rsidRPr="00E57757">
        <w:rPr>
          <w:rFonts w:ascii="Times New Roman" w:hAnsi="Times New Roman" w:cs="Times New Roman"/>
        </w:rPr>
        <w:t xml:space="preserve">El trabajo es de naturaleza teórico-computacional y </w:t>
      </w:r>
      <w:r w:rsidRPr="00E57757">
        <w:rPr>
          <w:rFonts w:ascii="Times New Roman" w:hAnsi="Times New Roman" w:cs="Times New Roman"/>
          <w:b/>
          <w:bCs/>
        </w:rPr>
        <w:t>no requiere recursos especiales ni presupuesto adicional</w:t>
      </w:r>
      <w:r w:rsidRPr="00E57757">
        <w:rPr>
          <w:rFonts w:ascii="Times New Roman" w:hAnsi="Times New Roman" w:cs="Times New Roman"/>
        </w:rPr>
        <w:t>. Los recursos necesarios son: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18"/>
        <w:gridCol w:w="3018"/>
        <w:gridCol w:w="3018"/>
      </w:tblGrid>
      <w:tr w:rsidR="009A78C2" w:rsidRPr="00E57757" w14:paraId="132CB150" w14:textId="77777777" w:rsidTr="009A78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5CA8BA6F" w14:textId="77777777" w:rsidR="009A78C2" w:rsidRPr="00E57757" w:rsidRDefault="00527338" w:rsidP="00E57757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</w:rPr>
            </w:pPr>
            <w:r w:rsidRPr="00E57757">
              <w:rPr>
                <w:rFonts w:ascii="Times New Roman" w:hAnsi="Times New Roman" w:cs="Times New Roman"/>
                <w:b/>
                <w:bCs/>
              </w:rPr>
              <w:lastRenderedPageBreak/>
              <w:t>Recurso</w:t>
            </w:r>
          </w:p>
        </w:tc>
        <w:tc>
          <w:tcPr>
            <w:tcW w:w="2640" w:type="dxa"/>
          </w:tcPr>
          <w:p w14:paraId="50051821" w14:textId="77777777" w:rsidR="009A78C2" w:rsidRPr="00E57757" w:rsidRDefault="00527338" w:rsidP="00E57757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</w:rPr>
            </w:pPr>
            <w:r w:rsidRPr="00E57757">
              <w:rPr>
                <w:rFonts w:ascii="Times New Roman" w:hAnsi="Times New Roman" w:cs="Times New Roman"/>
                <w:b/>
                <w:bCs/>
              </w:rPr>
              <w:t>Descripción</w:t>
            </w:r>
          </w:p>
        </w:tc>
        <w:tc>
          <w:tcPr>
            <w:tcW w:w="2640" w:type="dxa"/>
          </w:tcPr>
          <w:p w14:paraId="6E7B81BA" w14:textId="77777777" w:rsidR="009A78C2" w:rsidRPr="00E57757" w:rsidRDefault="00527338" w:rsidP="00E57757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</w:rPr>
            </w:pPr>
            <w:r w:rsidRPr="00E57757">
              <w:rPr>
                <w:rFonts w:ascii="Times New Roman" w:hAnsi="Times New Roman" w:cs="Times New Roman"/>
                <w:b/>
                <w:bCs/>
              </w:rPr>
              <w:t>Costo</w:t>
            </w:r>
          </w:p>
        </w:tc>
      </w:tr>
      <w:tr w:rsidR="009A78C2" w:rsidRPr="00E57757" w14:paraId="6405FF4B" w14:textId="77777777">
        <w:tc>
          <w:tcPr>
            <w:tcW w:w="2640" w:type="dxa"/>
          </w:tcPr>
          <w:p w14:paraId="349AFD8A" w14:textId="77777777" w:rsidR="009A78C2" w:rsidRPr="00E57757" w:rsidRDefault="00527338" w:rsidP="00E57757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</w:rPr>
            </w:pPr>
            <w:r w:rsidRPr="00E57757">
              <w:rPr>
                <w:rFonts w:ascii="Times New Roman" w:hAnsi="Times New Roman" w:cs="Times New Roman"/>
              </w:rPr>
              <w:t>Equipo de cómputo</w:t>
            </w:r>
          </w:p>
        </w:tc>
        <w:tc>
          <w:tcPr>
            <w:tcW w:w="2640" w:type="dxa"/>
          </w:tcPr>
          <w:p w14:paraId="38FD68CE" w14:textId="77777777" w:rsidR="009A78C2" w:rsidRPr="00E57757" w:rsidRDefault="00527338" w:rsidP="00E57757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</w:rPr>
            </w:pPr>
            <w:r w:rsidRPr="00E57757">
              <w:rPr>
                <w:rFonts w:ascii="Times New Roman" w:hAnsi="Times New Roman" w:cs="Times New Roman"/>
              </w:rPr>
              <w:t xml:space="preserve">Computador personal para desarrollo, pruebas y </w:t>
            </w:r>
            <w:r w:rsidRPr="00E57757">
              <w:rPr>
                <w:rFonts w:ascii="Times New Roman" w:hAnsi="Times New Roman" w:cs="Times New Roman"/>
                <w:i/>
                <w:iCs/>
              </w:rPr>
              <w:t>benchmarks</w:t>
            </w:r>
            <w:r w:rsidRPr="00E57757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640" w:type="dxa"/>
          </w:tcPr>
          <w:p w14:paraId="6CAA8039" w14:textId="77777777" w:rsidR="009A78C2" w:rsidRPr="00E57757" w:rsidRDefault="00527338" w:rsidP="00E57757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</w:rPr>
            </w:pPr>
            <w:r w:rsidRPr="00E57757">
              <w:rPr>
                <w:rFonts w:ascii="Times New Roman" w:hAnsi="Times New Roman" w:cs="Times New Roman"/>
              </w:rPr>
              <w:t>$0 (existente)</w:t>
            </w:r>
          </w:p>
        </w:tc>
      </w:tr>
      <w:tr w:rsidR="009A78C2" w:rsidRPr="00E57757" w14:paraId="5DE48FBA" w14:textId="77777777">
        <w:tc>
          <w:tcPr>
            <w:tcW w:w="2640" w:type="dxa"/>
          </w:tcPr>
          <w:p w14:paraId="551FD25C" w14:textId="77777777" w:rsidR="009A78C2" w:rsidRPr="00E57757" w:rsidRDefault="00527338" w:rsidP="00E57757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</w:rPr>
            </w:pPr>
            <w:r w:rsidRPr="00E57757">
              <w:rPr>
                <w:rFonts w:ascii="Times New Roman" w:hAnsi="Times New Roman" w:cs="Times New Roman"/>
              </w:rPr>
              <w:t>Software</w:t>
            </w:r>
          </w:p>
        </w:tc>
        <w:tc>
          <w:tcPr>
            <w:tcW w:w="2640" w:type="dxa"/>
          </w:tcPr>
          <w:p w14:paraId="40D605C3" w14:textId="77777777" w:rsidR="009A78C2" w:rsidRPr="00E57757" w:rsidRDefault="00527338" w:rsidP="00E57757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</w:rPr>
            </w:pPr>
            <w:r w:rsidRPr="00E57757">
              <w:rPr>
                <w:rFonts w:ascii="Times New Roman" w:hAnsi="Times New Roman" w:cs="Times New Roman"/>
              </w:rPr>
              <w:t>Rust/Cargo y bibliotecas de código abierto (</w:t>
            </w:r>
            <w:r w:rsidRPr="00E57757">
              <w:rPr>
                <w:rStyle w:val="VerbatimChar"/>
                <w:rFonts w:ascii="Times New Roman" w:hAnsi="Times New Roman" w:cs="Times New Roman"/>
                <w:sz w:val="24"/>
              </w:rPr>
              <w:t>fips204</w:t>
            </w:r>
            <w:r w:rsidRPr="00E57757">
              <w:rPr>
                <w:rFonts w:ascii="Times New Roman" w:hAnsi="Times New Roman" w:cs="Times New Roman"/>
              </w:rPr>
              <w:t xml:space="preserve">, </w:t>
            </w:r>
            <w:r w:rsidRPr="00E57757">
              <w:rPr>
                <w:rStyle w:val="VerbatimChar"/>
                <w:rFonts w:ascii="Times New Roman" w:hAnsi="Times New Roman" w:cs="Times New Roman"/>
                <w:sz w:val="24"/>
              </w:rPr>
              <w:t>arkworks</w:t>
            </w:r>
            <w:r w:rsidRPr="00E57757">
              <w:rPr>
                <w:rFonts w:ascii="Times New Roman" w:hAnsi="Times New Roman" w:cs="Times New Roman"/>
              </w:rPr>
              <w:t>), pandoc.</w:t>
            </w:r>
          </w:p>
        </w:tc>
        <w:tc>
          <w:tcPr>
            <w:tcW w:w="2640" w:type="dxa"/>
          </w:tcPr>
          <w:p w14:paraId="6DA7EAB8" w14:textId="77777777" w:rsidR="009A78C2" w:rsidRPr="00E57757" w:rsidRDefault="00527338" w:rsidP="00E57757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</w:rPr>
            </w:pPr>
            <w:r w:rsidRPr="00E57757">
              <w:rPr>
                <w:rFonts w:ascii="Times New Roman" w:hAnsi="Times New Roman" w:cs="Times New Roman"/>
              </w:rPr>
              <w:t>$0 (libre)</w:t>
            </w:r>
          </w:p>
        </w:tc>
      </w:tr>
      <w:tr w:rsidR="009A78C2" w:rsidRPr="00E57757" w14:paraId="30CE164C" w14:textId="77777777">
        <w:tc>
          <w:tcPr>
            <w:tcW w:w="2640" w:type="dxa"/>
          </w:tcPr>
          <w:p w14:paraId="246AA837" w14:textId="77777777" w:rsidR="009A78C2" w:rsidRPr="00E57757" w:rsidRDefault="00527338" w:rsidP="00E57757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</w:rPr>
            </w:pPr>
            <w:r w:rsidRPr="00E57757">
              <w:rPr>
                <w:rFonts w:ascii="Times New Roman" w:hAnsi="Times New Roman" w:cs="Times New Roman"/>
              </w:rPr>
              <w:t>Bibliografía</w:t>
            </w:r>
          </w:p>
        </w:tc>
        <w:tc>
          <w:tcPr>
            <w:tcW w:w="2640" w:type="dxa"/>
          </w:tcPr>
          <w:p w14:paraId="2AC4110F" w14:textId="77777777" w:rsidR="009A78C2" w:rsidRPr="00E57757" w:rsidRDefault="00527338" w:rsidP="00E57757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</w:rPr>
            </w:pPr>
            <w:r w:rsidRPr="00E57757">
              <w:rPr>
                <w:rFonts w:ascii="Times New Roman" w:hAnsi="Times New Roman" w:cs="Times New Roman"/>
              </w:rPr>
              <w:t>Acceso a recursos electrónicos (IEEE, Springer, etc.).</w:t>
            </w:r>
          </w:p>
        </w:tc>
        <w:tc>
          <w:tcPr>
            <w:tcW w:w="2640" w:type="dxa"/>
          </w:tcPr>
          <w:p w14:paraId="3ECF4670" w14:textId="77777777" w:rsidR="009A78C2" w:rsidRPr="00E57757" w:rsidRDefault="00527338" w:rsidP="00E57757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</w:rPr>
            </w:pPr>
            <w:r w:rsidRPr="00E57757">
              <w:rPr>
                <w:rFonts w:ascii="Times New Roman" w:hAnsi="Times New Roman" w:cs="Times New Roman"/>
              </w:rPr>
              <w:t>$0 (institucional, U. del Rosario)</w:t>
            </w:r>
          </w:p>
        </w:tc>
      </w:tr>
    </w:tbl>
    <w:p w14:paraId="6D3A32C1" w14:textId="77777777" w:rsidR="009A78C2" w:rsidRPr="00E57757" w:rsidRDefault="00527338" w:rsidP="00E57757">
      <w:pPr>
        <w:pStyle w:val="Ttulo1"/>
        <w:spacing w:before="0" w:after="0" w:line="360" w:lineRule="auto"/>
        <w:rPr>
          <w:rFonts w:ascii="Times New Roman" w:hAnsi="Times New Roman" w:cs="Times New Roman"/>
          <w:sz w:val="24"/>
        </w:rPr>
      </w:pPr>
      <w:bookmarkStart w:id="8" w:name="referencias"/>
      <w:bookmarkEnd w:id="7"/>
      <w:r w:rsidRPr="00E57757">
        <w:rPr>
          <w:rFonts w:ascii="Times New Roman" w:hAnsi="Times New Roman" w:cs="Times New Roman"/>
          <w:sz w:val="24"/>
        </w:rPr>
        <w:t>REFERENCIAS</w:t>
      </w:r>
    </w:p>
    <w:p w14:paraId="6CBA0B73" w14:textId="77777777" w:rsidR="009A78C2" w:rsidRPr="00E57757" w:rsidRDefault="00527338" w:rsidP="00E57757">
      <w:pPr>
        <w:pStyle w:val="FirstParagraph"/>
        <w:spacing w:before="0" w:after="0" w:line="360" w:lineRule="auto"/>
        <w:rPr>
          <w:rFonts w:ascii="Times New Roman" w:hAnsi="Times New Roman" w:cs="Times New Roman"/>
        </w:rPr>
      </w:pPr>
      <w:r w:rsidRPr="00E57757">
        <w:rPr>
          <w:rFonts w:ascii="Times New Roman" w:hAnsi="Times New Roman" w:cs="Times New Roman"/>
        </w:rPr>
        <w:t xml:space="preserve">[1] Z. Yang, H. Alfauri, B. Farkiani, R. Jain, R. Di Pietro y A. Erbad, «A Survey and Comparison of Post-Quantum and Quantum Blockchains,» </w:t>
      </w:r>
      <w:r w:rsidRPr="00E57757">
        <w:rPr>
          <w:rFonts w:ascii="Times New Roman" w:hAnsi="Times New Roman" w:cs="Times New Roman"/>
          <w:i/>
          <w:iCs/>
        </w:rPr>
        <w:t>IEEE Communications Surveys &amp; Tutorials</w:t>
      </w:r>
      <w:r w:rsidRPr="00E57757">
        <w:rPr>
          <w:rFonts w:ascii="Times New Roman" w:hAnsi="Times New Roman" w:cs="Times New Roman"/>
        </w:rPr>
        <w:t>, 2023.</w:t>
      </w:r>
    </w:p>
    <w:p w14:paraId="38562600" w14:textId="77777777" w:rsidR="009A78C2" w:rsidRPr="00E57757" w:rsidRDefault="00527338" w:rsidP="00E57757">
      <w:pPr>
        <w:pStyle w:val="Textoindependiente"/>
        <w:spacing w:before="0" w:after="0" w:line="360" w:lineRule="auto"/>
        <w:rPr>
          <w:rFonts w:ascii="Times New Roman" w:hAnsi="Times New Roman" w:cs="Times New Roman"/>
        </w:rPr>
      </w:pPr>
      <w:r w:rsidRPr="00E57757">
        <w:rPr>
          <w:rFonts w:ascii="Times New Roman" w:hAnsi="Times New Roman" w:cs="Times New Roman"/>
        </w:rPr>
        <w:t xml:space="preserve">[2] L. Ducas, E. Kiltz, T. Lepoint, V. Lyubashevsky, P. Schwabe, G. Seiler y D. Stehlé, «CRYSTALS-Dilithium: A Lattice-Based Digital Signature Scheme,» </w:t>
      </w:r>
      <w:r w:rsidRPr="00E57757">
        <w:rPr>
          <w:rFonts w:ascii="Times New Roman" w:hAnsi="Times New Roman" w:cs="Times New Roman"/>
          <w:i/>
          <w:iCs/>
        </w:rPr>
        <w:t>IACR Trans. on Cryptographic Hardware and Embedded Systems</w:t>
      </w:r>
      <w:r w:rsidRPr="00E57757">
        <w:rPr>
          <w:rFonts w:ascii="Times New Roman" w:hAnsi="Times New Roman" w:cs="Times New Roman"/>
        </w:rPr>
        <w:t>, vol. 2018, n.º 1, pp. 238-268, 2018.</w:t>
      </w:r>
    </w:p>
    <w:p w14:paraId="5BFCA524" w14:textId="77777777" w:rsidR="009A78C2" w:rsidRPr="00E57757" w:rsidRDefault="00527338" w:rsidP="00E57757">
      <w:pPr>
        <w:pStyle w:val="Textoindependiente"/>
        <w:spacing w:before="0" w:after="0" w:line="360" w:lineRule="auto"/>
        <w:rPr>
          <w:rFonts w:ascii="Times New Roman" w:hAnsi="Times New Roman" w:cs="Times New Roman"/>
        </w:rPr>
      </w:pPr>
      <w:r w:rsidRPr="00E57757">
        <w:rPr>
          <w:rFonts w:ascii="Times New Roman" w:hAnsi="Times New Roman" w:cs="Times New Roman"/>
        </w:rPr>
        <w:t>[3] National Institute of Standards and Technology, «FIPS 204: Module-Lattice-Based Digital Signature Standard (ML-DSA),» 2024.</w:t>
      </w:r>
    </w:p>
    <w:p w14:paraId="06583970" w14:textId="77777777" w:rsidR="009A78C2" w:rsidRPr="00E57757" w:rsidRDefault="00527338" w:rsidP="00E57757">
      <w:pPr>
        <w:pStyle w:val="Textoindependiente"/>
        <w:spacing w:before="0" w:after="0" w:line="360" w:lineRule="auto"/>
        <w:rPr>
          <w:rFonts w:ascii="Times New Roman" w:hAnsi="Times New Roman" w:cs="Times New Roman"/>
        </w:rPr>
      </w:pPr>
      <w:r w:rsidRPr="00E57757">
        <w:rPr>
          <w:rFonts w:ascii="Times New Roman" w:hAnsi="Times New Roman" w:cs="Times New Roman"/>
        </w:rPr>
        <w:t xml:space="preserve">[4] E. Kiltz, V. Lyubashevsky y C. Schaffner, «A Concrete Treatment of Fiat-Shamir Signatures in the Quantum Random-Oracle Model,» en </w:t>
      </w:r>
      <w:r w:rsidRPr="00E57757">
        <w:rPr>
          <w:rFonts w:ascii="Times New Roman" w:hAnsi="Times New Roman" w:cs="Times New Roman"/>
          <w:i/>
          <w:iCs/>
        </w:rPr>
        <w:t>EUROCRYPT</w:t>
      </w:r>
      <w:r w:rsidRPr="00E57757">
        <w:rPr>
          <w:rFonts w:ascii="Times New Roman" w:hAnsi="Times New Roman" w:cs="Times New Roman"/>
        </w:rPr>
        <w:t>, 2018.</w:t>
      </w:r>
    </w:p>
    <w:p w14:paraId="01A02B9F" w14:textId="77777777" w:rsidR="009A78C2" w:rsidRPr="00E57757" w:rsidRDefault="00527338" w:rsidP="00E57757">
      <w:pPr>
        <w:pStyle w:val="Textoindependiente"/>
        <w:spacing w:before="0" w:after="0" w:line="360" w:lineRule="auto"/>
        <w:rPr>
          <w:rFonts w:ascii="Times New Roman" w:hAnsi="Times New Roman" w:cs="Times New Roman"/>
        </w:rPr>
      </w:pPr>
      <w:r w:rsidRPr="00E57757">
        <w:rPr>
          <w:rFonts w:ascii="Times New Roman" w:hAnsi="Times New Roman" w:cs="Times New Roman"/>
        </w:rPr>
        <w:t xml:space="preserve">[5] V. Lyubashevsky, «Fiat-Shamir with Aborts: Applications to Lattice and Factoring-Based Signatures,» en </w:t>
      </w:r>
      <w:r w:rsidRPr="00E57757">
        <w:rPr>
          <w:rFonts w:ascii="Times New Roman" w:hAnsi="Times New Roman" w:cs="Times New Roman"/>
          <w:i/>
          <w:iCs/>
        </w:rPr>
        <w:t>ASIACRYPT</w:t>
      </w:r>
      <w:r w:rsidRPr="00E57757">
        <w:rPr>
          <w:rFonts w:ascii="Times New Roman" w:hAnsi="Times New Roman" w:cs="Times New Roman"/>
        </w:rPr>
        <w:t>, 2009.</w:t>
      </w:r>
    </w:p>
    <w:p w14:paraId="78B6337F" w14:textId="77777777" w:rsidR="009A78C2" w:rsidRPr="00E57757" w:rsidRDefault="00527338" w:rsidP="00E57757">
      <w:pPr>
        <w:pStyle w:val="Textoindependiente"/>
        <w:spacing w:before="0" w:after="0" w:line="360" w:lineRule="auto"/>
        <w:rPr>
          <w:rFonts w:ascii="Times New Roman" w:hAnsi="Times New Roman" w:cs="Times New Roman"/>
        </w:rPr>
      </w:pPr>
      <w:r w:rsidRPr="00E57757">
        <w:rPr>
          <w:rFonts w:ascii="Times New Roman" w:hAnsi="Times New Roman" w:cs="Times New Roman"/>
        </w:rPr>
        <w:t xml:space="preserve">[6] A. Langlois y D. Stehlé, «Worst-Case to Average-Case Reductions for Module Lattices,» </w:t>
      </w:r>
      <w:r w:rsidRPr="00E57757">
        <w:rPr>
          <w:rFonts w:ascii="Times New Roman" w:hAnsi="Times New Roman" w:cs="Times New Roman"/>
          <w:i/>
          <w:iCs/>
        </w:rPr>
        <w:t>Designs, Codes and Cryptography</w:t>
      </w:r>
      <w:r w:rsidRPr="00E57757">
        <w:rPr>
          <w:rFonts w:ascii="Times New Roman" w:hAnsi="Times New Roman" w:cs="Times New Roman"/>
        </w:rPr>
        <w:t>, vol. 75, n.º 3, pp. 565-599, 2015.</w:t>
      </w:r>
    </w:p>
    <w:p w14:paraId="00E28CF2" w14:textId="77777777" w:rsidR="009A78C2" w:rsidRPr="00E57757" w:rsidRDefault="00527338" w:rsidP="00E57757">
      <w:pPr>
        <w:pStyle w:val="Textoindependiente"/>
        <w:spacing w:before="0" w:after="0" w:line="360" w:lineRule="auto"/>
        <w:rPr>
          <w:rFonts w:ascii="Times New Roman" w:hAnsi="Times New Roman" w:cs="Times New Roman"/>
        </w:rPr>
      </w:pPr>
      <w:r w:rsidRPr="00E57757">
        <w:rPr>
          <w:rFonts w:ascii="Times New Roman" w:hAnsi="Times New Roman" w:cs="Times New Roman"/>
        </w:rPr>
        <w:t xml:space="preserve">[7] O. Regev, «On Lattices, Learning with Errors, Random Linear Codes, and Cryptography,» </w:t>
      </w:r>
      <w:r w:rsidRPr="00E57757">
        <w:rPr>
          <w:rFonts w:ascii="Times New Roman" w:hAnsi="Times New Roman" w:cs="Times New Roman"/>
          <w:i/>
          <w:iCs/>
        </w:rPr>
        <w:t>Journal of the ACM</w:t>
      </w:r>
      <w:r w:rsidRPr="00E57757">
        <w:rPr>
          <w:rFonts w:ascii="Times New Roman" w:hAnsi="Times New Roman" w:cs="Times New Roman"/>
        </w:rPr>
        <w:t>, vol. 56, n.º 6, 2009.</w:t>
      </w:r>
    </w:p>
    <w:p w14:paraId="0E45DE08" w14:textId="77777777" w:rsidR="009A78C2" w:rsidRPr="00E57757" w:rsidRDefault="00527338" w:rsidP="00E57757">
      <w:pPr>
        <w:pStyle w:val="Textoindependiente"/>
        <w:spacing w:before="0" w:after="0" w:line="360" w:lineRule="auto"/>
        <w:rPr>
          <w:rFonts w:ascii="Times New Roman" w:hAnsi="Times New Roman" w:cs="Times New Roman"/>
        </w:rPr>
      </w:pPr>
      <w:r w:rsidRPr="00E57757">
        <w:rPr>
          <w:rFonts w:ascii="Times New Roman" w:hAnsi="Times New Roman" w:cs="Times New Roman"/>
        </w:rPr>
        <w:t xml:space="preserve">[8] M. S. Turan </w:t>
      </w:r>
      <w:r w:rsidRPr="00E57757">
        <w:rPr>
          <w:rFonts w:ascii="Times New Roman" w:hAnsi="Times New Roman" w:cs="Times New Roman"/>
          <w:i/>
          <w:iCs/>
        </w:rPr>
        <w:t>et al.</w:t>
      </w:r>
      <w:r w:rsidRPr="00E57757">
        <w:rPr>
          <w:rFonts w:ascii="Times New Roman" w:hAnsi="Times New Roman" w:cs="Times New Roman"/>
        </w:rPr>
        <w:t>, «NIST SP 800-90B: Recommendation for the Entropy Sources Used for Random Bit Generation,» NIST, 2018.</w:t>
      </w:r>
    </w:p>
    <w:p w14:paraId="2963A2A3" w14:textId="77777777" w:rsidR="009A78C2" w:rsidRPr="00E57757" w:rsidRDefault="00527338" w:rsidP="00E57757">
      <w:pPr>
        <w:pStyle w:val="Textoindependiente"/>
        <w:spacing w:before="0" w:after="0" w:line="360" w:lineRule="auto"/>
        <w:rPr>
          <w:rFonts w:ascii="Times New Roman" w:hAnsi="Times New Roman" w:cs="Times New Roman"/>
        </w:rPr>
      </w:pPr>
      <w:r w:rsidRPr="00E57757">
        <w:rPr>
          <w:rFonts w:ascii="Times New Roman" w:hAnsi="Times New Roman" w:cs="Times New Roman"/>
        </w:rPr>
        <w:t>[9] V. Buterin, «An Incomplete Guide to Rollups,» 2021.</w:t>
      </w:r>
      <w:bookmarkEnd w:id="8"/>
    </w:p>
    <w:sectPr w:rsidR="009A78C2" w:rsidRPr="00E57757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71EEEF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1DF8FEF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82335769">
    <w:abstractNumId w:val="0"/>
  </w:num>
  <w:num w:numId="2" w16cid:durableId="100297252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A78C2"/>
    <w:rsid w:val="003A676D"/>
    <w:rsid w:val="00527338"/>
    <w:rsid w:val="006E5481"/>
    <w:rsid w:val="009A78C2"/>
    <w:rsid w:val="00E57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3D5FBD3"/>
  <w15:docId w15:val="{A8EF26EC-2867-47B1-86F6-E80D0CB203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styleId="Fecha">
    <w:name w:val="Date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1122</Words>
  <Characters>6581</Characters>
  <Application>Microsoft Office Word</Application>
  <DocSecurity>0</DocSecurity>
  <Lines>160</Lines>
  <Paragraphs>76</Paragraphs>
  <ScaleCrop>false</ScaleCrop>
  <Company/>
  <LinksUpToDate>false</LinksUpToDate>
  <CharactersWithSpaces>7627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Juan Diego Susunaga</cp:lastModifiedBy>
  <cp:revision>3</cp:revision>
  <cp:lastPrinted>2026-06-05T17:01:00Z</cp:lastPrinted>
  <dcterms:created xsi:type="dcterms:W3CDTF">2026-06-05T17:01:00Z</dcterms:created>
  <dcterms:modified xsi:type="dcterms:W3CDTF">2026-06-05T17:01:00Z</dcterms:modified>
</cp:coreProperties>
</file>