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3284" w14:textId="77777777" w:rsidR="005D5194" w:rsidRDefault="0041205C">
      <w:pPr>
        <w:pStyle w:val="Ttulo"/>
      </w:pPr>
      <w:r>
        <w:t>Solicitud de revisión matemática de la tesis NEXUS</w:t>
      </w:r>
    </w:p>
    <w:p w14:paraId="70EDAAE5" w14:textId="77777777" w:rsidR="005D5194" w:rsidRDefault="0041205C">
      <w:pPr>
        <w:pStyle w:val="Author"/>
      </w:pPr>
      <w:r>
        <w:t>Juan Diego Susunaga Velasquez</w:t>
      </w:r>
    </w:p>
    <w:p w14:paraId="68C21531" w14:textId="77777777" w:rsidR="005D5194" w:rsidRDefault="0041205C">
      <w:pPr>
        <w:pStyle w:val="FirstParagraph"/>
      </w:pPr>
      <w:r>
        <w:rPr>
          <w:b/>
          <w:bCs/>
        </w:rPr>
        <w:t>Fecha de preparación:</w:t>
      </w:r>
      <w:r>
        <w:t xml:space="preserve"> 20 de octubre de 2026. </w:t>
      </w:r>
      <w:r>
        <w:rPr>
          <w:b/>
          <w:bCs/>
        </w:rPr>
        <w:t>Destinatario:</w:t>
      </w:r>
      <w:r>
        <w:t xml:space="preserve"> Director de la tesis, confirmado por el autor. </w:t>
      </w:r>
      <w:r>
        <w:rPr>
          <w:b/>
          <w:bCs/>
        </w:rPr>
        <w:t>Estado:</w:t>
      </w:r>
      <w:r>
        <w:t xml:space="preserve"> Sin dictamen registrado. No se han registrado envío ni recepción.</w:t>
      </w:r>
    </w:p>
    <w:p w14:paraId="78B3D855" w14:textId="77777777" w:rsidR="005D5194" w:rsidRDefault="0041205C">
      <w:pPr>
        <w:pStyle w:val="Ttulo2"/>
      </w:pPr>
      <w:bookmarkStart w:id="0" w:name="propósito-y-alcance"/>
      <w:r>
        <w:t>Propósito y alcance</w:t>
      </w:r>
    </w:p>
    <w:p w14:paraId="267F256C" w14:textId="77777777" w:rsidR="005D5194" w:rsidRDefault="0041205C">
      <w:pPr>
        <w:pStyle w:val="FirstParagraph"/>
      </w:pPr>
      <w:r>
        <w:t>Se solicita revisar la correspondencia entre los enunciados de la tesis, sus hipótesis y las demostraciones, y decidir si la delimitación de resultados es suficiente para el alcance académico acordado. La preparación de este paquete, las comprobaciones internas y la compilación de Lean no se presentan como revisión externa ni aprobación.</w:t>
      </w:r>
    </w:p>
    <w:p w14:paraId="76CB737A" w14:textId="77777777" w:rsidR="005D5194" w:rsidRDefault="0041205C">
      <w:pPr>
        <w:pStyle w:val="Textoindependiente"/>
      </w:pPr>
      <w:r>
        <w:t xml:space="preserve">Las preguntas se numeran del 1 al 6 para facilitar la respuesta del director. En el registro técnico aparecen como M1 a M6; esas etiquetas no significan que falten seis módulos o seis demostraciones. No se añaden teoremas obligatorios ni se reabren pruebas del modelo ya cubiertas. Las referencias a una sección, por ejemplo la sección 6.7.9, remiten a un apartado numerado de la tesis. En las fórmulas de muestreo, la letra M sin número indica la cantidad de parejas de posiciones, no una pregunta de revisión. </w:t>
      </w:r>
      <w:r>
        <w:t>QROM de AIR/FRI y Qiskit/Aer permanecen como trabajo futuro; no bloquean esta revisión activa. Las condiciones bibliográficas y de implementación de las firmas siguen distinguiéndose del resultado AIR/FRI.</w:t>
      </w:r>
    </w:p>
    <w:p w14:paraId="761A07F4" w14:textId="77777777" w:rsidR="005D5194" w:rsidRDefault="0041205C">
      <w:pPr>
        <w:pStyle w:val="Ttulo2"/>
      </w:pPr>
      <w:bookmarkStart w:id="1" w:name="material-vigente-y-orden-de-lectura"/>
      <w:bookmarkEnd w:id="0"/>
      <w:r>
        <w:t>Material vigente y orden de lectura</w:t>
      </w:r>
    </w:p>
    <w:p w14:paraId="5FB00690" w14:textId="77777777" w:rsidR="005D5194" w:rsidRDefault="0041205C" w:rsidP="0041205C">
      <w:pPr>
        <w:pStyle w:val="Compact"/>
        <w:numPr>
          <w:ilvl w:val="0"/>
          <w:numId w:val="1"/>
        </w:numPr>
      </w:pPr>
      <w:hyperlink r:id="rId7">
        <w:r>
          <w:rPr>
            <w:rStyle w:val="Hipervnculo"/>
          </w:rPr>
          <w:t>Tesis final y formatos de lectura</w:t>
        </w:r>
      </w:hyperlink>
      <w:r>
        <w:t xml:space="preserve">: </w:t>
      </w:r>
      <w:hyperlink r:id="rId8">
        <w:r>
          <w:rPr>
            <w:rStyle w:val="Hipervnculo"/>
          </w:rPr>
          <w:t>Word</w:t>
        </w:r>
      </w:hyperlink>
      <w:r>
        <w:t xml:space="preserve"> y </w:t>
      </w:r>
      <w:hyperlink r:id="rId9">
        <w:r>
          <w:rPr>
            <w:rStyle w:val="Hipervnculo"/>
          </w:rPr>
          <w:t>PDF</w:t>
        </w:r>
      </w:hyperlink>
      <w:r>
        <w:t>, revisados el 20 de octubre, con sus formatos vigentes enlazados. La tesis y esta solicitud incorporan las aclaraciones de lectura solicitadas, sin cambiar los resultados matemáticos.</w:t>
      </w:r>
    </w:p>
    <w:p w14:paraId="7EF8A3F1" w14:textId="77777777" w:rsidR="005D5194" w:rsidRDefault="0041205C" w:rsidP="0041205C">
      <w:pPr>
        <w:pStyle w:val="Compact"/>
        <w:numPr>
          <w:ilvl w:val="0"/>
          <w:numId w:val="1"/>
        </w:numPr>
      </w:pPr>
      <w:hyperlink r:id="rId10">
        <w:r>
          <w:rPr>
            <w:rStyle w:val="Hipervnculo"/>
          </w:rPr>
          <w:t>Introducción y objetivos originales</w:t>
        </w:r>
      </w:hyperlink>
      <w:r>
        <w:t xml:space="preserve"> y </w:t>
      </w:r>
      <w:hyperlink r:id="rId11">
        <w:r>
          <w:rPr>
            <w:rStyle w:val="Hipervnculo"/>
          </w:rPr>
          <w:t>conclusiones y límites</w:t>
        </w:r>
      </w:hyperlink>
      <w:r>
        <w:t>. El componente de reducción concreta de seguridad de las firmas se declara parcialmente cumplido; la cota ROM de AIR/FRI no lo sustituye.</w:t>
      </w:r>
    </w:p>
    <w:p w14:paraId="23B64864" w14:textId="77777777" w:rsidR="005D5194" w:rsidRDefault="0041205C" w:rsidP="0041205C">
      <w:pPr>
        <w:pStyle w:val="Compact"/>
        <w:numPr>
          <w:ilvl w:val="0"/>
          <w:numId w:val="1"/>
        </w:numPr>
      </w:pPr>
      <w:hyperlink r:id="rId12">
        <w:r>
          <w:rPr>
            <w:rStyle w:val="Hipervnculo"/>
          </w:rPr>
          <w:t>Capítulo de validación</w:t>
        </w:r>
      </w:hyperlink>
      <w:r>
        <w:t>: sección 6.4 para las firmas; secciones 6.7.2–6.7.4 para álgebra, contraejemplo y vínculo; secciones 6.7.5 y 6.7.8 para el modelo ideal; sección 6.7.9 para el resultado ROM conservador; sección 6.7.10 para sus exclusiones.</w:t>
      </w:r>
    </w:p>
    <w:p w14:paraId="2303F747" w14:textId="77777777" w:rsidR="005D5194" w:rsidRDefault="0041205C" w:rsidP="0041205C">
      <w:pPr>
        <w:pStyle w:val="Compact"/>
        <w:numPr>
          <w:ilvl w:val="0"/>
          <w:numId w:val="1"/>
        </w:numPr>
      </w:pPr>
      <w:hyperlink r:id="rId13">
        <w:r>
          <w:rPr>
            <w:rStyle w:val="Hipervnculo"/>
          </w:rPr>
          <w:t>Estado de la formalización</w:t>
        </w:r>
      </w:hyperlink>
      <w:r>
        <w:t xml:space="preserve">, </w:t>
      </w:r>
      <w:hyperlink r:id="rId14">
        <w:r>
          <w:rPr>
            <w:rStyle w:val="Hipervnculo"/>
          </w:rPr>
          <w:t>matriz de resultados y límites</w:t>
        </w:r>
      </w:hyperlink>
      <w:r>
        <w:t xml:space="preserve"> y </w:t>
      </w:r>
      <w:hyperlink r:id="rId15">
        <w:r>
          <w:rPr>
            <w:rStyle w:val="Hipervnculo"/>
          </w:rPr>
          <w:t>ensamblaje causal</w:t>
        </w:r>
      </w:hyperlink>
      <w:r>
        <w:t>. Las descripciones históricas de la matriz deben leerse con su actualización vigente, no como nuevas pruebas pendientes.</w:t>
      </w:r>
    </w:p>
    <w:p w14:paraId="6A321530" w14:textId="77777777" w:rsidR="005D5194" w:rsidRDefault="0041205C" w:rsidP="0041205C">
      <w:pPr>
        <w:pStyle w:val="Compact"/>
        <w:numPr>
          <w:ilvl w:val="0"/>
          <w:numId w:val="1"/>
        </w:numPr>
      </w:pPr>
      <w:hyperlink r:id="rId16">
        <w:r>
          <w:rPr>
            <w:rStyle w:val="Hipervnculo"/>
          </w:rPr>
          <w:t>Cotas finales con trabajo</w:t>
        </w:r>
      </w:hyperlink>
      <w:r>
        <w:t xml:space="preserve">, teoremas cota_512 y cota_512_todos; </w:t>
      </w:r>
      <w:hyperlink r:id="rId17">
        <w:r>
          <w:rPr>
            <w:rStyle w:val="Hipervnculo"/>
          </w:rPr>
          <w:t>ejemplos enlazados con aceptación</w:t>
        </w:r>
      </w:hyperlink>
      <w:r>
        <w:t>, teoremas aceptacion_4096_release y aceptacion_release.</w:t>
      </w:r>
    </w:p>
    <w:p w14:paraId="1E63CDB2" w14:textId="77777777" w:rsidR="005D5194" w:rsidRDefault="0041205C" w:rsidP="0041205C">
      <w:pPr>
        <w:pStyle w:val="Compact"/>
        <w:numPr>
          <w:ilvl w:val="0"/>
          <w:numId w:val="1"/>
        </w:numPr>
      </w:pPr>
      <w:hyperlink r:id="rId18">
        <w:r>
          <w:rPr>
            <w:rStyle w:val="Hipervnculo"/>
          </w:rPr>
          <w:t>Auditoría global Lean del 20 de octubre</w:t>
        </w:r>
      </w:hyperlink>
      <w:r>
        <w:t xml:space="preserve"> y </w:t>
      </w:r>
      <w:hyperlink r:id="rId19">
        <w:r>
          <w:rPr>
            <w:rStyle w:val="Hipervnculo"/>
          </w:rPr>
          <w:t>fuentes consolidadas localmente</w:t>
        </w:r>
      </w:hyperlink>
      <w:r>
        <w:t>. La auditoría registra 2709 declaraciones, sin sorryAx ni axiomas fuera de propext, Classical.choice y Quot.sound. No acredita por inferencia toda afirmación de la tesis.</w:t>
      </w:r>
    </w:p>
    <w:p w14:paraId="75D6F7C8" w14:textId="77777777" w:rsidR="005D5194" w:rsidRDefault="0041205C" w:rsidP="0041205C">
      <w:pPr>
        <w:pStyle w:val="Compact"/>
        <w:numPr>
          <w:ilvl w:val="0"/>
          <w:numId w:val="1"/>
        </w:numPr>
      </w:pPr>
      <w:hyperlink r:id="rId20">
        <w:r>
          <w:rPr>
            <w:rStyle w:val="Hipervnculo"/>
          </w:rPr>
          <w:t>Adaptación Rust</w:t>
        </w:r>
      </w:hyperlink>
      <w:r>
        <w:t xml:space="preserve">, </w:t>
      </w:r>
      <w:hyperlink r:id="rId21">
        <w:r>
          <w:rPr>
            <w:rStyle w:val="Hipervnculo"/>
          </w:rPr>
          <w:t>integración ActiveChain</w:t>
        </w:r>
      </w:hyperlink>
      <w:r>
        <w:t xml:space="preserve"> y </w:t>
      </w:r>
      <w:hyperlink r:id="rId22">
        <w:r>
          <w:rPr>
            <w:rStyle w:val="Hipervnculo"/>
          </w:rPr>
          <w:t>global final Rust</w:t>
        </w:r>
      </w:hyperlink>
      <w:r>
        <w:t>: check, 223 pruebas y build correctos, conservando advertencias. Son evidencia de software, no una prueba de refinamiento universal.</w:t>
      </w:r>
    </w:p>
    <w:p w14:paraId="52ECB6DB" w14:textId="77777777" w:rsidR="005D5194" w:rsidRDefault="0041205C">
      <w:pPr>
        <w:pStyle w:val="FirstParagraph"/>
      </w:pPr>
      <w:r>
        <w:t xml:space="preserve">Antecedente de fuentes comprobado: commit documental df1eeae3​fe026d3f​47aa3e88​b510489a​bd98845d y commit Rust 637e77c9​9e804664​915caf4e​d928a10e​f81cc870. La aclaración editorial de la tesis y esta solicitud son cambios locales posteriores; no se atribuye a ese commit un documento todavía no confirmado. El </w:t>
      </w:r>
      <w:hyperlink r:id="rId23">
        <w:r>
          <w:rPr>
            <w:rStyle w:val="Hipervnculo"/>
          </w:rPr>
          <w:t>manifiesto de la base comprobada</w:t>
        </w:r>
      </w:hyperlink>
      <w:r>
        <w:t xml:space="preserve"> </w:t>
      </w:r>
      <w:r>
        <w:t>conserva sus huellas; el manifiesto vigente de Entrega-Final incorpora esta preparación sin autorreferencia. Las revisiones locales no se dan por publicadas en un servidor.</w:t>
      </w:r>
    </w:p>
    <w:p w14:paraId="5E2FCB7E" w14:textId="77777777" w:rsidR="005D5194" w:rsidRDefault="0041205C">
      <w:pPr>
        <w:pStyle w:val="Ttulo2"/>
      </w:pPr>
      <w:bookmarkStart w:id="2" w:name="resultado-central-que-se-pide-revisar"/>
      <w:bookmarkEnd w:id="1"/>
      <w:r>
        <w:t>Resultado central que se pide revisar</w:t>
      </w:r>
    </w:p>
    <w:p w14:paraId="6A9E9C1A" w14:textId="77777777" w:rsidR="005D5194" w:rsidRDefault="0041205C">
      <w:pPr>
        <w:pStyle w:val="FirstParagraph"/>
      </w:pPr>
      <w:r>
        <w:t>La probabilidad se refiere a la aceptación de un certificado con enunciado inválido según la relación matemática EnunciadoValido, no a una falsificación de ML-DSA ni a la validez completa de transacciones de una aplicación.</w:t>
      </w:r>
    </w:p>
    <w:tbl>
      <w:tblPr>
        <w:tblStyle w:val="Table"/>
        <w:tblW w:w="9360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2200"/>
        <w:gridCol w:w="7160"/>
      </w:tblGrid>
      <w:tr w:rsidR="005D5194" w14:paraId="68B7534D" w14:textId="77777777" w:rsidTr="005D51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0" w:type="dxa"/>
            <w:shd w:val="clear" w:color="auto" w:fill="EDEDED"/>
            <w:vAlign w:val="center"/>
          </w:tcPr>
          <w:p w14:paraId="61D790E6" w14:textId="77777777" w:rsidR="005D5194" w:rsidRDefault="0041205C">
            <w:pPr>
              <w:pStyle w:val="Compact"/>
              <w:keepNext/>
              <w:spacing w:before="60" w:after="60" w:line="240" w:lineRule="auto"/>
              <w:jc w:val="left"/>
            </w:pPr>
            <w:r>
              <w:t>Elemento</w:t>
            </w:r>
          </w:p>
        </w:tc>
        <w:tc>
          <w:tcPr>
            <w:tcW w:w="7160" w:type="dxa"/>
            <w:shd w:val="clear" w:color="auto" w:fill="EDEDED"/>
            <w:vAlign w:val="center"/>
          </w:tcPr>
          <w:p w14:paraId="25DEA046" w14:textId="77777777" w:rsidR="005D5194" w:rsidRDefault="0041205C">
            <w:pPr>
              <w:pStyle w:val="Compact"/>
              <w:keepNext/>
              <w:spacing w:before="60" w:after="60" w:line="240" w:lineRule="auto"/>
              <w:jc w:val="left"/>
            </w:pPr>
            <w:r>
              <w:t>Hipótesis o valor del resultado</w:t>
            </w:r>
          </w:p>
        </w:tc>
      </w:tr>
      <w:tr w:rsidR="005D5194" w14:paraId="11B916A0" w14:textId="77777777" w:rsidTr="005D5194">
        <w:trPr>
          <w:cantSplit/>
          <w:jc w:val="center"/>
        </w:trPr>
        <w:tc>
          <w:tcPr>
            <w:tcW w:w="2200" w:type="dxa"/>
            <w:vAlign w:val="center"/>
          </w:tcPr>
          <w:p w14:paraId="5C03A1D0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Experimento</w:t>
            </w:r>
          </w:p>
        </w:tc>
        <w:tc>
          <w:tcPr>
            <w:tcW w:w="7160" w:type="dxa"/>
            <w:vAlign w:val="center"/>
          </w:tcPr>
          <w:p w14:paraId="12639789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Un único ROM clásico finito de digests de 256 bits, compartido por Merkle, canal, trabajo e índices; las respuestas repetidas conservan memoria</w:t>
            </w:r>
          </w:p>
        </w:tc>
      </w:tr>
      <w:tr w:rsidR="005D5194" w14:paraId="229673D9" w14:textId="77777777" w:rsidTr="005D5194">
        <w:trPr>
          <w:cantSplit/>
          <w:jc w:val="center"/>
        </w:trPr>
        <w:tc>
          <w:tcPr>
            <w:tcW w:w="2200" w:type="dxa"/>
            <w:vAlign w:val="center"/>
          </w:tcPr>
          <w:p w14:paraId="04A59FEA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lastRenderedPageBreak/>
              <w:t>Adversario</w:t>
            </w:r>
          </w:p>
        </w:tc>
        <w:tc>
          <w:tcPr>
            <w:tcW w:w="7160" w:type="dxa"/>
            <w:vAlign w:val="center"/>
          </w:tcPr>
          <w:p w14:paraId="60F498CA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Programa finito adaptativo; como máximo Q llamadas adversarias en toda ejecución compatible, incluidas preparación, nonces e intercalaciones; sin información correlacionada omitida del experimento</w:t>
            </w:r>
          </w:p>
        </w:tc>
      </w:tr>
      <w:tr w:rsidR="005D5194" w14:paraId="731C252B" w14:textId="77777777" w:rsidTr="005D5194">
        <w:trPr>
          <w:cantSplit/>
          <w:jc w:val="center"/>
        </w:trPr>
        <w:tc>
          <w:tcPr>
            <w:tcW w:w="2200" w:type="dxa"/>
            <w:vAlign w:val="center"/>
          </w:tcPr>
          <w:p w14:paraId="00E705FB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Perfiles</w:t>
            </w:r>
          </w:p>
        </w:tc>
        <w:tc>
          <w:tcPr>
            <w:tcW w:w="7160" w:type="dxa"/>
            <w:vAlign w:val="center"/>
          </w:tcPr>
          <w:p w14:paraId="39DD1FDD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oMath>
            <w:r>
              <w:t xml:space="preserve">, con </w:t>
            </w:r>
            <m:oMath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12</m:t>
              </m:r>
            </m:oMath>
            <w:r>
              <w:t xml:space="preserve">;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 xml:space="preserve">;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parejas; cuarenta consultas compartidas por AIR y ambas FRI</w:t>
            </w:r>
          </w:p>
        </w:tc>
      </w:tr>
      <w:tr w:rsidR="005D5194" w14:paraId="010EA0D5" w14:textId="77777777" w:rsidTr="005D5194">
        <w:trPr>
          <w:cantSplit/>
          <w:jc w:val="center"/>
        </w:trPr>
        <w:tc>
          <w:tcPr>
            <w:tcW w:w="2200" w:type="dxa"/>
            <w:vAlign w:val="center"/>
          </w:tcPr>
          <w:p w14:paraId="19CADDA8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Trabajo y selector</w:t>
            </w:r>
          </w:p>
        </w:tc>
        <w:tc>
          <w:tcPr>
            <w:tcW w:w="7160" w:type="dxa"/>
            <w:vAlign w:val="center"/>
          </w:tcPr>
          <w:p w14:paraId="16A63366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 xml:space="preserve">bits = 12 o 20; como máximo 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512</m:t>
              </m:r>
            </m:oMath>
            <w:r>
              <w:t xml:space="preserve"> extracciones, incluidos duplicados, antes de rechazar si no se obtienen cuarenta índices distintos</w:t>
            </w:r>
          </w:p>
        </w:tc>
      </w:tr>
      <w:tr w:rsidR="005D5194" w14:paraId="04DE980B" w14:textId="77777777" w:rsidTr="005D5194">
        <w:trPr>
          <w:cantSplit/>
          <w:jc w:val="center"/>
        </w:trPr>
        <w:tc>
          <w:tcPr>
            <w:tcW w:w="2200" w:type="dxa"/>
            <w:vAlign w:val="center"/>
          </w:tcPr>
          <w:p w14:paraId="293CB783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Presupuesto común</w:t>
            </w:r>
          </w:p>
        </w:tc>
        <w:tc>
          <w:tcPr>
            <w:tcW w:w="7160" w:type="dxa"/>
            <w:vAlign w:val="center"/>
          </w:tcPr>
          <w:p w14:paraId="1958F5E9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24895</m:t>
              </m:r>
            </m:oMath>
            <w:r>
              <w:t>, derivado del programa, sin identificar B con la altura del árbol</w:t>
            </w:r>
          </w:p>
        </w:tc>
      </w:tr>
      <w:tr w:rsidR="005D5194" w14:paraId="7DB7F414" w14:textId="77777777" w:rsidTr="005D5194">
        <w:trPr>
          <w:cantSplit/>
          <w:jc w:val="center"/>
        </w:trPr>
        <w:tc>
          <w:tcPr>
            <w:tcW w:w="2200" w:type="dxa"/>
            <w:vAlign w:val="center"/>
          </w:tcPr>
          <w:p w14:paraId="6A7B9627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Registro auxiliar</w:t>
            </w:r>
          </w:p>
        </w:tc>
        <w:tc>
          <w:tcPr>
            <w:tcW w:w="7160" w:type="dxa"/>
            <w:vAlign w:val="center"/>
          </w:tcPr>
          <w:p w14:paraId="223C488C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L es el límite de marcas adicionales del registro ROM; no es el tamaño del certificado</w:t>
            </w:r>
          </w:p>
        </w:tc>
      </w:tr>
      <w:tr w:rsidR="005D5194" w14:paraId="3874DBA6" w14:textId="77777777" w:rsidTr="005D5194">
        <w:trPr>
          <w:cantSplit/>
          <w:jc w:val="center"/>
        </w:trPr>
        <w:tc>
          <w:tcPr>
            <w:tcW w:w="2200" w:type="dxa"/>
            <w:vAlign w:val="center"/>
          </w:tcPr>
          <w:p w14:paraId="151B9F93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Excepciones</w:t>
            </w:r>
          </w:p>
        </w:tc>
        <w:tc>
          <w:tcPr>
            <w:tcW w:w="7160" w:type="dxa"/>
            <w:vAlign w:val="center"/>
          </w:tcPr>
          <w:p w14:paraId="5FC58B10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Bad y AIR/FRI se cobran una sola vez; el conjunto excepcional previo tiene cardinal a lo sumo 130709 e incluye el sesgo de transporte a Goldilocks</w:t>
            </w:r>
          </w:p>
        </w:tc>
      </w:tr>
      <w:tr w:rsidR="005D5194" w14:paraId="1969AB56" w14:textId="77777777" w:rsidTr="005D5194">
        <w:trPr>
          <w:cantSplit/>
          <w:jc w:val="center"/>
        </w:trPr>
        <w:tc>
          <w:tcPr>
            <w:tcW w:w="2200" w:type="dxa"/>
            <w:vAlign w:val="center"/>
          </w:tcPr>
          <w:p w14:paraId="761B4C4A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Trabajo adaptativo</w:t>
            </w:r>
          </w:p>
        </w:tc>
        <w:tc>
          <w:tcPr>
            <w:tcW w:w="7160" w:type="dxa"/>
            <w:vAlign w:val="center"/>
          </w:tcPr>
          <w:p w14:paraId="104A9CAF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 xml:space="preserve">A lo sumo </w:t>
            </w: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parejas estado/nonce; factor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-bits</m:t>
                  </m:r>
                </m:sup>
              </m:sSup>
            </m:oMath>
            <w:r>
              <w:t xml:space="preserve"> compuesto antes de conocer las respuestas, sin condicionar al nonce ganador</w:t>
            </w:r>
          </w:p>
        </w:tc>
      </w:tr>
      <w:tr w:rsidR="005D5194" w14:paraId="3B42D254" w14:textId="77777777" w:rsidTr="005D5194">
        <w:trPr>
          <w:cantSplit/>
          <w:jc w:val="center"/>
        </w:trPr>
        <w:tc>
          <w:tcPr>
            <w:tcW w:w="2200" w:type="dxa"/>
            <w:vAlign w:val="center"/>
          </w:tcPr>
          <w:p w14:paraId="05DEB9D8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Perfil final adaptativo</w:t>
            </w:r>
          </w:p>
        </w:tc>
        <w:tc>
          <w:tcPr>
            <w:tcW w:w="7160" w:type="dxa"/>
            <w:vAlign w:val="center"/>
          </w:tcPr>
          <w:p w14:paraId="4C8C3E67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Solo se suma el riesgo del selector sobre k = 4,…,12, manteniendo un único cargo para las excepciones</w:t>
            </w:r>
          </w:p>
        </w:tc>
      </w:tr>
    </w:tbl>
    <w:p w14:paraId="0D8BC359" w14:textId="77777777" w:rsidR="005D5194" w:rsidRDefault="0041205C">
      <w:pPr>
        <w:pStyle w:val="Textoindependiente"/>
      </w:pPr>
      <w:r>
        <w:t xml:space="preserve">Se solicita cotejar las dos fórmulas completas de la sección 6.7.9 con las definiciones selector, cota512 y cota512Todos de CotaTrabajoFinal. Incluyen la hipergeométrica, la cola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300</m:t>
            </m:r>
          </m:sup>
        </m:sSup>
      </m:oMath>
      <w:r>
        <w:t xml:space="preserve">, el error </w:t>
      </w:r>
      <m:oMath>
        <m:r>
          <m:rPr>
            <m:sty m:val="p"/>
          </m:rPr>
          <w:rPr>
            <w:rFonts w:ascii="Cambria Math" w:hAnsi="Cambria Math"/>
          </w:rPr>
          <m:t>min{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512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515</m:t>
        </m:r>
        <m:r>
          <m:rPr>
            <m:sty m:val="p"/>
          </m:rPr>
          <w:rPr>
            <w:rFonts w:ascii="Cambria Math" w:hAnsi="Cambria Math"/>
          </w:rPr>
          <m:t>)/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256</m:t>
            </m:r>
          </m:sup>
        </m:sSup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>y el truncamiento final por uno. No deben sustituirse por la fórmula histórica más ajustada ni por una suma informal de bits de seguridad.</w:t>
      </w:r>
    </w:p>
    <w:p w14:paraId="45D1F736" w14:textId="77777777" w:rsidR="005D5194" w:rsidRDefault="0041205C">
      <w:pPr>
        <w:pStyle w:val="Textoindependiente"/>
      </w:pPr>
      <w:r>
        <w:t xml:space="preserve">Ejemplos a revisar con sus premisas: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1000000</m:t>
        </m:r>
      </m:oMath>
      <w:r>
        <w:t xml:space="preserve">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bits=</m:t>
        </m:r>
        <m:r>
          <w:rPr>
            <w:rFonts w:ascii="Cambria Math" w:hAnsi="Cambria Math"/>
          </w:rPr>
          <m:t>20</m:t>
        </m:r>
      </m:oMath>
      <w:r>
        <w:t xml:space="preserve"> y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</m:oMath>
      <w:r>
        <w:t xml:space="preserve"> dan una cota de aceptación falsa menor que 0,004757335454; para todos los perfiles,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1000000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bits=</m:t>
        </m:r>
        <m:r>
          <w:rPr>
            <w:rFonts w:ascii="Cambria Math" w:hAnsi="Cambria Math"/>
          </w:rPr>
          <m:t>20</m:t>
        </m:r>
      </m:oMath>
      <w:r>
        <w:t xml:space="preserve"> y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1000000</m:t>
        </m:r>
      </m:oMath>
      <w:r>
        <w:t xml:space="preserve"> dan una cota menor que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20</m:t>
        </m:r>
      </m:oMath>
      <w:r>
        <w:t>. Son límites superiores del modelo, no tasas observadas ni probabilidades necesariamente alcanzables por un ataque.</w:t>
      </w:r>
    </w:p>
    <w:p w14:paraId="2305B034" w14:textId="77777777" w:rsidR="005D5194" w:rsidRDefault="0041205C">
      <w:pPr>
        <w:pStyle w:val="Ttulo2"/>
      </w:pPr>
      <w:bookmarkStart w:id="3" w:name="seis-preguntas-para-el-dictamen"/>
      <w:bookmarkEnd w:id="2"/>
      <w:r>
        <w:lastRenderedPageBreak/>
        <w:t>Seis preguntas para el dictamen</w:t>
      </w:r>
    </w:p>
    <w:tbl>
      <w:tblPr>
        <w:tblStyle w:val="Table"/>
        <w:tblW w:w="9360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300"/>
        <w:gridCol w:w="3120"/>
        <w:gridCol w:w="4940"/>
      </w:tblGrid>
      <w:tr w:rsidR="005D5194" w14:paraId="0CE33DAC" w14:textId="77777777" w:rsidTr="005D51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00" w:type="dxa"/>
            <w:shd w:val="clear" w:color="auto" w:fill="EDEDED"/>
            <w:vAlign w:val="center"/>
          </w:tcPr>
          <w:p w14:paraId="2C458FB6" w14:textId="77777777" w:rsidR="005D5194" w:rsidRDefault="0041205C">
            <w:pPr>
              <w:pStyle w:val="Compact"/>
              <w:keepNext/>
              <w:spacing w:before="60" w:after="60" w:line="240" w:lineRule="auto"/>
              <w:jc w:val="center"/>
            </w:pPr>
            <w:r>
              <w:t>Pregunta</w:t>
            </w:r>
          </w:p>
        </w:tc>
        <w:tc>
          <w:tcPr>
            <w:tcW w:w="3120" w:type="dxa"/>
            <w:shd w:val="clear" w:color="auto" w:fill="EDEDED"/>
            <w:vAlign w:val="center"/>
          </w:tcPr>
          <w:p w14:paraId="03A70446" w14:textId="77777777" w:rsidR="005D5194" w:rsidRDefault="0041205C">
            <w:pPr>
              <w:pStyle w:val="Compact"/>
              <w:keepNext/>
              <w:spacing w:before="60" w:after="60" w:line="240" w:lineRule="auto"/>
              <w:jc w:val="left"/>
            </w:pPr>
            <w:r>
              <w:t>Pregunta que se conserva</w:t>
            </w:r>
          </w:p>
        </w:tc>
        <w:tc>
          <w:tcPr>
            <w:tcW w:w="4940" w:type="dxa"/>
            <w:shd w:val="clear" w:color="auto" w:fill="EDEDED"/>
            <w:vAlign w:val="center"/>
          </w:tcPr>
          <w:p w14:paraId="395BAC06" w14:textId="77777777" w:rsidR="005D5194" w:rsidRDefault="0041205C">
            <w:pPr>
              <w:pStyle w:val="Compact"/>
              <w:keepNext/>
              <w:spacing w:before="60" w:after="60" w:line="240" w:lineRule="auto"/>
              <w:jc w:val="left"/>
            </w:pPr>
            <w:r>
              <w:t>Localización y puntos de atención</w:t>
            </w:r>
          </w:p>
        </w:tc>
      </w:tr>
      <w:tr w:rsidR="005D5194" w14:paraId="1FF0D3E6" w14:textId="77777777" w:rsidTr="005D5194">
        <w:trPr>
          <w:cantSplit/>
          <w:jc w:val="center"/>
        </w:trPr>
        <w:tc>
          <w:tcPr>
            <w:tcW w:w="1300" w:type="dxa"/>
            <w:vAlign w:val="center"/>
          </w:tcPr>
          <w:p w14:paraId="04C19AA6" w14:textId="77777777" w:rsidR="005D5194" w:rsidRDefault="0041205C">
            <w:pPr>
              <w:pStyle w:val="Compact"/>
              <w:spacing w:before="60" w:after="60" w:line="240" w:lineRule="auto"/>
              <w:jc w:val="center"/>
            </w:pPr>
            <w:r>
              <w:t>1</w:t>
            </w:r>
          </w:p>
        </w:tc>
        <w:tc>
          <w:tcPr>
            <w:tcW w:w="3120" w:type="dxa"/>
            <w:vAlign w:val="center"/>
          </w:tcPr>
          <w:p w14:paraId="12567766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¿Son correctas la divisibilidad, las cotas de grados, cancelación y distancia, bajo las hipótesis declaradas?</w:t>
            </w:r>
          </w:p>
        </w:tc>
        <w:tc>
          <w:tcPr>
            <w:tcW w:w="4940" w:type="dxa"/>
            <w:vAlign w:val="center"/>
          </w:tcPr>
          <w:p w14:paraId="1A2F3429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 xml:space="preserve">sección 6.7.2; </w:t>
            </w:r>
            <w:hyperlink r:id="rId24">
              <w:r>
                <w:rPr>
                  <w:rStyle w:val="Hipervnculo"/>
                  <w:sz w:val="20"/>
                </w:rPr>
                <w:t>grados válidos</w:t>
              </w:r>
            </w:hyperlink>
            <w:r>
              <w:t xml:space="preserve">, </w:t>
            </w:r>
            <w:hyperlink r:id="rId25">
              <w:r>
                <w:rPr>
                  <w:rStyle w:val="Hipervnculo"/>
                  <w:sz w:val="20"/>
                </w:rPr>
                <w:t>cancelación sesgada</w:t>
              </w:r>
            </w:hyperlink>
            <w:r>
              <w:t xml:space="preserve"> y </w:t>
            </w:r>
            <w:hyperlink r:id="rId26">
              <w:r>
                <w:rPr>
                  <w:rStyle w:val="Hipervnculo"/>
                  <w:sz w:val="20"/>
                </w:rPr>
                <w:t>cota de distancia</w:t>
              </w:r>
            </w:hyperlink>
            <w:r>
              <w:t>. Distinguir el reto uniforme ideal del transporte de bytes y una traza inválida de un enunciado falso.</w:t>
            </w:r>
          </w:p>
        </w:tc>
      </w:tr>
      <w:tr w:rsidR="005D5194" w14:paraId="54535AFE" w14:textId="77777777" w:rsidTr="005D5194">
        <w:trPr>
          <w:cantSplit/>
          <w:jc w:val="center"/>
        </w:trPr>
        <w:tc>
          <w:tcPr>
            <w:tcW w:w="1300" w:type="dxa"/>
            <w:vAlign w:val="center"/>
          </w:tcPr>
          <w:p w14:paraId="74FDF193" w14:textId="77777777" w:rsidR="005D5194" w:rsidRDefault="0041205C">
            <w:pPr>
              <w:pStyle w:val="Compact"/>
              <w:spacing w:before="60" w:after="60" w:line="240" w:lineRule="auto"/>
              <w:jc w:val="center"/>
            </w:pPr>
            <w:r>
              <w:t>2</w:t>
            </w:r>
          </w:p>
        </w:tc>
        <w:tc>
          <w:tcPr>
            <w:tcW w:w="3120" w:type="dxa"/>
            <w:vAlign w:val="center"/>
          </w:tcPr>
          <w:p w14:paraId="4D297822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¿La unicidad y elección previa del candidato próximo están justificadas sin depender de retos futuros?</w:t>
            </w:r>
          </w:p>
        </w:tc>
        <w:tc>
          <w:tcPr>
            <w:tcW w:w="4940" w:type="dxa"/>
            <w:vAlign w:val="center"/>
          </w:tcPr>
          <w:p w14:paraId="4AF28133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 xml:space="preserve">secciones 6.7.4–6.7.5; </w:t>
            </w:r>
            <w:hyperlink r:id="rId27">
              <w:r>
                <w:rPr>
                  <w:rStyle w:val="Hipervnculo"/>
                  <w:sz w:val="20"/>
                </w:rPr>
                <w:t>unicidad</w:t>
              </w:r>
            </w:hyperlink>
            <w:r>
              <w:t xml:space="preserve">, </w:t>
            </w:r>
            <w:hyperlink r:id="rId28">
              <w:r>
                <w:rPr>
                  <w:rStyle w:val="Hipervnculo"/>
                  <w:sz w:val="20"/>
                </w:rPr>
                <w:t>candidato</w:t>
              </w:r>
            </w:hyperlink>
            <w:r>
              <w:t xml:space="preserve"> y </w:t>
            </w:r>
            <w:hyperlink r:id="rId29">
              <w:r>
                <w:rPr>
                  <w:rStyle w:val="Hipervnculo"/>
                  <w:sz w:val="20"/>
                </w:rPr>
                <w:t>conjuntos causales previos</w:t>
              </w:r>
            </w:hyperlink>
            <w:r>
              <w:t>. Revisar distancia RS, campo base/extensión y selección a partir del pasado.</w:t>
            </w:r>
          </w:p>
        </w:tc>
      </w:tr>
      <w:tr w:rsidR="005D5194" w14:paraId="4BC083AB" w14:textId="77777777" w:rsidTr="005D5194">
        <w:trPr>
          <w:cantSplit/>
          <w:jc w:val="center"/>
        </w:trPr>
        <w:tc>
          <w:tcPr>
            <w:tcW w:w="1300" w:type="dxa"/>
            <w:vAlign w:val="center"/>
          </w:tcPr>
          <w:p w14:paraId="1CD69778" w14:textId="77777777" w:rsidR="005D5194" w:rsidRDefault="0041205C">
            <w:pPr>
              <w:pStyle w:val="Compact"/>
              <w:spacing w:before="60" w:after="60" w:line="240" w:lineRule="auto"/>
              <w:jc w:val="center"/>
            </w:pPr>
            <w:r>
              <w:t>3</w:t>
            </w:r>
          </w:p>
        </w:tc>
        <w:tc>
          <w:tcPr>
            <w:tcW w:w="3120" w:type="dxa"/>
            <w:vAlign w:val="center"/>
          </w:tcPr>
          <w:p w14:paraId="6F7D9E39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¿Son válidas las cotas FRI locales y por rondas, con sus grados, dominios y término final?</w:t>
            </w:r>
          </w:p>
        </w:tc>
        <w:tc>
          <w:tcPr>
            <w:tcW w:w="4940" w:type="dxa"/>
            <w:vAlign w:val="center"/>
          </w:tcPr>
          <w:p w14:paraId="412BE36C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 xml:space="preserve">secciones 6.7.5 y 6.7.8; </w:t>
            </w:r>
            <w:hyperlink r:id="rId30">
              <w:r>
                <w:rPr>
                  <w:rStyle w:val="Hipervnculo"/>
                  <w:sz w:val="20"/>
                </w:rPr>
                <w:t>experimento FRI</w:t>
              </w:r>
            </w:hyperlink>
            <w:r>
              <w:t xml:space="preserve">, </w:t>
            </w:r>
            <w:hyperlink r:id="rId31">
              <w:r>
                <w:rPr>
                  <w:rStyle w:val="Hipervnculo"/>
                  <w:sz w:val="20"/>
                </w:rPr>
                <w:t>cota FRI causal</w:t>
              </w:r>
            </w:hyperlink>
            <w:r>
              <w:t xml:space="preserve"> y </w:t>
            </w:r>
            <w:hyperlink r:id="rId32">
              <w:r>
                <w:rPr>
                  <w:rStyle w:val="Hipervnculo"/>
                  <w:sz w:val="20"/>
                </w:rPr>
                <w:t>cota de rondas</w:t>
              </w:r>
            </w:hyperlink>
            <w:r>
              <w:t>. No atribuir una ley independiente a retos adaptativos sin el transporte demostrado.</w:t>
            </w:r>
          </w:p>
        </w:tc>
      </w:tr>
      <w:tr w:rsidR="005D5194" w14:paraId="7E0CE4EB" w14:textId="77777777" w:rsidTr="005D5194">
        <w:trPr>
          <w:cantSplit/>
          <w:jc w:val="center"/>
        </w:trPr>
        <w:tc>
          <w:tcPr>
            <w:tcW w:w="1300" w:type="dxa"/>
            <w:vAlign w:val="center"/>
          </w:tcPr>
          <w:p w14:paraId="3388245E" w14:textId="77777777" w:rsidR="005D5194" w:rsidRDefault="0041205C">
            <w:pPr>
              <w:pStyle w:val="Compact"/>
              <w:spacing w:before="60" w:after="60" w:line="240" w:lineRule="auto"/>
              <w:jc w:val="center"/>
            </w:pPr>
            <w:r>
              <w:t>4</w:t>
            </w:r>
          </w:p>
        </w:tc>
        <w:tc>
          <w:tcPr>
            <w:tcW w:w="3120" w:type="dxa"/>
            <w:vAlign w:val="center"/>
          </w:tcPr>
          <w:p w14:paraId="08E7FD8C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¿La composición AIR/doble FRI y la consulta compartida justifican la descomposición final sin doble cobro?</w:t>
            </w:r>
          </w:p>
        </w:tc>
        <w:tc>
          <w:tcPr>
            <w:tcW w:w="4940" w:type="dxa"/>
            <w:vAlign w:val="center"/>
          </w:tcPr>
          <w:p w14:paraId="46F69DB4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 xml:space="preserve">secciones 6.7.8–6.7.9; </w:t>
            </w:r>
            <w:hyperlink r:id="rId33">
              <w:r>
                <w:rPr>
                  <w:rStyle w:val="Hipervnculo"/>
                  <w:sz w:val="20"/>
                </w:rPr>
                <w:t>cardinal de la vista</w:t>
              </w:r>
            </w:hyperlink>
            <w:r>
              <w:t xml:space="preserve">, </w:t>
            </w:r>
            <w:hyperlink r:id="rId34">
              <w:r>
                <w:rPr>
                  <w:rStyle w:val="Hipervnculo"/>
                  <w:sz w:val="20"/>
                </w:rPr>
                <w:t>cota de reconstrucción</w:t>
              </w:r>
            </w:hyperlink>
            <w:r>
              <w:t xml:space="preserve"> </w:t>
            </w:r>
            <w:r>
              <w:t>y CotaTrabajoFinal. Revisar el evento de exceso, el estado absorbente, preconsultas y memoria; no sustituir la muestra común por dos muestras independientes.</w:t>
            </w:r>
          </w:p>
        </w:tc>
      </w:tr>
      <w:tr w:rsidR="005D5194" w14:paraId="3FBE4273" w14:textId="77777777" w:rsidTr="005D5194">
        <w:trPr>
          <w:cantSplit/>
          <w:jc w:val="center"/>
        </w:trPr>
        <w:tc>
          <w:tcPr>
            <w:tcW w:w="1300" w:type="dxa"/>
            <w:vAlign w:val="center"/>
          </w:tcPr>
          <w:p w14:paraId="4FB7061A" w14:textId="77777777" w:rsidR="005D5194" w:rsidRDefault="0041205C">
            <w:pPr>
              <w:pStyle w:val="Compact"/>
              <w:spacing w:before="60" w:after="60" w:line="240" w:lineRule="auto"/>
              <w:jc w:val="center"/>
            </w:pPr>
            <w:r>
              <w:t>5</w:t>
            </w:r>
          </w:p>
        </w:tc>
        <w:tc>
          <w:tcPr>
            <w:tcW w:w="3120" w:type="dxa"/>
            <w:vAlign w:val="center"/>
          </w:tcPr>
          <w:p w14:paraId="3B7201AA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¿El teorema ROM conservador cubre el adversario y presupuesto declarados, incluidos trabajo, perfiles y reinicios?</w:t>
            </w:r>
          </w:p>
        </w:tc>
        <w:tc>
          <w:tcPr>
            <w:tcW w:w="4940" w:type="dxa"/>
            <w:vAlign w:val="center"/>
          </w:tcPr>
          <w:p w14:paraId="1FB6B804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 xml:space="preserve">sección 6.7.9; </w:t>
            </w:r>
            <w:hyperlink r:id="rId35">
              <w:r>
                <w:rPr>
                  <w:rStyle w:val="Hipervnculo"/>
                  <w:sz w:val="20"/>
                </w:rPr>
                <w:t>presupuesto real</w:t>
              </w:r>
            </w:hyperlink>
            <w:r>
              <w:t xml:space="preserve">, </w:t>
            </w:r>
            <w:hyperlink r:id="rId36">
              <w:r>
                <w:rPr>
                  <w:rStyle w:val="Hipervnculo"/>
                  <w:sz w:val="20"/>
                </w:rPr>
                <w:t>masa del trabajo</w:t>
              </w:r>
            </w:hyperlink>
            <w:r>
              <w:t xml:space="preserve">, </w:t>
            </w:r>
            <w:hyperlink r:id="rId37">
              <w:r>
                <w:rPr>
                  <w:rStyle w:val="Hipervnculo"/>
                  <w:sz w:val="20"/>
                </w:rPr>
                <w:t>cobertura por primeras parejas</w:t>
              </w:r>
            </w:hyperlink>
            <w:r>
              <w:t xml:space="preserve">, CotaTrabajoFinal y CotaTrabajoNumerica. Revisar el cargo </w:t>
            </w: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, el error de acoplamiento y la ausencia de condicionamiento al nonce ganador. La parte QROM de la pregunta original queda diferida.</w:t>
            </w:r>
          </w:p>
        </w:tc>
      </w:tr>
      <w:tr w:rsidR="005D5194" w14:paraId="43B7B9E3" w14:textId="77777777" w:rsidTr="005D5194">
        <w:trPr>
          <w:cantSplit/>
          <w:jc w:val="center"/>
        </w:trPr>
        <w:tc>
          <w:tcPr>
            <w:tcW w:w="1300" w:type="dxa"/>
            <w:vAlign w:val="center"/>
          </w:tcPr>
          <w:p w14:paraId="01081D2F" w14:textId="77777777" w:rsidR="005D5194" w:rsidRDefault="0041205C">
            <w:pPr>
              <w:pStyle w:val="Compact"/>
              <w:spacing w:before="60" w:after="60" w:line="240" w:lineRule="auto"/>
              <w:jc w:val="center"/>
            </w:pPr>
            <w:r>
              <w:t>6</w:t>
            </w:r>
          </w:p>
        </w:tc>
        <w:tc>
          <w:tcPr>
            <w:tcW w:w="3120" w:type="dxa"/>
            <w:vAlign w:val="center"/>
          </w:tcPr>
          <w:p w14:paraId="2F543AAA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¿La separación entre resultados probados, resultados bibliográficos, evidencia empírica y límites es suficiente para el alcance académico acordado?</w:t>
            </w:r>
          </w:p>
        </w:tc>
        <w:tc>
          <w:tcPr>
            <w:tcW w:w="4940" w:type="dxa"/>
            <w:vAlign w:val="center"/>
          </w:tcPr>
          <w:p w14:paraId="4D5B5424" w14:textId="77777777" w:rsidR="005D5194" w:rsidRDefault="0041205C">
            <w:pPr>
              <w:pStyle w:val="Compact"/>
              <w:spacing w:before="60" w:after="60" w:line="240" w:lineRule="auto"/>
              <w:jc w:val="left"/>
            </w:pPr>
            <w:r>
              <w:t>Objetivos originales, sección 6.4 y conclusiones. Decidir qué afirmaciones condicionales se aceptan, cuáles deben corregirse o retirarse y cuáles exigirían ampliar el alcance. No convertir por defecto refinamiento universal, despliegue o QROM en nuevos módulos obligatorios.</w:t>
            </w:r>
          </w:p>
        </w:tc>
      </w:tr>
    </w:tbl>
    <w:p w14:paraId="7A6322A9" w14:textId="77777777" w:rsidR="005D5194" w:rsidRDefault="0041205C">
      <w:pPr>
        <w:pStyle w:val="Textoindependiente"/>
      </w:pPr>
      <w:r>
        <w:t>Las seis preguntas permanecen pendientes del director. Las referencias facilitan su revisión; no constituyen respuestas atribuidas a él.</w:t>
      </w:r>
    </w:p>
    <w:p w14:paraId="4835AE7F" w14:textId="77777777" w:rsidR="005D5194" w:rsidRDefault="0041205C">
      <w:pPr>
        <w:pStyle w:val="Ttulo2"/>
      </w:pPr>
      <w:bookmarkStart w:id="4" w:name="Xd8e2c9f4939e6eade5f75a96cdbf46bb68a8327"/>
      <w:bookmarkEnd w:id="3"/>
      <w:r>
        <w:lastRenderedPageBreak/>
        <w:t>Fronteras que el dictamen debe conservar o modificar expresamente</w:t>
      </w:r>
    </w:p>
    <w:p w14:paraId="4E7416C7" w14:textId="77777777" w:rsidR="005D5194" w:rsidRDefault="0041205C" w:rsidP="0041205C">
      <w:pPr>
        <w:pStyle w:val="Compact"/>
        <w:numPr>
          <w:ilvl w:val="0"/>
          <w:numId w:val="2"/>
        </w:numPr>
      </w:pPr>
      <w:r>
        <w:t>La prueba ROM es del verificador matemático de bytes. No establece equivalencia universal de Rust, sus codecs, instrucciones de máquina o SHA3 determinista con el modelo ideal.</w:t>
      </w:r>
    </w:p>
    <w:p w14:paraId="569AA58F" w14:textId="77777777" w:rsidR="005D5194" w:rsidRDefault="0041205C" w:rsidP="0041205C">
      <w:pPr>
        <w:pStyle w:val="Compact"/>
        <w:numPr>
          <w:ilvl w:val="0"/>
          <w:numId w:val="2"/>
        </w:numPr>
      </w:pPr>
      <w:r>
        <w:t>La ruta Rust activa aplica el corte de 512 y exige contexto externo; ActiveChain lo toma de instantáneas locales antes del registro de envíos. El AIR sigue siendo una recurrencia escalar: las raíces SHA3 generales fuera del modelo se rechazan. Los positivos sintéticos no acreditan una L2 completa, consenso o persistencia.</w:t>
      </w:r>
    </w:p>
    <w:p w14:paraId="05CE53EB" w14:textId="77777777" w:rsidR="005D5194" w:rsidRDefault="0041205C" w:rsidP="0041205C">
      <w:pPr>
        <w:pStyle w:val="Compact"/>
        <w:numPr>
          <w:ilvl w:val="0"/>
          <w:numId w:val="2"/>
        </w:numPr>
      </w:pPr>
      <w:r>
        <w:t>Las reducciones de firmas citadas no se convierten en una garantía concreta de inforjabilidad del ejecutable por el resultado AIR/FRI. Las garantías de entropía física, custodia y eliminación de secretos conservan sus condiciones.</w:t>
      </w:r>
    </w:p>
    <w:p w14:paraId="5776003D" w14:textId="77777777" w:rsidR="005D5194" w:rsidRDefault="0041205C" w:rsidP="0041205C">
      <w:pPr>
        <w:pStyle w:val="Compact"/>
        <w:numPr>
          <w:ilvl w:val="0"/>
          <w:numId w:val="2"/>
        </w:numPr>
      </w:pPr>
      <w:r>
        <w:t>Los límites de procedencia H1/H2 no se resuelven mediante una prueba aritmética ni con la caché recuperada. Los conteos de pruebas de distintas ejecuciones no se suman.</w:t>
      </w:r>
    </w:p>
    <w:p w14:paraId="64F401E5" w14:textId="77777777" w:rsidR="005D5194" w:rsidRDefault="0041205C" w:rsidP="0041205C">
      <w:pPr>
        <w:pStyle w:val="Compact"/>
        <w:numPr>
          <w:ilvl w:val="0"/>
          <w:numId w:val="2"/>
        </w:numPr>
      </w:pPr>
      <w:r>
        <w:t>No se acreditan 100 bits, conocimiento cero, QROM completo, aprobación académica ni envío. La aprobación anterior del plan no se atribuye a estas demostraciones posteriores.</w:t>
      </w:r>
    </w:p>
    <w:p w14:paraId="7FF990F1" w14:textId="77777777" w:rsidR="005D5194" w:rsidRDefault="0041205C">
      <w:pPr>
        <w:pStyle w:val="Ttulo2"/>
      </w:pPr>
      <w:bookmarkStart w:id="5" w:name="formato-de-respuesta-solicitado"/>
      <w:bookmarkEnd w:id="4"/>
      <w:r>
        <w:t>Formato de respuesta solicitado</w:t>
      </w:r>
    </w:p>
    <w:p w14:paraId="243A7D31" w14:textId="77777777" w:rsidR="005D5194" w:rsidRDefault="0041205C">
      <w:pPr>
        <w:pStyle w:val="FirstParagraph"/>
      </w:pPr>
      <w:r>
        <w:t>Para cada pregunta, registrar:</w:t>
      </w:r>
    </w:p>
    <w:p w14:paraId="72E17C37" w14:textId="77777777" w:rsidR="005D5194" w:rsidRDefault="0041205C" w:rsidP="0041205C">
      <w:pPr>
        <w:pStyle w:val="Compact"/>
        <w:numPr>
          <w:ilvl w:val="0"/>
          <w:numId w:val="3"/>
        </w:numPr>
      </w:pPr>
      <w:r>
        <w:t>Número de pregunta del 1 al 6 y enunciado o pasaje exacto revisado.</w:t>
      </w:r>
    </w:p>
    <w:p w14:paraId="4F674BC1" w14:textId="77777777" w:rsidR="005D5194" w:rsidRDefault="0041205C" w:rsidP="0041205C">
      <w:pPr>
        <w:pStyle w:val="Compact"/>
        <w:numPr>
          <w:ilvl w:val="0"/>
          <w:numId w:val="3"/>
        </w:numPr>
      </w:pPr>
      <w:r>
        <w:t>Nombre del revisor, fecha y relación con la tesis.</w:t>
      </w:r>
    </w:p>
    <w:p w14:paraId="48D21C08" w14:textId="77777777" w:rsidR="005D5194" w:rsidRDefault="0041205C" w:rsidP="0041205C">
      <w:pPr>
        <w:pStyle w:val="Compact"/>
        <w:numPr>
          <w:ilvl w:val="0"/>
          <w:numId w:val="3"/>
        </w:numPr>
      </w:pPr>
      <w:r>
        <w:t>Juicio: aceptable en su alcance, requiere corrección, no aceptable o no revisado.</w:t>
      </w:r>
    </w:p>
    <w:p w14:paraId="3F8A2E7B" w14:textId="77777777" w:rsidR="005D5194" w:rsidRDefault="0041205C" w:rsidP="0041205C">
      <w:pPr>
        <w:pStyle w:val="Compact"/>
        <w:numPr>
          <w:ilvl w:val="0"/>
          <w:numId w:val="3"/>
        </w:numPr>
      </w:pPr>
      <w:r>
        <w:t>Hipótesis que deben permanecer explícitas y observaciones justificadas.</w:t>
      </w:r>
    </w:p>
    <w:p w14:paraId="3325FAC7" w14:textId="77777777" w:rsidR="005D5194" w:rsidRDefault="0041205C" w:rsidP="0041205C">
      <w:pPr>
        <w:pStyle w:val="Compact"/>
        <w:numPr>
          <w:ilvl w:val="0"/>
          <w:numId w:val="3"/>
        </w:numPr>
      </w:pPr>
      <w:r>
        <w:t>Corrección concreta o decisión de alcance solicitada, cuando corresponda.</w:t>
      </w:r>
    </w:p>
    <w:p w14:paraId="531272D1" w14:textId="77777777" w:rsidR="005D5194" w:rsidRDefault="0041205C" w:rsidP="0041205C">
      <w:pPr>
        <w:pStyle w:val="Compact"/>
        <w:numPr>
          <w:ilvl w:val="0"/>
          <w:numId w:val="3"/>
        </w:numPr>
      </w:pPr>
      <w:r>
        <w:t>Resolución posterior y evidencia del cambio, sin marcar cierre antes de atender la observación.</w:t>
      </w:r>
    </w:p>
    <w:p w14:paraId="05CBA38E" w14:textId="77777777" w:rsidR="005D5194" w:rsidRDefault="0041205C">
      <w:pPr>
        <w:pStyle w:val="FirstParagraph"/>
      </w:pPr>
      <w:r>
        <w:t>La valoración de cada pregunta se distingue de una aprobación global de la tesis. El envío, recepción y dictamen se registrarán cuando realmente ocurran; esta preparación no los anticipa.</w:t>
      </w:r>
    </w:p>
    <w:p w14:paraId="704E3A14" w14:textId="77777777" w:rsidR="005D5194" w:rsidRDefault="0041205C">
      <w:pPr>
        <w:pStyle w:val="Ttulo2"/>
      </w:pPr>
      <w:bookmarkStart w:id="6" w:name="antecedentes-conservados"/>
      <w:bookmarkEnd w:id="5"/>
      <w:r>
        <w:lastRenderedPageBreak/>
        <w:t>Antecedentes conservados</w:t>
      </w:r>
    </w:p>
    <w:p w14:paraId="0416F3A7" w14:textId="77777777" w:rsidR="005D5194" w:rsidRDefault="0041205C">
      <w:pPr>
        <w:pStyle w:val="FirstParagraph"/>
      </w:pPr>
      <w:r>
        <w:t xml:space="preserve">La solicitud original, con su estado anterior, se preserva en el </w:t>
      </w:r>
      <w:hyperlink r:id="rId38">
        <w:r>
          <w:rPr>
            <w:rStyle w:val="Hipervnculo"/>
          </w:rPr>
          <w:t>respaldo previo</w:t>
        </w:r>
      </w:hyperlink>
      <w:r>
        <w:t xml:space="preserve">. Los </w:t>
      </w:r>
      <w:hyperlink r:id="rId39">
        <w:r>
          <w:rPr>
            <w:rStyle w:val="Hipervnculo"/>
          </w:rPr>
          <w:t>suplementos de derivaciones</w:t>
        </w:r>
      </w:hyperlink>
      <w:r>
        <w:t xml:space="preserve">, el </w:t>
      </w:r>
      <w:hyperlink r:id="rId40">
        <w:r>
          <w:rPr>
            <w:rStyle w:val="Hipervnculo"/>
          </w:rPr>
          <w:t>catálogo de afirmaciones</w:t>
        </w:r>
      </w:hyperlink>
      <w:r>
        <w:t xml:space="preserve"> y la </w:t>
      </w:r>
      <w:hyperlink r:id="rId41">
        <w:r>
          <w:rPr>
            <w:rStyle w:val="Hipervnculo"/>
          </w:rPr>
          <w:t>revisión interna por potencial</w:t>
        </w:r>
      </w:hyperlink>
      <w:r>
        <w:t xml:space="preserve"> </w:t>
      </w:r>
      <w:r>
        <w:t>son material de apoyo histórico, no sustitutos de la tesis y la formalización vigentes. Sus descripciones de pasos abiertos se interpretan en su fecha; no reabren el cierre posterior del modelo.</w:t>
      </w:r>
    </w:p>
    <w:p w14:paraId="7F8DEDCF" w14:textId="77777777" w:rsidR="005D5194" w:rsidRDefault="0041205C">
      <w:pPr>
        <w:pStyle w:val="Textoindependiente"/>
      </w:pPr>
      <w:r>
        <w:t>Los complementos QROM permanecen archivados en sus carpetas de investigación, fuera de la lectura necesaria para resolver las seis preguntas en el cierre activo.</w:t>
      </w:r>
      <w:bookmarkEnd w:id="6"/>
    </w:p>
    <w:sectPr w:rsidR="005D5194" w:rsidSect="00A33AC4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A0B60" w14:textId="77777777" w:rsidR="0041205C" w:rsidRDefault="0041205C" w:rsidP="00645CA7">
      <w:pPr>
        <w:spacing w:after="0" w:line="240" w:lineRule="auto"/>
      </w:pPr>
      <w:r>
        <w:separator/>
      </w:r>
    </w:p>
  </w:endnote>
  <w:endnote w:type="continuationSeparator" w:id="0">
    <w:p w14:paraId="618AB58A" w14:textId="77777777" w:rsidR="0041205C" w:rsidRDefault="0041205C" w:rsidP="00645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95811" w14:textId="77777777" w:rsidR="00645CA7" w:rsidRDefault="00645CA7" w:rsidP="00BC3F3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A33AC4">
      <w:rPr>
        <w:rStyle w:val="Nmerodepgina"/>
        <w:noProof/>
      </w:rPr>
      <w:t>0</w:t>
    </w:r>
    <w:r>
      <w:rPr>
        <w:rStyle w:val="Nmerodepgina"/>
      </w:rPr>
      <w:fldChar w:fldCharType="end"/>
    </w:r>
  </w:p>
  <w:p w14:paraId="54C48666" w14:textId="77777777" w:rsidR="00645CA7" w:rsidRDefault="00645CA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E04D3" w14:textId="77777777" w:rsidR="00645CA7" w:rsidRPr="00A33AC4" w:rsidRDefault="00645CA7" w:rsidP="00BC3F3D">
    <w:pPr>
      <w:pStyle w:val="Piedepgina"/>
      <w:framePr w:wrap="around" w:vAnchor="text" w:hAnchor="margin" w:xAlign="center" w:y="1"/>
      <w:rPr>
        <w:rStyle w:val="Nmerodepgina"/>
        <w:sz w:val="20"/>
      </w:rPr>
    </w:pPr>
    <w:r w:rsidRPr="00A33AC4">
      <w:rPr>
        <w:rStyle w:val="Nmerodepgina"/>
        <w:sz w:val="20"/>
      </w:rPr>
      <w:fldChar w:fldCharType="begin"/>
    </w:r>
    <w:r w:rsidRPr="00A33AC4">
      <w:rPr>
        <w:rStyle w:val="Nmerodepgina"/>
        <w:sz w:val="20"/>
      </w:rPr>
      <w:instrText xml:space="preserve"> PAGE </w:instrText>
    </w:r>
    <w:r w:rsidRPr="00A33AC4">
      <w:rPr>
        <w:rStyle w:val="Nmerodepgina"/>
        <w:sz w:val="20"/>
      </w:rPr>
      <w:fldChar w:fldCharType="separate"/>
    </w:r>
    <w:r w:rsidRPr="00A33AC4">
      <w:rPr>
        <w:rStyle w:val="Nmerodepgina"/>
        <w:noProof/>
        <w:sz w:val="20"/>
      </w:rPr>
      <w:t>1</w:t>
    </w:r>
    <w:r w:rsidRPr="00A33AC4">
      <w:rPr>
        <w:rStyle w:val="Nmerodepgina"/>
        <w:sz w:val="20"/>
      </w:rPr>
      <w:fldChar w:fldCharType="end"/>
    </w:r>
  </w:p>
  <w:p w14:paraId="62FBE2C0" w14:textId="77777777" w:rsidR="00645CA7" w:rsidRPr="00A33AC4" w:rsidRDefault="00645CA7">
    <w:pPr>
      <w:pStyle w:val="Piedepgina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958B" w14:textId="77777777" w:rsidR="00645CA7" w:rsidRDefault="00645C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A5624" w14:textId="77777777" w:rsidR="0041205C" w:rsidRDefault="0041205C" w:rsidP="00645CA7">
      <w:pPr>
        <w:spacing w:after="0" w:line="240" w:lineRule="auto"/>
      </w:pPr>
      <w:r>
        <w:separator/>
      </w:r>
    </w:p>
  </w:footnote>
  <w:footnote w:type="continuationSeparator" w:id="0">
    <w:p w14:paraId="13250DB1" w14:textId="77777777" w:rsidR="0041205C" w:rsidRDefault="0041205C" w:rsidP="00645C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FDFE" w14:textId="77777777" w:rsidR="00645CA7" w:rsidRDefault="00645CA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6C3C1" w14:textId="77777777" w:rsidR="00645CA7" w:rsidRDefault="00645CA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A7C04" w14:textId="77777777" w:rsidR="00645CA7" w:rsidRDefault="00645CA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71448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C05C3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53520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92789085">
    <w:abstractNumId w:val="0"/>
  </w:num>
  <w:num w:numId="3" w16cid:durableId="67476848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0D9D"/>
    <w:rsid w:val="000A0A76"/>
    <w:rsid w:val="0041205C"/>
    <w:rsid w:val="005D5194"/>
    <w:rsid w:val="00645CA7"/>
    <w:rsid w:val="00A33AC4"/>
    <w:rsid w:val="00C10D9D"/>
    <w:rsid w:val="00C83173"/>
    <w:rsid w:val="00ED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41ECB"/>
  <w15:docId w15:val="{E5D3FB6B-7774-4AA6-B4C1-0A332E03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pageBreakBefore/>
      <w:spacing w:before="240"/>
      <w:jc w:val="left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240"/>
      <w:jc w:val="left"/>
      <w:outlineLvl w:val="1"/>
    </w:pPr>
    <w:rPr>
      <w:b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240"/>
      <w:jc w:val="left"/>
      <w:outlineLvl w:val="2"/>
    </w:pPr>
    <w:rPr>
      <w:b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240"/>
      <w:jc w:val="left"/>
      <w:outlineLvl w:val="3"/>
    </w:pPr>
    <w:rPr>
      <w:b/>
      <w:i/>
      <w:iCs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240"/>
      <w:jc w:val="left"/>
      <w:outlineLvl w:val="4"/>
    </w:pPr>
    <w:rPr>
      <w:b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240"/>
      <w:jc w:val="left"/>
      <w:outlineLvl w:val="5"/>
    </w:pPr>
    <w:rPr>
      <w:b/>
      <w:i/>
      <w:iCs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240"/>
      <w:jc w:val="left"/>
      <w:outlineLvl w:val="6"/>
    </w:pPr>
    <w:rPr>
      <w:b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before="240"/>
      <w:jc w:val="left"/>
      <w:outlineLvl w:val="7"/>
    </w:pPr>
    <w:rPr>
      <w:b/>
      <w:i/>
      <w:iCs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before="240"/>
      <w:jc w:val="left"/>
      <w:outlineLvl w:val="8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before="240" w:after="240"/>
      <w:contextualSpacing/>
      <w:jc w:val="center"/>
    </w:pPr>
    <w:rPr>
      <w:sz w:val="36"/>
      <w:szCs w:val="3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4"/>
      <w:szCs w:val="24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VerbatimChar">
    <w:name w:val="Verbatim Char"/>
    <w:basedOn w:val="DescripcinCar"/>
    <w:link w:val="SourceCode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SectionNumber">
    <w:name w:val="Section Number"/>
    <w:basedOn w:val="DescripcinC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Refdenotaalpie">
    <w:name w:val="footnote reference"/>
    <w:basedOn w:val="DescripcinCar"/>
    <w:rPr>
      <w:rFonts w:ascii="Times New Roman" w:eastAsia="Times New Roman" w:hAnsi="Times New Roman" w:cs="Times New Roman"/>
      <w:color w:val="000000"/>
      <w:sz w:val="24"/>
      <w:szCs w:val="24"/>
      <w:vertAlign w:val="superscript"/>
    </w:rPr>
  </w:style>
  <w:style w:type="character" w:styleId="Hipervnculo">
    <w:name w:val="Hyperlink"/>
    <w:basedOn w:val="DescripcinCar"/>
    <w:uiPriority w:val="99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line="259" w:lineRule="auto"/>
      <w:outlineLvl w:val="9"/>
    </w:pPr>
    <w:rPr>
      <w:b w:val="0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0"/>
      <w:spacing w:after="0" w:line="240" w:lineRule="auto"/>
    </w:pPr>
    <w:rPr>
      <w:rFonts w:ascii="Consolas" w:eastAsia="Consolas" w:hAnsi="Consolas" w:cs="Consolas"/>
      <w:sz w:val="16"/>
      <w:szCs w:val="16"/>
    </w:r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000000"/>
      <w:sz w:val="24"/>
      <w:szCs w:val="24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000000"/>
      <w:sz w:val="24"/>
      <w:szCs w:val="24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000000"/>
      <w:sz w:val="24"/>
      <w:szCs w:val="24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000000"/>
      <w:sz w:val="24"/>
      <w:szCs w:val="24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000000"/>
      <w:sz w:val="24"/>
      <w:szCs w:val="24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000000"/>
      <w:sz w:val="24"/>
      <w:szCs w:val="24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TDC1">
    <w:name w:val="toc 1"/>
    <w:basedOn w:val="Normal"/>
    <w:next w:val="Normal"/>
    <w:autoRedefine/>
    <w:uiPriority w:val="39"/>
    <w:rsid w:val="00645CA7"/>
    <w:pPr>
      <w:spacing w:after="0" w:line="240" w:lineRule="auto"/>
    </w:pPr>
    <w:rPr>
      <w:sz w:val="21"/>
    </w:rPr>
  </w:style>
  <w:style w:type="paragraph" w:styleId="TDC2">
    <w:name w:val="toc 2"/>
    <w:basedOn w:val="Normal"/>
    <w:next w:val="Normal"/>
    <w:autoRedefine/>
    <w:uiPriority w:val="39"/>
    <w:rsid w:val="00645CA7"/>
    <w:pPr>
      <w:spacing w:after="0" w:line="240" w:lineRule="auto"/>
      <w:ind w:left="240"/>
    </w:pPr>
    <w:rPr>
      <w:sz w:val="21"/>
    </w:rPr>
  </w:style>
  <w:style w:type="paragraph" w:styleId="Encabezado">
    <w:name w:val="header"/>
    <w:basedOn w:val="Normal"/>
    <w:link w:val="EncabezadoCar"/>
    <w:rsid w:val="00645C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645CA7"/>
  </w:style>
  <w:style w:type="paragraph" w:styleId="Piedepgina">
    <w:name w:val="footer"/>
    <w:basedOn w:val="Normal"/>
    <w:link w:val="PiedepginaCar"/>
    <w:rsid w:val="00645C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645CA7"/>
  </w:style>
  <w:style w:type="character" w:styleId="Nmerodepgina">
    <w:name w:val="page number"/>
    <w:basedOn w:val="Fuentedeprrafopredeter"/>
    <w:rsid w:val="00645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../../formalizacion/README.md" TargetMode="External"/><Relationship Id="rId18" Type="http://schemas.openxmlformats.org/officeDocument/2006/relationships/hyperlink" Target="../../06-Evidencia-TG2/2026-10-20/Lean-Global/verificacion.json" TargetMode="External"/><Relationship Id="rId26" Type="http://schemas.openxmlformats.org/officeDocument/2006/relationships/hyperlink" Target="../../../formalizacion/Nexus/N02/Solucion.lean" TargetMode="External"/><Relationship Id="rId39" Type="http://schemas.openxmlformats.org/officeDocument/2006/relationships/hyperlink" Target="Derivaciones-Matematicas-TG2-2026-10-12.md" TargetMode="External"/><Relationship Id="rId21" Type="http://schemas.openxmlformats.org/officeDocument/2006/relationships/hyperlink" Target="../../06-Evidencia-TG2/2026-10-20/ActiveChain/integracion.json" TargetMode="External"/><Relationship Id="rId34" Type="http://schemas.openxmlformats.org/officeDocument/2006/relationships/hyperlink" Target="../../../formalizacion/Nexus/Verificador/CotaSinBad.lean" TargetMode="External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hyperlink" Target="../../01-Manuscrito/README.md" TargetMode="External"/><Relationship Id="rId2" Type="http://schemas.openxmlformats.org/officeDocument/2006/relationships/styles" Target="styles.xml"/><Relationship Id="rId16" Type="http://schemas.openxmlformats.org/officeDocument/2006/relationships/hyperlink" Target="../../../formalizacion/Nexus/Verificador/CotaTrabajoFinal.lean" TargetMode="External"/><Relationship Id="rId29" Type="http://schemas.openxmlformats.org/officeDocument/2006/relationships/hyperlink" Target="../../../formalizacion/Nexus/Verificador/ConjuntosPrevios.lean" TargetMode="External"/><Relationship Id="rId11" Type="http://schemas.openxmlformats.org/officeDocument/2006/relationships/hyperlink" Target="../../01-Manuscrito/Capitulos/Cap7-Conclusiones.md" TargetMode="External"/><Relationship Id="rId24" Type="http://schemas.openxmlformats.org/officeDocument/2006/relationships/hyperlink" Target="../../../formalizacion/Nexus/AIR/GradosValidos.lean" TargetMode="External"/><Relationship Id="rId32" Type="http://schemas.openxmlformats.org/officeDocument/2006/relationships/hyperlink" Target="../../../formalizacion/Nexus/Verificador/CotaAdaptativaFinal.lean" TargetMode="External"/><Relationship Id="rId37" Type="http://schemas.openxmlformats.org/officeDocument/2006/relationships/hyperlink" Target="../../../formalizacion/Nexus/Verificador/CoberturaTrabajo.lean" TargetMode="External"/><Relationship Id="rId40" Type="http://schemas.openxmlformats.org/officeDocument/2006/relationships/hyperlink" Target="Catalogo-Validacion-2026-10-12/README.md" TargetMode="External"/><Relationship Id="rId45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../../../formalizacion/Nexus/Verificador/PuenteAdaptativoFinal.lean" TargetMode="External"/><Relationship Id="rId23" Type="http://schemas.openxmlformats.org/officeDocument/2006/relationships/hyperlink" Target="../../06-Evidencia-TG2/2026-10-20/Preparacion-Revision-Director/respaldo_previo/Documentos/04-Administrativo-TG2/Entrega-Final/version-tg2.json" TargetMode="External"/><Relationship Id="rId28" Type="http://schemas.openxmlformats.org/officeDocument/2006/relationships/hyperlink" Target="../../../formalizacion/Nexus/N06/Candidato.lean" TargetMode="External"/><Relationship Id="rId36" Type="http://schemas.openxmlformats.org/officeDocument/2006/relationships/hyperlink" Target="../../../formalizacion/Nexus/Verificador/TrabajoDigest.lean" TargetMode="External"/><Relationship Id="rId49" Type="http://schemas.openxmlformats.org/officeDocument/2006/relationships/theme" Target="theme/theme1.xml"/><Relationship Id="rId10" Type="http://schemas.openxmlformats.org/officeDocument/2006/relationships/hyperlink" Target="../../01-Manuscrito/Capitulos/Cap1-Introduccion.md" TargetMode="External"/><Relationship Id="rId19" Type="http://schemas.openxmlformats.org/officeDocument/2006/relationships/hyperlink" Target="../../06-Evidencia-TG2/2026-10-20/Consolidacion-Lean/preparacion.json" TargetMode="External"/><Relationship Id="rId31" Type="http://schemas.openxmlformats.org/officeDocument/2006/relationships/hyperlink" Target="../../../formalizacion/Nexus/Verificador/CotaFRICausal.lean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../../01-Manuscrito/Tesis-NEXUS-completa.pdf" TargetMode="External"/><Relationship Id="rId14" Type="http://schemas.openxmlformats.org/officeDocument/2006/relationships/hyperlink" Target="../../../formalizacion/REVISION-MANUSCRITO.md" TargetMode="External"/><Relationship Id="rId22" Type="http://schemas.openxmlformats.org/officeDocument/2006/relationships/hyperlink" Target="../../06-Evidencia-TG2/2026-10-20/Rust-Global-Final/verificacion.json" TargetMode="External"/><Relationship Id="rId27" Type="http://schemas.openxmlformats.org/officeDocument/2006/relationships/hyperlink" Target="../../../formalizacion/Nexus/N03/Solucion.lean" TargetMode="External"/><Relationship Id="rId30" Type="http://schemas.openxmlformats.org/officeDocument/2006/relationships/hyperlink" Target="../../../formalizacion/Nexus/FRI/Experimento.lean" TargetMode="External"/><Relationship Id="rId35" Type="http://schemas.openxmlformats.org/officeDocument/2006/relationships/hyperlink" Target="../../../formalizacion/Nexus/Verificador/PresupuestoGlobal.lean" TargetMode="External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hyperlink" Target="../../01-Manuscrito/Tesis-NEXUS-completa.docx" TargetMode="External"/><Relationship Id="rId3" Type="http://schemas.openxmlformats.org/officeDocument/2006/relationships/settings" Target="settings.xml"/><Relationship Id="rId12" Type="http://schemas.openxmlformats.org/officeDocument/2006/relationships/hyperlink" Target="../../01-Manuscrito/Capitulos/Cap6-Validacion-Formal.md" TargetMode="External"/><Relationship Id="rId17" Type="http://schemas.openxmlformats.org/officeDocument/2006/relationships/hyperlink" Target="../../../formalizacion/Nexus/Verificador/CotaTrabajoNumerica.lean" TargetMode="External"/><Relationship Id="rId25" Type="http://schemas.openxmlformats.org/officeDocument/2006/relationships/hyperlink" Target="../../../formalizacion/Nexus/AIR/CancelacionSesgada.lean" TargetMode="External"/><Relationship Id="rId33" Type="http://schemas.openxmlformats.org/officeDocument/2006/relationships/hyperlink" Target="../../../formalizacion/Nexus/Verificador/CardinalVista.lean" TargetMode="External"/><Relationship Id="rId38" Type="http://schemas.openxmlformats.org/officeDocument/2006/relationships/hyperlink" Target="../../06-Evidencia-TG2/2026-10-20/Preparacion-Revision-Director/respaldo_previo/Documentos/04-Administrativo-TG2/Avances/Revision-Matematica-S1-S3-2026-09-23.md" TargetMode="External"/><Relationship Id="rId46" Type="http://schemas.openxmlformats.org/officeDocument/2006/relationships/header" Target="header3.xml"/><Relationship Id="rId20" Type="http://schemas.openxmlformats.org/officeDocument/2006/relationships/hyperlink" Target="../../06-Evidencia-TG2/2026-10-20/Rust-Lean/adaptacion.json" TargetMode="External"/><Relationship Id="rId41" Type="http://schemas.openxmlformats.org/officeDocument/2006/relationships/hyperlink" Target="Revision-Critica-ROM-2026-09-23/README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1994</Words>
  <Characters>10968</Characters>
  <Application>Microsoft Office Word</Application>
  <DocSecurity>0</DocSecurity>
  <Lines>91</Lines>
  <Paragraphs>25</Paragraphs>
  <ScaleCrop>false</ScaleCrop>
  <Company/>
  <LinksUpToDate>false</LinksUpToDate>
  <CharactersWithSpaces>12937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revisión matemática de la tesis NEXUS</dc:title>
  <dc:creator>Juan Diego Susunaga Velasquez</dc:creator>
  <cp:keywords/>
  <cp:lastModifiedBy>Juan Diego Susunaga</cp:lastModifiedBy>
  <cp:revision>3</cp:revision>
  <dcterms:created xsi:type="dcterms:W3CDTF">2026-10-20T15:52:00Z</dcterms:created>
  <dcterms:modified xsi:type="dcterms:W3CDTF">2026-10-20T18:05:00Z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Universidad del Rosario — Escuela de Ciencias e Ingeniería · Programa de Matemáticas Aplicadas y Ciencias de la Computación (MACC) · Director: Pedro Mario Wightman Rojas · 20/10/2026</vt:lpwstr>
  </property>
  <property fmtid="{D5CDD505-2E9C-101B-9397-08002B2CF9AE}" pid="3" name="toc-title">
    <vt:lpwstr>Contenido</vt:lpwstr>
  </property>
</Properties>
</file>