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2.818635607321"/>
        <w:gridCol w:w="4235.181364392679"/>
        <w:tblGridChange w:id="0">
          <w:tblGrid>
            <w:gridCol w:w="4602.818635607321"/>
            <w:gridCol w:w="4235.18136439267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ReadX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 de ReadX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R1 registroUsuario Regular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R2 registro Usuarios Premium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R3 registro libros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R4 registro revistas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R5 modificar revista o libro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R6 borrar revista o libro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R7 comprar producto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R8 presentar biblioteca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R9  generar reportes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ReadX, un conglomerado egipcio, desarrolla un prototipo de software que le permita gestionar su negocio de publicaciones a nivel mundial.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RN1 interfaz de usuario clara e intuitivo.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RN2 permitir que en un futuro se agreguen más tipos de productos o usuarios.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Tabla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 Registro Usuario Regular</w:t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registro de usuarios debe almacenar sus nombres, id,fecha de vinculación.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vinculationDate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queda registrado y se muestra un mensaje de confirmación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 Registro Usuario Premium</w:t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registro de usuarios debe almacenar sus nombres, id,Fecha de vinculacion y la tarjeta de crédito.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vinculationDate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creditCard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queda registrado y se muestra un mensaje de confirmación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R3 registro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registro de libros  debe almacenar sus nombres, id,número de paginas, url,reseña,precio,fecha de publicación y el género.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GenreType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libro queda registrado y se muestra un mensaje de confirmación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R4  registro revistas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registro de libros  debe almacenar sus nombres, id,número de paginas, url,periodicidad,precio,fecha de publicación y el género.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GenreType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revista queda registrada y se muestra un mensaje de confirmación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R5 modificar revista o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modificación debe permitir cambiar el precio al libro o revista que se desee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precio de el producto queda cambiado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R6 Borrar revista o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permitir borrar un producto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revista o libro se borra de el sistema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R7 Comprar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permitir a un usuario la compra de un producto para esto se necesita el nombre del usuario y el nombre del producto.</w:t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genera una factura y se agrega el producto a la  biblioteca de el usuario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R8 Presentar biblioteca y sesión de lectura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permitir al usuario ver sus productos comprados y seleccionar uno para su lectura.Para esto van a haber controles que permitan la navegabilidad en la biblioteca.los cuales son coordenadas X,Y para la selección del producto que quiera leer,A para anterior página,S para siguiente página,B para volver a la biblioteca y E para salir</w:t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 la biblioteca(matriz 5x5) y el usuario puede seleccionar  un producto que haya adquirido para su lectura.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Biblioteca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SesionLectura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R9  Generar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generar en base a los usuarios y productos los siguientes informes: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cada tipo de producto bibliográfico, libro y revista, informar el acumulado total de páginas leídas en toda la plataforma (tipo de producto y número de páginas leídas).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el género de libro y categoría de revista más leídas para toda la plataforma (nombre del género o categoría y número de páginas leídas).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el Top 5 de libros y el Top 5 de revistas más leídas en la plataforma (nombre del libro, nombre del género o categoría y número de páginas leídas).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cada género, informar el número de libros vendidos y el valor total de ventas ($). 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cada categoría, informar el número de suscripciones activas y el valor total pagado por suscripciones.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base a la información guardada en el sistema  se realizan los reportes.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