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144" w:lineRule="auto"/>
      </w:pPr>
    </w:p>
    <w:p>
      <w:pPr>
        <w:spacing w:after="0" w:line="144" w:lineRule="auto"/>
      </w:pPr>
    </w:p>
    <w:p>
      <w:pPr>
        <w:spacing w:after="0" w:line="144" w:lineRule="auto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006A73"/>
          <w:sz w:val="21"/>
        </w:rPr>
        <w:t>PRODUCT BRIEF · UI/UX</w:t>
      </w:r>
    </w:p>
    <w:p>
      <w:pPr>
        <w:pStyle w:val="Title"/>
        <w:jc w:val="center"/>
      </w:pPr>
      <w:r>
        <w:rPr>
          <w:rFonts w:ascii="Calibri" w:hAnsi="Calibri" w:eastAsia="Calibri"/>
          <w:b/>
          <w:color w:val="0D0D0F"/>
          <w:sz w:val="68"/>
        </w:rPr>
        <w:t>AVÍSPATE</w:t>
      </w:r>
    </w:p>
    <w:p>
      <w:pPr>
        <w:pStyle w:val="Subtitle"/>
        <w:jc w:val="center"/>
      </w:pPr>
      <w:r>
        <w:rPr>
          <w:rFonts w:ascii="Calibri" w:hAnsi="Calibri" w:eastAsia="Calibri"/>
          <w:b/>
          <w:color w:val="006A73"/>
          <w:sz w:val="36"/>
        </w:rPr>
        <w:t>Tutorial interactivo "Cómo se juega"</w:t>
      </w:r>
    </w:p>
    <w:p>
      <w:pPr>
        <w:spacing w:after="360" w:line="300" w:lineRule="auto"/>
        <w:jc w:val="center"/>
      </w:pPr>
      <w:r>
        <w:rPr>
          <w:rFonts w:ascii="Calibri" w:hAnsi="Calibri" w:eastAsia="Calibri"/>
          <w:color w:val="687078"/>
          <w:sz w:val="25"/>
        </w:rPr>
        <w:t>Onboarding de primera visita + ejemplo jugable del movimiento de las cartas</w:t>
      </w:r>
    </w:p>
    <w:p>
      <w:pPr>
        <w:spacing w:before="40" w:after="160"/>
        <w:pBdr>
          <w:bottom w:val="single" w:sz="30" w:space="1" w:color="FFC20E"/>
        </w:pBdr>
      </w:pPr>
    </w:p>
    <w:p>
      <w:pPr>
        <w:spacing w:before="360" w:after="1200" w:line="324" w:lineRule="auto"/>
        <w:ind w:left="648" w:right="648"/>
        <w:jc w:val="center"/>
      </w:pPr>
      <w:r>
        <w:rPr>
          <w:rFonts w:ascii="Calibri" w:hAnsi="Calibri" w:eastAsia="Calibri"/>
          <w:i/>
          <w:color w:val="0D0D0F"/>
          <w:sz w:val="24"/>
        </w:rPr>
        <w:t>La referencia aporta el patrón de primera visita y el botón para volver a abrirlo. La experiencia, el lenguaje, las cartas y el movimiento siguen siendo completamente Avíspate.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Destino: </w:t>
      </w:r>
      <w:r>
        <w:rPr>
          <w:rFonts w:ascii="Calibri" w:hAnsi="Calibri" w:eastAsia="Calibri"/>
          <w:color w:val="687078"/>
          <w:sz w:val="19"/>
        </w:rPr>
        <w:t>Claude Code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Estado: </w:t>
      </w:r>
      <w:r>
        <w:rPr>
          <w:rFonts w:ascii="Calibri" w:hAnsi="Calibri" w:eastAsia="Calibri"/>
          <w:color w:val="687078"/>
          <w:sz w:val="19"/>
        </w:rPr>
        <w:t>Listo para implementar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Repositorios: </w:t>
      </w:r>
      <w:r>
        <w:rPr>
          <w:rFonts w:ascii="Calibri" w:hAnsi="Calibri" w:eastAsia="Calibri"/>
          <w:color w:val="687078"/>
          <w:sz w:val="19"/>
        </w:rPr>
        <w:t>JuanFCast/avispate-visual + csacanam/freaking-grammar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Fecha: </w:t>
      </w:r>
      <w:r>
        <w:rPr>
          <w:rFonts w:ascii="Calibri" w:hAnsi="Calibri" w:eastAsia="Calibri"/>
          <w:color w:val="687078"/>
          <w:sz w:val="19"/>
        </w:rPr>
        <w:t>23 de julio de 2026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  </w:t>
      </w:r>
      <w:r>
        <w:rPr>
          <w:rFonts w:ascii="Calibri" w:hAnsi="Calibri" w:eastAsia="Calibri"/>
          <w:b/>
          <w:color w:val="0D0D0F"/>
          <w:sz w:val="32"/>
        </w:rPr>
        <w:t>Decisión de producto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bottom w:w="170" w:type="dxa"/>
              <w:start w:w="220" w:type="dxa"/>
              <w:end w:w="220" w:type="dxa"/>
            </w:tcMar>
            <w:shd w:fill="D9F6F9" w:val="clear"/>
            <w:tcBorders>
              <w:left w:val="single" w:sz="22" w:color="00C7D6" w:space="0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0D0D0F"/>
                <w:sz w:val="21"/>
              </w:rPr>
              <w:t xml:space="preserve">Propuesta: </w:t>
            </w:r>
            <w:r>
              <w:rPr>
                <w:rFonts w:ascii="Calibri" w:hAnsi="Calibri" w:eastAsia="Calibri"/>
                <w:color w:val="0D0D0F"/>
                <w:sz w:val="21"/>
              </w:rPr>
              <w:t>Añadir un tutorial a pantalla completa que aparezca una sola vez por navegador, pueda reabrirse desde el inicio y obligue al usuario a resolver una pareja de cartas de ejemplo antes de mostrar cómo se mueve el mazo.</w:t>
            </w:r>
          </w:p>
        </w:tc>
      </w:tr>
    </w:tbl>
    <w:p>
      <w:pPr>
        <w:spacing w:after="0" w:before="0" w:line="60" w:lineRule="auto"/>
      </w:pPr>
    </w:p>
    <w:p>
      <w:pPr>
        <w:pStyle w:val="Heading2"/>
      </w:pPr>
      <w:r>
        <w:t>El problema que resuelve</w:t>
      </w:r>
    </w:p>
    <w:p>
      <w:pPr/>
      <w:r>
        <w:rPr>
          <w:rFonts w:ascii="Calibri" w:hAnsi="Calibri" w:eastAsia="Calibri"/>
          <w:i w:val="0"/>
          <w:color w:val="0D0D0F"/>
        </w:rPr>
        <w:t>La pantalla actual ya explica tres acciones: encontrar el símbolo común, tocarlo en Tu carta y repetir. Sin embargo, una persona que nunca ha jugado todavía debe imaginar qué significa Base, cuál carta se toca y por qué las cartas cambian de posición.</w:t>
      </w:r>
    </w:p>
    <w:p>
      <w:pPr/>
      <w:r>
        <w:rPr>
          <w:rFonts w:ascii="Calibri" w:hAnsi="Calibri" w:eastAsia="Calibri"/>
          <w:i w:val="0"/>
          <w:color w:val="0D0D0F"/>
        </w:rPr>
        <w:t>El nuevo tutorial convierte esa explicación en una experiencia breve: primero se entiende la regla, luego se prueba con una manzana y finalmente se observa la rotación Base -&gt; Tu carta -&gt; carta nueva.</w:t>
      </w:r>
    </w:p>
    <w:p>
      <w:pPr>
        <w:pStyle w:val="Heading2"/>
      </w:pPr>
      <w:r>
        <w:t>Resultado esperado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Una persona nueva entiende el juego antes de encontrarse con login, wallet, selección de mazo o pago.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tutorial se recuerda porque incluye una acción real, no solo texto y emojis.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botón permanente "Cómo se juega" permite repetir la explicación en cualquier momento.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identidad visual existente se conserva: logo actual, Fredoka, Nunito, amarillo, cyan, tinta y cartas circulares.</w:t>
      </w:r>
    </w:p>
    <w:p>
      <w:pPr>
        <w:pStyle w:val="Heading2"/>
      </w:pPr>
      <w:r>
        <w:t>Fuera de alcance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cambiar login, alias, Privy, conexión de wallet ni perfil.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cambiar pagos, contratos, premios, entitlement ni envío de puntajes.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modificar las reglas de la partida real ni el algoritmo de cartas.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añadir dependencias, librerías de carrusel ni paquetes de animación.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2  </w:t>
      </w:r>
      <w:r>
        <w:rPr>
          <w:rFonts w:ascii="Calibri" w:hAnsi="Calibri" w:eastAsia="Calibri"/>
          <w:b/>
          <w:color w:val="0D0D0F"/>
          <w:sz w:val="32"/>
        </w:rPr>
        <w:t>Qué se toma de la referencia</w:t>
      </w:r>
    </w:p>
    <w:p>
      <w:pPr/>
      <w:r>
        <w:rPr>
          <w:rFonts w:ascii="Calibri" w:hAnsi="Calibri" w:eastAsia="Calibri"/>
          <w:i w:val="0"/>
          <w:color w:val="0D0D0F"/>
        </w:rPr>
        <w:t>En freaking-grammar, el componente Onboarding aparece en la primera visita, guarda un indicador en localStorage, permite Saltar, muestra progreso y puede reabrirse desde el botón "Cómo funciona". Ese patrón de descubrimiento es útil para Avíspate.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2846231"/>
            <wp:docPr id="1" name="Picture 1" descr="Captura de nerdos.fun con dos tarjetas de juego y un botón Cómo funciona debajo." title="Referencia: el inicio mantiene un acceso visible para volver a abrir &quot;Cómo funciona&quot;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Referencia: el inicio mantiene un acceso visible para volver a abrir "Cómo funciona".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2832279"/>
            <wp:docPr id="2" name="Picture 2" descr="Captura de una pantalla de onboarding de nerdos.fun con título, texto, puntos y botón Siguiente." title="Referencia: explicación a pantalla completa con Saltar, avance, puntos de progreso y CTA infer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3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Referencia: explicación a pantalla completa con Saltar, avance, puntos de progreso y CTA inferior.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2"/>
      </w:pPr>
      <w:r>
        <w:t>Regla de originalidad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Sí adoptar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No copiar</w:t>
            </w:r>
          </w:p>
        </w:tc>
      </w:tr>
      <w:tr>
        <w:tc>
          <w:tcPr>
            <w:tcW w:type="dxa" w:w="468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Aparecer automáticamente una vez y recordar el cierre.</w:t>
            </w:r>
          </w:p>
        </w:tc>
        <w:tc>
          <w:tcPr>
            <w:tcW w:type="dxa" w:w="468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El fondo blanco plano, el teal, Bebas Neue o la composición exacta.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Permitir Saltar, avanzar, ver progreso y reabrir.</w:t>
            </w:r>
          </w:p>
        </w:tc>
        <w:tc>
          <w:tcPr>
            <w:tcW w:type="dxa" w:w="468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Los títulos, textos, emojis o la secuencia narrativa de nerdos.fun.</w:t>
            </w:r>
          </w:p>
        </w:tc>
      </w:tr>
      <w:tr>
        <w:tc>
          <w:tcPr>
            <w:tcW w:type="dxa" w:w="468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Usar una capa modal accesible y segura con SSR.</w:t>
            </w:r>
          </w:p>
        </w:tc>
        <w:tc>
          <w:tcPr>
            <w:tcW w:type="dxa" w:w="468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Un carrusel puramente estático que no enseñe las cartas.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Tomar el patrón de useSyncExternalStore para localStorage.</w:t>
            </w:r>
          </w:p>
        </w:tc>
        <w:tc>
          <w:tcPr>
            <w:tcW w:type="dxa" w:w="468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Copiar nombres de claves, componentes o clases CSS.</w:t>
            </w:r>
          </w:p>
        </w:tc>
      </w:tr>
    </w:tbl>
    <w:p>
      <w:pPr>
        <w:spacing w:before="0" w:after="0" w:line="6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bottom w:w="170" w:type="dxa"/>
              <w:start w:w="220" w:type="dxa"/>
              <w:end w:w="220" w:type="dxa"/>
            </w:tcMar>
            <w:shd w:fill="FFF3CD" w:val="clear"/>
            <w:tcBorders>
              <w:left w:val="single" w:sz="22" w:color="FBBD02" w:space="0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0D0D0F"/>
                <w:sz w:val="21"/>
              </w:rPr>
              <w:t xml:space="preserve">Identidad Avíspate: </w:t>
            </w:r>
            <w:r>
              <w:rPr>
                <w:rFonts w:ascii="Calibri" w:hAnsi="Calibri" w:eastAsia="Calibri"/>
                <w:color w:val="0D0D0F"/>
                <w:sz w:val="21"/>
              </w:rPr>
              <w:t>El momento memorable será tocar la manzana y ver volar la cadena de cartas. Eso no existe en la referencia y nace directamente de la mecánica actual de Avíspate.</w:t>
            </w:r>
          </w:p>
        </w:tc>
      </w:tr>
    </w:tbl>
    <w:p>
      <w:pPr>
        <w:spacing w:after="0" w:before="0" w:line="60" w:lineRule="auto"/>
      </w:pP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3  </w:t>
      </w:r>
      <w:r>
        <w:rPr>
          <w:rFonts w:ascii="Calibri" w:hAnsi="Calibri" w:eastAsia="Calibri"/>
          <w:b/>
          <w:color w:val="0D0D0F"/>
          <w:sz w:val="32"/>
        </w:rPr>
        <w:t>Punto de partida real del código</w:t>
      </w:r>
    </w:p>
    <w:p>
      <w:pPr/>
      <w:r>
        <w:rPr>
          <w:rFonts w:ascii="Calibri" w:hAnsi="Calibri" w:eastAsia="Calibri"/>
          <w:i w:val="0"/>
          <w:color w:val="0D0D0F"/>
        </w:rPr>
        <w:t>La recomendación se diseñó sobre la rama main actual de ambos repositorios. Avíspate usa Next.js 15, React 19 y CSS global; no usa Tailwind. El juego ya posee la animación correcta, por lo que el tutorial debe imitar sus tokens sin refactorizar la partida en este cambio.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250"/>
        <w:gridCol w:w="3330"/>
        <w:gridCol w:w="3780"/>
      </w:tblGrid>
      <w:tr>
        <w:trPr>
          <w:tblHeader w:val="true"/>
        </w:trPr>
        <w:tc>
          <w:tcPr>
            <w:tcW w:type="dxa" w:w="22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Archivo</w:t>
            </w:r>
          </w:p>
        </w:tc>
        <w:tc>
          <w:tcPr>
            <w:tcW w:type="dxa" w:w="333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Qué existe hoy</w:t>
            </w:r>
          </w:p>
        </w:tc>
        <w:tc>
          <w:tcPr>
            <w:tcW w:type="dxa" w:w="378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Tratamiento propuesto</w:t>
            </w:r>
          </w:p>
        </w:tc>
      </w:tr>
      <w:tr>
        <w:tc>
          <w:tcPr>
            <w:tcW w:type="dxa" w:w="2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components/GameShell.tsx</w:t>
            </w:r>
          </w:p>
        </w:tc>
        <w:tc>
          <w:tcPr>
            <w:tcW w:type="dxa" w:w="333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Orquesta setup, pago, countdown, partida y resultados.</w:t>
            </w:r>
          </w:p>
        </w:tc>
        <w:tc>
          <w:tcPr>
            <w:tcW w:type="dxa" w:w="378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Integración mínima: hook, overlay y botón de repetición solo en setup.</w:t>
            </w:r>
          </w:p>
        </w:tc>
      </w:tr>
      <w:tr>
        <w:tc>
          <w:tcPr>
            <w:tcW w:type="dxa" w:w="2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components/CardView.tsx</w:t>
            </w:r>
          </w:p>
        </w:tc>
        <w:tc>
          <w:tcPr>
            <w:tcW w:type="dxa" w:w="333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Dibuja una carta desde PlacedSymbol[].</w:t>
            </w:r>
          </w:p>
        </w:tc>
        <w:tc>
          <w:tcPr>
            <w:tcW w:type="dxa" w:w="378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Reutilizarlo con cartas fijas del tutorial; no generar cartas aleatorias.</w:t>
            </w:r>
          </w:p>
        </w:tc>
      </w:tr>
      <w:tr>
        <w:tc>
          <w:tcPr>
            <w:tcW w:type="dxa" w:w="2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components/SymbolButton.tsx</w:t>
            </w:r>
          </w:p>
        </w:tc>
        <w:tc>
          <w:tcPr>
            <w:tcW w:type="dxa" w:w="333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Botones de 44 px, feedback good/bad y onPointerDown.</w:t>
            </w:r>
          </w:p>
        </w:tc>
        <w:tc>
          <w:tcPr>
            <w:tcW w:type="dxa" w:w="378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Conservar puntero y añadir teclado Enter/Espacio sin duplicar el toque.</w:t>
            </w:r>
          </w:p>
        </w:tc>
      </w:tr>
      <w:tr>
        <w:tc>
          <w:tcPr>
            <w:tcW w:type="dxa" w:w="2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lib/game.ts</w:t>
            </w:r>
          </w:p>
        </w:tc>
        <w:tc>
          <w:tcPr>
            <w:tcW w:type="dxa" w:w="333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Regla de un único símbolo común y cartas de 8 símbolos.</w:t>
            </w:r>
          </w:p>
        </w:tc>
        <w:tc>
          <w:tcPr>
            <w:tcW w:type="dxa" w:w="378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No llamarlo para crear el ejemplo; el tutorial debe ser determinista.</w:t>
            </w:r>
          </w:p>
        </w:tc>
      </w:tr>
      <w:tr>
        <w:tc>
          <w:tcPr>
            <w:tcW w:type="dxa" w:w="2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lib/symbols.ts</w:t>
            </w:r>
          </w:p>
        </w:tc>
        <w:tc>
          <w:tcPr>
            <w:tcW w:type="dxa" w:w="333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Banco de 59 símbolos con id, color y categoría.</w:t>
            </w:r>
          </w:p>
        </w:tc>
        <w:tc>
          <w:tcPr>
            <w:tcW w:type="dxa" w:w="378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Usar ids reales: apple, car, strawberry, crab, gift, magnet, octopus y bike.</w:t>
            </w:r>
          </w:p>
        </w:tc>
      </w:tr>
      <w:tr>
        <w:tc>
          <w:tcPr>
            <w:tcW w:type="dxa" w:w="2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app/globals.css</w:t>
            </w:r>
          </w:p>
        </w:tc>
        <w:tc>
          <w:tcPr>
            <w:tcW w:type="dxa" w:w="333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Paleta, tipografías, slots, salida, promoción y entrada del mazo.</w:t>
            </w:r>
          </w:p>
        </w:tc>
        <w:tc>
          <w:tcPr>
            <w:tcW w:type="dxa" w:w="378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Añadir estilos howto-* aislados y reutilizar tiempos/easing existentes.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Tokens que deben conservarse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Rol</w:t>
            </w:r>
          </w:p>
        </w:tc>
        <w:tc>
          <w:tcPr>
            <w:tcW w:type="dxa" w:w="30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Valor actual</w:t>
            </w:r>
          </w:p>
        </w:tc>
        <w:tc>
          <w:tcPr>
            <w:tcW w:type="dxa" w:w="46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Uso en el tutorial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Amarillo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#FFC20E</w:t>
            </w:r>
          </w:p>
        </w:tc>
        <w:tc>
          <w:tcPr>
            <w:tcW w:type="dxa" w:w="4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Marca, progreso, borde Base, destellos.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Cyan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#00C7D6</w:t>
            </w:r>
          </w:p>
        </w:tc>
        <w:tc>
          <w:tcPr>
            <w:tcW w:type="dxa" w:w="4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Borde Tu carta, acciones secundarias, rastro de vuelo.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Tinta + fondo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#0D0D0F / #FFFDF6</w:t>
            </w:r>
          </w:p>
        </w:tc>
        <w:tc>
          <w:tcPr>
            <w:tcW w:type="dxa" w:w="4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Texto/contornos + fondo crema del overlay.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Tipografía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Fredoka + Nunito</w:t>
            </w:r>
          </w:p>
        </w:tc>
        <w:tc>
          <w:tcPr>
            <w:tcW w:type="dxa" w:w="4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Títulos/botones + cuerpo.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Cadena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500 ms + entrada con 140 ms de espera</w:t>
            </w:r>
          </w:p>
        </w:tc>
        <w:tc>
          <w:tcPr>
            <w:tcW w:type="dxa" w:w="4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Promoción, salida y llegada de la nueva carta.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Error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Shake 300 ms</w:t>
            </w:r>
          </w:p>
        </w:tc>
        <w:tc>
          <w:tcPr>
            <w:tcW w:type="dxa" w:w="4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Respuesta segura durante la práctica.</w:t>
            </w:r>
          </w:p>
        </w:tc>
      </w:tr>
    </w:tbl>
    <w:p>
      <w:pPr>
        <w:spacing w:before="0" w:after="0" w:line="60" w:lineRule="auto"/>
      </w:pP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4  </w:t>
      </w:r>
      <w:r>
        <w:rPr>
          <w:rFonts w:ascii="Calibri" w:hAnsi="Calibri" w:eastAsia="Calibri"/>
          <w:b/>
          <w:color w:val="0D0D0F"/>
          <w:sz w:val="32"/>
        </w:rPr>
        <w:t>Flujo recomendado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00250"/>
            <wp:docPr id="3" name="Picture 3" descr="Diagrama de cuatro etapas conectadas: Entender, Probar, Ver mover y Jugar." title="Flujo de cuatro momentos: entender, probar, ver el movimiento y empez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ial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Flujo de cuatro momentos: entender, probar, ver el movimiento y empezar.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/>
          <w:color w:val="0D0D0F"/>
        </w:rPr>
        <w:t>Entender.</w:t>
      </w:r>
      <w:r>
        <w:rPr>
          <w:rFonts w:ascii="Calibri" w:hAnsi="Calibri" w:eastAsia="Calibri"/>
          <w:color w:val="0D0D0F"/>
        </w:rPr>
        <w:t xml:space="preserve"> Explicar que dos cartas siempre comparten exactamente un símbolo.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/>
          <w:color w:val="0D0D0F"/>
        </w:rPr>
        <w:t>Probar.</w:t>
      </w:r>
      <w:r>
        <w:rPr>
          <w:rFonts w:ascii="Calibri" w:hAnsi="Calibri" w:eastAsia="Calibri"/>
          <w:color w:val="0D0D0F"/>
        </w:rPr>
        <w:t xml:space="preserve"> Mostrar dos cartas reales y exigir que se toque la manzana en Tu carta.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/>
          <w:color w:val="0D0D0F"/>
        </w:rPr>
        <w:t>Ver mover.</w:t>
      </w:r>
      <w:r>
        <w:rPr>
          <w:rFonts w:ascii="Calibri" w:hAnsi="Calibri" w:eastAsia="Calibri"/>
          <w:color w:val="0D0D0F"/>
        </w:rPr>
        <w:t xml:space="preserve"> Reproducir la salida de la Base, la promoción de Tu carta y la entrada de otra.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/>
          <w:color w:val="0D0D0F"/>
        </w:rPr>
        <w:t>Jugar.</w:t>
      </w:r>
      <w:r>
        <w:rPr>
          <w:rFonts w:ascii="Calibri" w:hAnsi="Calibri" w:eastAsia="Calibri"/>
          <w:color w:val="0D0D0F"/>
        </w:rPr>
        <w:t xml:space="preserve"> Resumir tiempo, penalización y ranking; cerrar con un CTA claro.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bottom w:w="170" w:type="dxa"/>
              <w:start w:w="220" w:type="dxa"/>
              <w:end w:w="220" w:type="dxa"/>
            </w:tcMar>
            <w:shd w:fill="FDE8EE" w:val="clear"/>
            <w:tcBorders>
              <w:left w:val="single" w:sz="22" w:color="C9365B" w:space="0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0D0D0F"/>
                <w:sz w:val="21"/>
              </w:rPr>
              <w:t xml:space="preserve">Momento clave: </w:t>
            </w:r>
            <w:r>
              <w:rPr>
                <w:rFonts w:ascii="Calibri" w:hAnsi="Calibri" w:eastAsia="Calibri"/>
                <w:color w:val="0D0D0F"/>
                <w:sz w:val="21"/>
              </w:rPr>
              <w:t>La segunda pantalla no tiene botón Siguiente al inicio. El usuario avanza acertando la manzana; después del acierto aparece una confirmación breve y el flujo continúa.</w:t>
            </w:r>
          </w:p>
        </w:tc>
      </w:tr>
    </w:tbl>
    <w:p>
      <w:pPr>
        <w:spacing w:after="0" w:before="0" w:line="60" w:lineRule="auto"/>
      </w:pP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5  </w:t>
      </w:r>
      <w:r>
        <w:rPr>
          <w:rFonts w:ascii="Calibri" w:hAnsi="Calibri" w:eastAsia="Calibri"/>
          <w:b/>
          <w:color w:val="0D0D0F"/>
          <w:sz w:val="32"/>
        </w:rPr>
        <w:t>Storyboard y microcopy final</w:t>
      </w:r>
    </w:p>
    <w:p>
      <w:pPr>
        <w:pStyle w:val="Heading2"/>
      </w:pPr>
      <w:r>
        <w:t>Pantalla 1: comprender la regla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Elemento</w:t>
            </w:r>
          </w:p>
        </w:tc>
        <w:tc>
          <w:tcPr>
            <w:tcW w:type="dxa" w:w="74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Contenido definitivo</w:t>
            </w:r>
          </w:p>
        </w:tc>
      </w:tr>
      <w:tr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Kicker</w:t>
            </w:r>
          </w:p>
        </w:tc>
        <w:tc>
          <w:tcPr>
            <w:tcW w:type="dxa" w:w="74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PASO 1 DE 4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Título</w:t>
            </w:r>
          </w:p>
        </w:tc>
        <w:tc>
          <w:tcPr>
            <w:tcW w:type="dxa" w:w="74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Dos cartas. Un símbolo igual.</w:t>
            </w:r>
          </w:p>
        </w:tc>
      </w:tr>
      <w:tr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Texto</w:t>
            </w:r>
          </w:p>
        </w:tc>
        <w:tc>
          <w:tcPr>
            <w:tcW w:type="dxa" w:w="74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La Base y Tu carta siempre comparten exactamente un símbolo. Encuéntralo antes de que tus ojos se distraigan.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Visual</w:t>
            </w:r>
          </w:p>
        </w:tc>
        <w:tc>
          <w:tcPr>
            <w:tcW w:type="dxa" w:w="74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Dos mini cartas circulares; la Base con borde amarillo y Tu carta con borde cyan.</w:t>
            </w:r>
          </w:p>
        </w:tc>
      </w:tr>
      <w:tr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CTA</w:t>
            </w:r>
          </w:p>
        </w:tc>
        <w:tc>
          <w:tcPr>
            <w:tcW w:type="dxa" w:w="74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Muéstrame</w:t>
            </w:r>
          </w:p>
        </w:tc>
      </w:tr>
    </w:tbl>
    <w:p>
      <w:pPr>
        <w:spacing w:before="0" w:after="0" w:line="60" w:lineRule="auto"/>
      </w:pPr>
    </w:p>
    <w:p>
      <w:pPr/>
      <w:r>
        <w:rPr>
          <w:rFonts w:ascii="Calibri" w:hAnsi="Calibri" w:eastAsia="Calibri"/>
          <w:i w:val="0"/>
          <w:color w:val="0D0D0F"/>
        </w:rPr>
        <w:t>Comportamiento: el logo actual puede aparecer pequeño arriba. No mostrar login, premio ni wallet todavía. El objetivo es entender una sola idea.</w:t>
      </w:r>
    </w:p>
    <w:p>
      <w:pPr>
        <w:pStyle w:val="Heading2"/>
      </w:pPr>
      <w:r>
        <w:t>Pantalla 2: práctica interactiva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Estado</w:t>
            </w:r>
          </w:p>
        </w:tc>
        <w:tc>
          <w:tcPr>
            <w:tcW w:type="dxa" w:w="7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Texto / reacción</w:t>
            </w:r>
          </w:p>
        </w:tc>
      </w:tr>
      <w:tr>
        <w:tc>
          <w:tcPr>
            <w:tcW w:type="dxa" w:w="22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Inicial</w:t>
            </w:r>
          </w:p>
        </w:tc>
        <w:tc>
          <w:tcPr>
            <w:tcW w:type="dxa" w:w="7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Título: "Encuentra el símbolo común". Instrucción: "Mira la Base y tócalo en Tu carta."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Sin respuesta 2.5 s</w:t>
            </w:r>
          </w:p>
        </w:tc>
        <w:tc>
          <w:tcPr>
            <w:tcW w:type="dxa" w:w="71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Pista: "Busca la manzana de arriba también abajo." El halo no cambia el tamaño del layout.</w:t>
            </w:r>
          </w:p>
        </w:tc>
      </w:tr>
      <w:tr>
        <w:tc>
          <w:tcPr>
            <w:tcW w:type="dxa" w:w="22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Toque incorrecto</w:t>
            </w:r>
          </w:p>
        </w:tc>
        <w:tc>
          <w:tcPr>
            <w:tcW w:type="dxa" w:w="7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Shake de 300 ms y aria-live: "Ese no. Busca el que también aparece en la Base."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Toque correcto</w:t>
            </w:r>
          </w:p>
        </w:tc>
        <w:tc>
          <w:tcPr>
            <w:tcW w:type="dxa" w:w="71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Pulso verde/cyan en ambas manzanas y mensaje: "¡Eso! La manzana."</w:t>
            </w:r>
          </w:p>
        </w:tc>
      </w:tr>
      <w:tr>
        <w:tc>
          <w:tcPr>
            <w:tcW w:type="dxa" w:w="22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Avance</w:t>
            </w:r>
          </w:p>
        </w:tc>
        <w:tc>
          <w:tcPr>
            <w:tcW w:type="dxa" w:w="7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Después de 350 ms, pasar a la demostración de movimiento.</w:t>
            </w:r>
          </w:p>
        </w:tc>
      </w:tr>
    </w:tbl>
    <w:p>
      <w:pPr>
        <w:spacing w:before="0" w:after="0" w:line="60" w:lineRule="auto"/>
      </w:pPr>
    </w:p>
    <w:p>
      <w:pPr/>
      <w:r>
        <w:rPr>
          <w:rFonts w:ascii="Calibri" w:hAnsi="Calibri" w:eastAsia="Calibri"/>
          <w:i w:val="0"/>
          <w:color w:val="0D0D0F"/>
        </w:rPr>
        <w:t>La Base está deshabilitada. Solo Tu carta responde. Los errores del tutorial no suman tiempo, no guardan puntaje y no consumen jugadas.</w:t>
      </w:r>
    </w:p>
    <w:p>
      <w:pPr>
        <w:pStyle w:val="Heading3"/>
      </w:pPr>
      <w:r>
        <w:t>Cartas deterministas del ejemplo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Base A: apple, sun, frog, whale, key, pizza, balloon y dice.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Tu carta B: apple, strawberry, car, crab, gift, magnet, octopus y bike.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Carta nueva C: car, banana, moon, turtle, dolphin, lock, guitar y rocket.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A y B comparten solo apple. Después B y C comparten solo car.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2"/>
      </w:pPr>
      <w:r>
        <w:t>Pantalla 3: entender el movimiento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61607"/>
            <wp:docPr id="4" name="Picture 4" descr="Tres paneles muestran las cartas antes, durante el acierto y en la siguiente ronda." title="Secuencia visual: acierto, promoción de Tu carta y llegada de la sigui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1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Secuencia visual: acierto, promoción de Tu carta y llegada de la siguiente.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Tiempo</w:t>
            </w:r>
          </w:p>
        </w:tc>
        <w:tc>
          <w:tcPr>
            <w:tcW w:type="dxa" w:w="76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Acción visible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0 ms</w:t>
            </w:r>
          </w:p>
        </w:tc>
        <w:tc>
          <w:tcPr>
            <w:tcW w:type="dxa" w:w="7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Las dos manzanas confirman el acierto.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0-500 ms</w:t>
            </w:r>
          </w:p>
        </w:tc>
        <w:tc>
          <w:tcPr>
            <w:tcW w:type="dxa" w:w="7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La Base A sale arriba/izquierda y se desvanece.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0-500 ms</w:t>
            </w:r>
          </w:p>
        </w:tc>
        <w:tc>
          <w:tcPr>
            <w:tcW w:type="dxa" w:w="7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Tu carta B se desplaza al slot Base.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140-640 ms</w:t>
            </w:r>
          </w:p>
        </w:tc>
        <w:tc>
          <w:tcPr>
            <w:tcW w:type="dxa" w:w="7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La carta C entra desde el mazo con el mismo easing de la partida.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650 ms</w:t>
            </w:r>
          </w:p>
        </w:tc>
        <w:tc>
          <w:tcPr>
            <w:tcW w:type="dxa" w:w="7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Resaltar el carro en B y C para demostrar que el símbolo común cambia.</w:t>
            </w:r>
          </w:p>
        </w:tc>
      </w:tr>
    </w:tbl>
    <w:p>
      <w:pPr>
        <w:spacing w:before="0" w:after="0" w:line="60" w:lineRule="auto"/>
      </w:pPr>
    </w:p>
    <w:p>
      <w:pPr/>
      <w:r>
        <w:rPr>
          <w:rFonts w:ascii="Calibri" w:hAnsi="Calibri" w:eastAsia="Calibri"/>
          <w:i w:val="0"/>
          <w:color w:val="0D0D0F"/>
        </w:rPr>
        <w:t>Título: "Tu carta se vuelve la Base". Texto: "La anterior sale, la tuya sube y llega otra del mazo. Ahora buscas un símbolo nuevo."</w:t>
      </w:r>
    </w:p>
    <w:p>
      <w:pPr/>
      <w:r>
        <w:rPr>
          <w:rFonts w:ascii="Calibri" w:hAnsi="Calibri" w:eastAsia="Calibri"/>
          <w:i w:val="0"/>
          <w:color w:val="0D0D0F"/>
        </w:rPr>
        <w:t>Acciones: botón principal "Siguiente" y enlace secundario "Ver otra vez". La animación se reproduce una vez al entrar; no debe quedar en bucle.</w:t>
      </w:r>
    </w:p>
    <w:p>
      <w:pPr>
        <w:pStyle w:val="Heading2"/>
      </w:pPr>
      <w:r>
        <w:t>Pantalla 4: listo para jugar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Elemento</w:t>
            </w:r>
          </w:p>
        </w:tc>
        <w:tc>
          <w:tcPr>
            <w:tcW w:type="dxa" w:w="74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Contenido definitivo</w:t>
            </w:r>
          </w:p>
        </w:tc>
      </w:tr>
      <w:tr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Kicker</w:t>
            </w:r>
          </w:p>
        </w:tc>
        <w:tc>
          <w:tcPr>
            <w:tcW w:type="dxa" w:w="74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PASO 4 DE 4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Título</w:t>
            </w:r>
          </w:p>
        </w:tc>
        <w:tc>
          <w:tcPr>
            <w:tcW w:type="dxa" w:w="74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Ahora sí, ¡avíspate!</w:t>
            </w:r>
          </w:p>
        </w:tc>
      </w:tr>
      <w:tr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Texto</w:t>
            </w:r>
          </w:p>
        </w:tc>
        <w:tc>
          <w:tcPr>
            <w:tcW w:type="dxa" w:w="74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Gasta todo el mazo en el menor tiempo. Cada error suma 1 segundo y el ranking compara tu tiempo promedio por carta.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Chips</w:t>
            </w:r>
          </w:p>
        </w:tc>
        <w:tc>
          <w:tcPr>
            <w:tcW w:type="dxa" w:w="74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10, 15 o 20 cartas · La Base no se toca · +1 s por error</w:t>
            </w:r>
          </w:p>
        </w:tc>
      </w:tr>
      <w:tr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CTA y cierre</w:t>
            </w:r>
          </w:p>
        </w:tc>
        <w:tc>
          <w:tcPr>
            <w:tcW w:type="dxa" w:w="74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¡A jugar! Cierra el tutorial, vuelve al setup actual y no inicia una partida.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Nota pequeña</w:t>
            </w:r>
          </w:p>
        </w:tc>
        <w:tc>
          <w:tcPr>
            <w:tcW w:type="dxa" w:w="74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Las condiciones de la jugada gratis y del premio se muestran en el inicio para evitar información duplicada.</w:t>
            </w:r>
          </w:p>
        </w:tc>
      </w:tr>
    </w:tbl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6  </w:t>
      </w:r>
      <w:r>
        <w:rPr>
          <w:rFonts w:ascii="Calibri" w:hAnsi="Calibri" w:eastAsia="Calibri"/>
          <w:b/>
          <w:color w:val="0D0D0F"/>
          <w:sz w:val="32"/>
        </w:rPr>
        <w:t>Diseño visual, movimiento y responsive</w:t>
      </w:r>
    </w:p>
    <w:p>
      <w:pPr>
        <w:pStyle w:val="Heading2"/>
      </w:pPr>
      <w:r>
        <w:t>Composición propia de Avíspate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Overlay fijo inset-0 con fondo #FFFDF6 y los dos glows suaves que ya usa el body.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Contenido centrado, ancho máximo de 520 px y CTA inferior de ancho completo hasta 420 px.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Progreso superior con cuatro cápsulas cortas, no los puntos negros exactos de la referencia.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cápsula activa es amarilla con borde tinta; las pendientes usan gris suave.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Un rastro de tres puntos amarillos/cyan acompaña la carta entrante, como una trayectoria de avispa.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Botón principal amarillo con borde tinta y la misma sombra física de .btn-primary.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Botón Saltar discreto arriba a la derecha; área táctil mínima de 44 x 44 px.</w:t>
      </w:r>
    </w:p>
    <w:p>
      <w:pPr>
        <w:pStyle w:val="Heading2"/>
      </w:pPr>
      <w:r>
        <w:t>Medidas recomendadas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700"/>
        <w:gridCol w:w="1800"/>
        <w:gridCol w:w="2600"/>
        <w:gridCol w:w="32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Contexto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Cartas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Distribución</w:t>
            </w:r>
          </w:p>
        </w:tc>
        <w:tc>
          <w:tcPr>
            <w:tcW w:type="dxa" w:w="32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Regla de altura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Móvil vertical</w:t>
            </w:r>
          </w:p>
        </w:tc>
        <w:tc>
          <w:tcPr>
            <w:tcW w:type="dxa" w:w="18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118-148 px</w:t>
            </w:r>
          </w:p>
        </w:tc>
        <w:tc>
          <w:tcPr>
            <w:tcW w:type="dxa" w:w="26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Una sobre otra</w:t>
            </w:r>
          </w:p>
        </w:tc>
        <w:tc>
          <w:tcPr>
            <w:tcW w:type="dxa" w:w="32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CTA fijo; contenido central puede hacer scroll.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Móvil horizontal</w:t>
            </w:r>
          </w:p>
        </w:tc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130-170 px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Lado a lado</w:t>
            </w:r>
          </w:p>
        </w:tc>
        <w:tc>
          <w:tcPr>
            <w:tcW w:type="dxa" w:w="32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Mantener todo dentro de 100dvh.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Tablet/iPad</w:t>
            </w:r>
          </w:p>
        </w:tc>
        <w:tc>
          <w:tcPr>
            <w:tcW w:type="dxa" w:w="18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170-210 px</w:t>
            </w:r>
          </w:p>
        </w:tc>
        <w:tc>
          <w:tcPr>
            <w:tcW w:type="dxa" w:w="26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Lado a lado</w:t>
            </w:r>
          </w:p>
        </w:tc>
        <w:tc>
          <w:tcPr>
            <w:tcW w:type="dxa" w:w="32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Ancho máximo de contenido 620 px.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Escritorio</w:t>
            </w:r>
          </w:p>
        </w:tc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180-220 px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Lado a lado</w:t>
            </w:r>
          </w:p>
        </w:tc>
        <w:tc>
          <w:tcPr>
            <w:tcW w:type="dxa" w:w="32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No estirar el overlay más de 720 px.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Altura menor a 650 px</w:t>
            </w:r>
          </w:p>
        </w:tc>
        <w:tc>
          <w:tcPr>
            <w:tcW w:type="dxa" w:w="18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105-125 px</w:t>
            </w:r>
          </w:p>
        </w:tc>
        <w:tc>
          <w:tcPr>
            <w:tcW w:type="dxa" w:w="26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Compacta</w:t>
            </w:r>
          </w:p>
        </w:tc>
        <w:tc>
          <w:tcPr>
            <w:tcW w:type="dxa" w:w="32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Reducir espacios, nunca el toque de 44 px.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Matriz de movimiento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400"/>
        <w:gridCol w:w="1700"/>
        <w:gridCol w:w="5260"/>
      </w:tblGrid>
      <w:tr>
        <w:trPr>
          <w:tblHeader w:val="true"/>
        </w:trPr>
        <w:tc>
          <w:tcPr>
            <w:tcW w:type="dxa" w:w="24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Interacción</w:t>
            </w:r>
          </w:p>
        </w:tc>
        <w:tc>
          <w:tcPr>
            <w:tcW w:type="dxa" w:w="17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Duración</w:t>
            </w:r>
          </w:p>
        </w:tc>
        <w:tc>
          <w:tcPr>
            <w:tcW w:type="dxa" w:w="52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Easing / respuesta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Entrada del overlay</w:t>
            </w:r>
          </w:p>
        </w:tc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180 ms</w:t>
            </w:r>
          </w:p>
        </w:tc>
        <w:tc>
          <w:tcPr>
            <w:tcW w:type="dxa" w:w="52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opacity + scale(.98 -&gt; 1), ease-out</w:t>
            </w:r>
          </w:p>
        </w:tc>
      </w:tr>
      <w:tr>
        <w:tc>
          <w:tcPr>
            <w:tcW w:type="dxa" w:w="2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Cambio de pantalla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220 ms</w:t>
            </w:r>
          </w:p>
        </w:tc>
        <w:tc>
          <w:tcPr>
            <w:tcW w:type="dxa" w:w="52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fade + translateY(8 px), ease-out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Pista del símbolo</w:t>
            </w:r>
          </w:p>
        </w:tc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después de 2.5 s</w:t>
            </w:r>
          </w:p>
        </w:tc>
        <w:tc>
          <w:tcPr>
            <w:tcW w:type="dxa" w:w="52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halo de 2 ciclos; no parpadeo infinito</w:t>
            </w:r>
          </w:p>
        </w:tc>
      </w:tr>
      <w:tr>
        <w:tc>
          <w:tcPr>
            <w:tcW w:type="dxa" w:w="2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Error seguro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300 ms</w:t>
            </w:r>
          </w:p>
        </w:tc>
        <w:tc>
          <w:tcPr>
            <w:tcW w:type="dxa" w:w="52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reutilizar shake actual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Acierto</w:t>
            </w:r>
          </w:p>
        </w:tc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250-350 ms</w:t>
            </w:r>
          </w:p>
        </w:tc>
        <w:tc>
          <w:tcPr>
            <w:tcW w:type="dxa" w:w="52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reutilizar pulse-good y feedback en ambas cartas</w:t>
            </w:r>
          </w:p>
        </w:tc>
      </w:tr>
      <w:tr>
        <w:tc>
          <w:tcPr>
            <w:tcW w:type="dxa" w:w="2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Promoción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500 ms</w:t>
            </w:r>
          </w:p>
        </w:tc>
        <w:tc>
          <w:tcPr>
            <w:tcW w:type="dxa" w:w="52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cubic-bezier(0.3, .75, .3, 1.06)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Entrada nueva</w:t>
            </w:r>
          </w:p>
        </w:tc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500 ms + 140 ms</w:t>
            </w:r>
          </w:p>
        </w:tc>
        <w:tc>
          <w:tcPr>
            <w:tcW w:type="dxa" w:w="52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misma secuencia deal-in de la partida</w:t>
            </w:r>
          </w:p>
        </w:tc>
      </w:tr>
    </w:tbl>
    <w:p>
      <w:pPr>
        <w:spacing w:before="0" w:after="0" w:line="6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bottom w:w="170" w:type="dxa"/>
              <w:start w:w="220" w:type="dxa"/>
              <w:end w:w="220" w:type="dxa"/>
            </w:tcMar>
            <w:shd w:fill="EEF0F2" w:val="clear"/>
            <w:tcBorders>
              <w:left w:val="single" w:sz="22" w:color="687078" w:space="0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0D0D0F"/>
                <w:sz w:val="21"/>
              </w:rPr>
              <w:t xml:space="preserve">Movimiento reducido: </w:t>
            </w:r>
            <w:r>
              <w:rPr>
                <w:rFonts w:ascii="Calibri" w:hAnsi="Calibri" w:eastAsia="Calibri"/>
                <w:color w:val="0D0D0F"/>
                <w:sz w:val="21"/>
              </w:rPr>
              <w:t>Con prefers-reduced-motion: reduce, reemplazar vuelos y shakes por un cambio de opacidad de 120 ms. La explicación debe seguir siendo comprensible sin animación.</w:t>
            </w:r>
          </w:p>
        </w:tc>
      </w:tr>
    </w:tbl>
    <w:p>
      <w:pPr>
        <w:spacing w:after="0" w:before="0" w:line="60" w:lineRule="auto"/>
      </w:pP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7  </w:t>
      </w:r>
      <w:r>
        <w:rPr>
          <w:rFonts w:ascii="Calibri" w:hAnsi="Calibri" w:eastAsia="Calibri"/>
          <w:b/>
          <w:color w:val="0D0D0F"/>
          <w:sz w:val="32"/>
        </w:rPr>
        <w:t>Plan técnico de implementación</w:t>
      </w:r>
    </w:p>
    <w:p>
      <w:pPr>
        <w:pStyle w:val="Heading2"/>
      </w:pPr>
      <w:r>
        <w:t>Archivos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350"/>
        <w:gridCol w:w="3190"/>
        <w:gridCol w:w="4820"/>
      </w:tblGrid>
      <w:tr>
        <w:trPr>
          <w:tblHeader w:val="true"/>
        </w:trPr>
        <w:tc>
          <w:tcPr>
            <w:tcW w:type="dxa" w:w="13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Acción</w:t>
            </w:r>
          </w:p>
        </w:tc>
        <w:tc>
          <w:tcPr>
            <w:tcW w:type="dxa" w:w="319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Ruta</w:t>
            </w:r>
          </w:p>
        </w:tc>
        <w:tc>
          <w:tcPr>
            <w:tcW w:type="dxa" w:w="48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Responsabilidad</w:t>
            </w:r>
          </w:p>
        </w:tc>
      </w:tr>
      <w:tr>
        <w:tc>
          <w:tcPr>
            <w:tcW w:type="dxa" w:w="13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Crear</w:t>
            </w:r>
          </w:p>
        </w:tc>
        <w:tc>
          <w:tcPr>
            <w:tcW w:type="dxa" w:w="319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components/HowToPlay.tsx</w:t>
            </w:r>
          </w:p>
        </w:tc>
        <w:tc>
          <w:tcPr>
            <w:tcW w:type="dxa" w:w="482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Hook de primera visita, overlay, máquina de pasos y demo determinista.</w:t>
            </w:r>
          </w:p>
        </w:tc>
      </w:tr>
      <w:tr>
        <w:tc>
          <w:tcPr>
            <w:tcW w:type="dxa" w:w="13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Modificar</w:t>
            </w:r>
          </w:p>
        </w:tc>
        <w:tc>
          <w:tcPr>
            <w:tcW w:type="dxa" w:w="319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components/GameShell.tsx</w:t>
            </w:r>
          </w:p>
        </w:tc>
        <w:tc>
          <w:tcPr>
            <w:tcW w:type="dxa" w:w="482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Montar overlay durante setup y añadir el botón Cómo se juega.</w:t>
            </w:r>
          </w:p>
        </w:tc>
      </w:tr>
      <w:tr>
        <w:tc>
          <w:tcPr>
            <w:tcW w:type="dxa" w:w="13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Modificar</w:t>
            </w:r>
          </w:p>
        </w:tc>
        <w:tc>
          <w:tcPr>
            <w:tcW w:type="dxa" w:w="319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components/SymbolButton.tsx</w:t>
            </w:r>
          </w:p>
        </w:tc>
        <w:tc>
          <w:tcPr>
            <w:tcW w:type="dxa" w:w="482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Soporte Enter/Espacio manteniendo onPointerDown.</w:t>
            </w:r>
          </w:p>
        </w:tc>
      </w:tr>
      <w:tr>
        <w:tc>
          <w:tcPr>
            <w:tcW w:type="dxa" w:w="13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Modificar</w:t>
            </w:r>
          </w:p>
        </w:tc>
        <w:tc>
          <w:tcPr>
            <w:tcW w:type="dxa" w:w="319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app/globals.css</w:t>
            </w:r>
          </w:p>
        </w:tc>
        <w:tc>
          <w:tcPr>
            <w:tcW w:type="dxa" w:w="482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Clases namespaced howto-* y responsive/reduced motion.</w:t>
            </w:r>
          </w:p>
        </w:tc>
      </w:tr>
      <w:tr>
        <w:tc>
          <w:tcPr>
            <w:tcW w:type="dxa" w:w="13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No tocar</w:t>
            </w:r>
          </w:p>
        </w:tc>
        <w:tc>
          <w:tcPr>
            <w:tcW w:type="dxa" w:w="319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lib/game.ts, lib/pay.ts, APIs</w:t>
            </w:r>
          </w:p>
        </w:tc>
        <w:tc>
          <w:tcPr>
            <w:tcW w:type="dxa" w:w="482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Reglas, cobros, contratos, entitlement, ranking y resultados.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Estado y persistencia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Clave versionada: "avispate:how-to-play:v1". Guardar "1" al Saltar, cerrar con Escape o completar.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Usar useSyncExternalStore con snapshot de servidor seguro para evitar hydration mismatch y flash.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Si localStorage no está disponible, asumir visto para no mostrar el overlay en cada visita; el botón manual sigue funcionando.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replay() abre el overlay aunque la clave exista. Al remontar el componente, el paso vuelve a 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Renderizar el tutorial solo cuando phase === setup. No debe reaparecer en countdown, playing ni results.</w:t>
      </w:r>
    </w:p>
    <w:p>
      <w:pPr>
        <w:pStyle w:val="Heading2"/>
      </w:pPr>
      <w:r>
        <w:t>Integración mínima en GameShell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import { HowToPlay, useHowToPlay } from "./HowToPlay";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const howTo = useHowToPlay();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{phase === "setup" &amp;&amp; howTo.open &amp;&amp; &lt;HowToPlay onClose={howTo.close} /&gt;}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&lt;button type="button" className="howto-replay" onClick={howTo.replay}&gt;Cómo se juega&lt;/button&gt;</w:t>
      </w:r>
    </w:p>
    <w:p>
      <w:pPr>
        <w:pStyle w:val="Heading2"/>
      </w:pPr>
      <w:r>
        <w:t>Máquina de pasos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Paso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Estado local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Salida</w:t>
            </w:r>
          </w:p>
        </w:tc>
      </w:tr>
      <w:tr>
        <w:tc>
          <w:tcPr>
            <w:tcW w:type="dxa" w:w="16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1. idea</w:t>
            </w:r>
          </w:p>
        </w:tc>
        <w:tc>
          <w:tcPr>
            <w:tcW w:type="dxa" w:w="36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index=0</w:t>
            </w:r>
          </w:p>
        </w:tc>
        <w:tc>
          <w:tcPr>
            <w:tcW w:type="dxa" w:w="4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CTA Muéstrame -&gt; index=1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2. try</w:t>
            </w:r>
          </w:p>
        </w:tc>
        <w:tc>
          <w:tcPr>
            <w:tcW w:type="dxa" w:w="3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wrongId, matched, hintVisible</w:t>
            </w:r>
          </w:p>
        </w:tc>
        <w:tc>
          <w:tcPr>
            <w:tcW w:type="dxa" w:w="41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Acierto apple -&gt; index=2 tras 350 ms</w:t>
            </w:r>
          </w:p>
        </w:tc>
      </w:tr>
      <w:tr>
        <w:tc>
          <w:tcPr>
            <w:tcW w:type="dxa" w:w="16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3. motion</w:t>
            </w:r>
          </w:p>
        </w:tc>
        <w:tc>
          <w:tcPr>
            <w:tcW w:type="dxa" w:w="36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motionKey, motionDone</w:t>
            </w:r>
          </w:p>
        </w:tc>
        <w:tc>
          <w:tcPr>
            <w:tcW w:type="dxa" w:w="4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Siguiente -&gt; index=3; Ver otra vez incrementa key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4. ready</w:t>
            </w:r>
          </w:p>
        </w:tc>
        <w:tc>
          <w:tcPr>
            <w:tcW w:type="dxa" w:w="3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index=3</w:t>
            </w:r>
          </w:p>
        </w:tc>
        <w:tc>
          <w:tcPr>
            <w:tcW w:type="dxa" w:w="41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¡A jugar! -&gt; onClose()</w:t>
            </w:r>
          </w:p>
        </w:tc>
      </w:tr>
    </w:tbl>
    <w:p>
      <w:pPr>
        <w:spacing w:before="0" w:after="0" w:line="60" w:lineRule="auto"/>
      </w:pP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bottom w:w="170" w:type="dxa"/>
              <w:start w:w="220" w:type="dxa"/>
              <w:end w:w="220" w:type="dxa"/>
            </w:tcMar>
            <w:shd w:fill="FDE8EE" w:val="clear"/>
            <w:tcBorders>
              <w:left w:val="single" w:sz="22" w:color="C9365B" w:space="0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0D0D0F"/>
                <w:sz w:val="21"/>
              </w:rPr>
              <w:t xml:space="preserve">Aislamiento obligatorio: </w:t>
            </w:r>
            <w:r>
              <w:rPr>
                <w:rFonts w:ascii="Calibri" w:hAnsi="Calibri" w:eastAsia="Calibri"/>
                <w:color w:val="0D0D0F"/>
                <w:sz w:val="21"/>
              </w:rPr>
              <w:t>El tutorial no debe llamar handleStart, generateFirstCard, generateNextCard, payForDeck, submitScore, saveResult ni ningún endpoint. Sus cartas y estados son exclusivamente locales.</w:t>
            </w:r>
          </w:p>
        </w:tc>
      </w:tr>
    </w:tbl>
    <w:p>
      <w:pPr>
        <w:spacing w:after="0" w:before="0" w:line="60" w:lineRule="auto"/>
      </w:pP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8  </w:t>
      </w:r>
      <w:r>
        <w:rPr>
          <w:rFonts w:ascii="Calibri" w:hAnsi="Calibri" w:eastAsia="Calibri"/>
          <w:b/>
          <w:color w:val="0D0D0F"/>
          <w:sz w:val="32"/>
        </w:rPr>
        <w:t>Accesibilidad y casos límite</w:t>
      </w:r>
    </w:p>
    <w:p>
      <w:pPr>
        <w:pStyle w:val="Heading2"/>
      </w:pPr>
      <w:r>
        <w:t>Requisitos de accesibilidad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Contenedor con role="dialog", aria-modal="true" y aria-label="Cómo se juega".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Mover el foco al título o al botón Saltar al abrir; devolverlo al botón de repetición al cerrar manualmente.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Escape cierra; flechas izquierda/derecha pueden navegar solo en pasos no interactivos.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Mensaje de error/acierto en aria-live polite; no depender solo del color.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Base debe anunciarse como referencia no interactiva. Tu carta debe conservar nombres accesibles de símbolos.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Enter y Espacio deben activar el símbolo enfocado en el tutorial.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Bloquear scroll del body mientras el overlay esté abierto y restaurarlo al desmontar.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Respetar safe-area-inset-top y safe-area-inset-bottom.</w:t>
      </w:r>
    </w:p>
    <w:p>
      <w:pPr>
        <w:pStyle w:val="Heading2"/>
      </w:pPr>
      <w:r>
        <w:t>Casos que no deben romperse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Caso</w:t>
            </w:r>
          </w:p>
        </w:tc>
        <w:tc>
          <w:tcPr>
            <w:tcW w:type="dxa" w:w="69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Resultado correcto</w:t>
            </w:r>
          </w:p>
        </w:tc>
      </w:tr>
      <w:tr>
        <w:tc>
          <w:tcPr>
            <w:tcW w:type="dxa" w:w="24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Primera visita sin sesión</w:t>
            </w:r>
          </w:p>
        </w:tc>
        <w:tc>
          <w:tcPr>
            <w:tcW w:type="dxa" w:w="69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Tutorial visible encima del AccessCard, sin bloquear la carga de Privy.</w:t>
            </w:r>
          </w:p>
        </w:tc>
      </w:tr>
      <w:tr>
        <w:tc>
          <w:tcPr>
            <w:tcW w:type="dxa" w:w="24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Usuario ya autenticado</w:t>
            </w:r>
          </w:p>
        </w:tc>
        <w:tc>
          <w:tcPr>
            <w:tcW w:type="dxa" w:w="69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Tutorial visible una vez; al cerrar vuelve al PlayerForm actual.</w:t>
            </w:r>
          </w:p>
        </w:tc>
      </w:tr>
      <w:tr>
        <w:tc>
          <w:tcPr>
            <w:tcW w:type="dxa" w:w="24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localStorage bloqueado</w:t>
            </w:r>
          </w:p>
        </w:tc>
        <w:tc>
          <w:tcPr>
            <w:tcW w:type="dxa" w:w="69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No hay crash ni bucle; el acceso manual permanece.</w:t>
            </w:r>
          </w:p>
        </w:tc>
      </w:tr>
      <w:tr>
        <w:tc>
          <w:tcPr>
            <w:tcW w:type="dxa" w:w="24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Recarga durante el tutorial</w:t>
            </w:r>
          </w:p>
        </w:tc>
        <w:tc>
          <w:tcPr>
            <w:tcW w:type="dxa" w:w="69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Si ya se cerró antes, no reaparece; si no, se puede mostrar de nuevo.</w:t>
            </w:r>
          </w:p>
        </w:tc>
      </w:tr>
      <w:tr>
        <w:tc>
          <w:tcPr>
            <w:tcW w:type="dxa" w:w="24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Altura muy corta</w:t>
            </w:r>
          </w:p>
        </w:tc>
        <w:tc>
          <w:tcPr>
            <w:tcW w:type="dxa" w:w="69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El centro hace scroll; Saltar y CTA permanecen alcanzables.</w:t>
            </w:r>
          </w:p>
        </w:tc>
      </w:tr>
      <w:tr>
        <w:tc>
          <w:tcPr>
            <w:tcW w:type="dxa" w:w="24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Modo reducido</w:t>
            </w:r>
          </w:p>
        </w:tc>
        <w:tc>
          <w:tcPr>
            <w:tcW w:type="dxa" w:w="69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Cambios claros sin vuelo, shake ni pulsación intensa.</w:t>
            </w:r>
          </w:p>
        </w:tc>
      </w:tr>
      <w:tr>
        <w:tc>
          <w:tcPr>
            <w:tcW w:type="dxa" w:w="24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Doble toque rápido</w:t>
            </w:r>
          </w:p>
        </w:tc>
        <w:tc>
          <w:tcPr>
            <w:tcW w:type="dxa" w:w="69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Un único avance; matched bloquea eventos posteriores.</w:t>
            </w:r>
          </w:p>
        </w:tc>
      </w:tr>
      <w:tr>
        <w:tc>
          <w:tcPr>
            <w:tcW w:type="dxa" w:w="24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Cerrar en plena animación</w:t>
            </w:r>
          </w:p>
        </w:tc>
        <w:tc>
          <w:tcPr>
            <w:tcW w:type="dxa" w:w="69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Limpiar timeouts; no actualizar estado desmontado.</w:t>
            </w:r>
          </w:p>
        </w:tc>
      </w:tr>
    </w:tbl>
    <w:p>
      <w:pPr>
        <w:spacing w:before="0" w:after="0" w:line="60" w:lineRule="auto"/>
      </w:pP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9  </w:t>
      </w:r>
      <w:r>
        <w:rPr>
          <w:rFonts w:ascii="Calibri" w:hAnsi="Calibri" w:eastAsia="Calibri"/>
          <w:b/>
          <w:color w:val="0D0D0F"/>
          <w:sz w:val="32"/>
        </w:rPr>
        <w:t>Criterios de aceptación y pruebas</w:t>
      </w:r>
    </w:p>
    <w:p>
      <w:pPr>
        <w:pStyle w:val="Heading2"/>
      </w:pPr>
      <w:r>
        <w:t>Criterios funcionales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En un navegador limpio, el tutorial aparece automáticamente una vez en /visual-rush.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Saltar, Escape y ¡A jugar! guardan la clave de visto y cierran sin iniciar una partida.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botón "Cómo se juega" queda visible en setup, debajo de las tres tarjetas explicativas y antes del acceso/juego.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botón reabre siempre el tutorial desde el paso 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En la práctica solo la manzana de Tu carta permite avanzar.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Un símbolo incorrecto tiembla y muestra una pista, pero no suma tiempo ni consume jugada.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animación muestra A saliendo, B subiendo a Base y C entrando.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Al terminar, el estado de login, alias, selección de mazo y entitlement permanece intacto.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se producen solicitudes de pago, score, ranking o partida desde el tutorial.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npm run build finaliza sin errores ni warnings nuevos.</w:t>
      </w:r>
    </w:p>
    <w:p>
      <w:pPr>
        <w:pStyle w:val="Heading2"/>
      </w:pPr>
      <w:r>
        <w:t>Matriz de smoke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Entorno</w:t>
            </w:r>
          </w:p>
        </w:tc>
        <w:tc>
          <w:tcPr>
            <w:tcW w:type="dxa" w:w="30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Prueba mínima</w:t>
            </w:r>
          </w:p>
        </w:tc>
        <w:tc>
          <w:tcPr>
            <w:tcW w:type="dxa" w:w="46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Debe verificarse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360 x 640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Flujo completo</w:t>
            </w:r>
          </w:p>
        </w:tc>
        <w:tc>
          <w:tcPr>
            <w:tcW w:type="dxa" w:w="4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Sin recorte; CTA y Saltar accesibles.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390 x 844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Práctica + movimiento</w:t>
            </w:r>
          </w:p>
        </w:tc>
        <w:tc>
          <w:tcPr>
            <w:tcW w:type="dxa" w:w="4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Cartas legibles y toque &gt;=44 px.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768 x 1024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iPad vertical</w:t>
            </w:r>
          </w:p>
        </w:tc>
        <w:tc>
          <w:tcPr>
            <w:tcW w:type="dxa" w:w="4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Cartas grandes, sin exceso de espacio.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1366 x 768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Escritorio</w:t>
            </w:r>
          </w:p>
        </w:tc>
        <w:tc>
          <w:tcPr>
            <w:tcW w:type="dxa" w:w="4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Demo lado a lado y contenido centrado.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Teclado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Tab, Enter, Espacio, Escape</w:t>
            </w:r>
          </w:p>
        </w:tc>
        <w:tc>
          <w:tcPr>
            <w:tcW w:type="dxa" w:w="4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Orden de foco correcto y cierre seguro.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Reduced motion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Activar preferencia</w:t>
            </w:r>
          </w:p>
        </w:tc>
        <w:tc>
          <w:tcPr>
            <w:tcW w:type="dxa" w:w="4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Sin vuelo; explicación sigue clara.</w:t>
            </w:r>
          </w:p>
        </w:tc>
      </w:tr>
      <w:tr>
        <w:tc>
          <w:tcPr>
            <w:tcW w:type="dxa" w:w="17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Privado/bloqueado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localStorage lanza error</w:t>
            </w:r>
          </w:p>
        </w:tc>
        <w:tc>
          <w:tcPr>
            <w:tcW w:type="dxa" w:w="4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Sin crash; acceso manual disponible.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Usuario autenticado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Cerrar tutorial</w:t>
            </w:r>
          </w:p>
        </w:tc>
        <w:tc>
          <w:tcPr>
            <w:tcW w:type="dxa" w:w="4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Vuelve al PlayerForm sin perder estado.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Evidencia que Claude Code debe entregar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Resumen de archivos creados y modificados.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Resultado de npm run build.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Smoke test de primera visita, reabrir, acierto, error y cierre.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Confirmación explícita de que pagos, login y ranking no cambiaron.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10  </w:t>
      </w:r>
      <w:r>
        <w:rPr>
          <w:rFonts w:ascii="Calibri" w:hAnsi="Calibri" w:eastAsia="Calibri"/>
          <w:b/>
          <w:color w:val="0D0D0F"/>
          <w:sz w:val="32"/>
        </w:rPr>
        <w:t>Mensaje listo para darle a Claude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bottom w:w="170" w:type="dxa"/>
              <w:start w:w="220" w:type="dxa"/>
              <w:end w:w="220" w:type="dxa"/>
            </w:tcMar>
            <w:shd w:fill="FFF3CD" w:val="clear"/>
            <w:tcBorders>
              <w:left w:val="single" w:sz="22" w:color="FBBD02" w:space="0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0D0D0F"/>
                <w:sz w:val="21"/>
              </w:rPr>
              <w:t xml:space="preserve">Cómo usarlo: </w:t>
            </w:r>
            <w:r>
              <w:rPr>
                <w:rFonts w:ascii="Calibri" w:hAnsi="Calibri" w:eastAsia="Calibri"/>
                <w:color w:val="0D0D0F"/>
                <w:sz w:val="21"/>
              </w:rPr>
              <w:t>Adjunta este Word al chat de Claude Code y pega el mensaje siguiente. El documento completo es la fuente de verdad; el mensaje solo fija el orden y los límites.</w:t>
            </w:r>
          </w:p>
        </w:tc>
      </w:tr>
    </w:tbl>
    <w:p>
      <w:pPr>
        <w:spacing w:after="0" w:before="0" w:line="60" w:lineRule="auto"/>
      </w:pP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/>
          <w:color w:val="0D0D0F"/>
          <w:sz w:val="19"/>
        </w:rPr>
        <w:t>Lee completo el documento Word adjunto antes de modificar archivos.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Después inspecciona el estado actual del repositorio avispate-visual y confirma que las rutas mencionadas siguen existiendo.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Implementa el tutorial interactivo "Cómo se juega" exactamente con el flujo, microcopy, cartas deterministas, persistencia, animaciones, responsive y criterios de aceptación del documento.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Prioridad: que una persona nueva entienda cuál carta se toca y vea cómo Tu carta se convierte en la nueva Base.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Conserva la identidad actual de Avíspate. Usa el logo, Fredoka, Nunito, amarillo, cyan, fondo crema, sombras y cartas circulares existentes. No copies la estética, textos ni clases de nerdos.fun.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Haz una integración mínima. No refactorices la partida real y no cambies login, alias, wallet, pagos, contrato, premio, entitlement, ranking, APIs ni reglas.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No añadas dependencias. Reutiliza CardView y los símbolos existentes cuando sea seguro; usa datos fijos en el tutorial para que siempre haya exactamente un match.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Comprueba accesibilidad, reduced motion, alturas pequeñas y ausencia de hydration mismatch.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Al finalizar ejecuta npm run build y realiza los smoke tests indicados. Corrige cualquier problema antes de responder.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Entrégame: resumen de cambios, archivos tocados, resultado del build, pruebas realizadas y cualquier decisión menor que hayas tenido que tomar.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No hagas push ni despliegue hasta que yo te lo pida.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11  </w:t>
      </w:r>
      <w:r>
        <w:rPr>
          <w:rFonts w:ascii="Calibri" w:hAnsi="Calibri" w:eastAsia="Calibri"/>
          <w:b/>
          <w:color w:val="0D0D0F"/>
          <w:sz w:val="32"/>
        </w:rPr>
        <w:t>Fuentes de código revisadas</w:t>
      </w:r>
    </w:p>
    <w:p>
      <w:pPr/>
      <w:r>
        <w:rPr>
          <w:rFonts w:ascii="Calibri" w:hAnsi="Calibri" w:eastAsia="Calibri"/>
          <w:i w:val="0"/>
          <w:color w:val="0D0D0F"/>
        </w:rPr>
        <w:t>Enlaces directos para que Claude Code contraste la intención con la implementación real. La rama revisada fue main el 23 de julio de 2026.</w:t>
      </w:r>
    </w:p>
    <w:p>
      <w:pPr>
        <w:pStyle w:val="Heading2"/>
      </w:pPr>
      <w:r>
        <w:t>Repositorio Avíspate</w:t>
      </w:r>
    </w:p>
    <w:p>
      <w:pPr>
        <w:spacing w:after="80"/>
      </w:pPr>
      <w:hyperlink r:id="rId17">
        <w:r>
          <w:rPr>
            <w:color w:val="006A73"/>
            <w:u w:val="single"/>
          </w:rPr>
          <w:t>Repositorio</w:t>
        </w:r>
      </w:hyperlink>
      <w:r>
        <w:rPr>
          <w:rFonts w:ascii="Calibri" w:hAnsi="Calibri" w:eastAsia="Calibri"/>
          <w:color w:val="687078"/>
          <w:sz w:val="18"/>
        </w:rPr>
        <w:t xml:space="preserve"> - código principal de Avíspate.</w:t>
      </w:r>
    </w:p>
    <w:p>
      <w:pPr>
        <w:spacing w:after="80"/>
      </w:pPr>
      <w:hyperlink r:id="rId18">
        <w:r>
          <w:rPr>
            <w:color w:val="006A73"/>
            <w:u w:val="single"/>
          </w:rPr>
          <w:t>README.md</w:t>
        </w:r>
      </w:hyperlink>
      <w:r>
        <w:rPr>
          <w:rFonts w:ascii="Calibri" w:hAnsi="Calibri" w:eastAsia="Calibri"/>
          <w:color w:val="687078"/>
          <w:sz w:val="18"/>
        </w:rPr>
        <w:t xml:space="preserve"> - reglas, flujo de cartas y estructura.</w:t>
      </w:r>
    </w:p>
    <w:p>
      <w:pPr>
        <w:spacing w:after="80"/>
      </w:pPr>
      <w:hyperlink r:id="rId19">
        <w:r>
          <w:rPr>
            <w:color w:val="006A73"/>
            <w:u w:val="single"/>
          </w:rPr>
          <w:t>GameShell.tsx</w:t>
        </w:r>
      </w:hyperlink>
      <w:r>
        <w:rPr>
          <w:rFonts w:ascii="Calibri" w:hAnsi="Calibri" w:eastAsia="Calibri"/>
          <w:color w:val="687078"/>
          <w:sz w:val="18"/>
        </w:rPr>
        <w:t xml:space="preserve"> - fases, pagos, movimiento, setup y resultados.</w:t>
      </w:r>
    </w:p>
    <w:p>
      <w:pPr>
        <w:spacing w:after="80"/>
      </w:pPr>
      <w:hyperlink r:id="rId20">
        <w:r>
          <w:rPr>
            <w:color w:val="006A73"/>
            <w:u w:val="single"/>
          </w:rPr>
          <w:t>PlayerForm.tsx</w:t>
        </w:r>
      </w:hyperlink>
      <w:r>
        <w:rPr>
          <w:rFonts w:ascii="Calibri" w:hAnsi="Calibri" w:eastAsia="Calibri"/>
          <w:color w:val="687078"/>
          <w:sz w:val="18"/>
        </w:rPr>
        <w:t xml:space="preserve"> - mazos, jugada gratis y copy de inicio.</w:t>
      </w:r>
    </w:p>
    <w:p>
      <w:pPr>
        <w:spacing w:after="80"/>
      </w:pPr>
      <w:hyperlink r:id="rId21">
        <w:r>
          <w:rPr>
            <w:color w:val="006A73"/>
            <w:u w:val="single"/>
          </w:rPr>
          <w:t>CardView.tsx</w:t>
        </w:r>
      </w:hyperlink>
      <w:r>
        <w:rPr>
          <w:rFonts w:ascii="Calibri" w:hAnsi="Calibri" w:eastAsia="Calibri"/>
          <w:color w:val="687078"/>
          <w:sz w:val="18"/>
        </w:rPr>
        <w:t xml:space="preserve"> - renderizado de cartas.</w:t>
      </w:r>
    </w:p>
    <w:p>
      <w:pPr>
        <w:spacing w:after="80"/>
      </w:pPr>
      <w:hyperlink r:id="rId22">
        <w:r>
          <w:rPr>
            <w:color w:val="006A73"/>
            <w:u w:val="single"/>
          </w:rPr>
          <w:t>SymbolButton.tsx</w:t>
        </w:r>
      </w:hyperlink>
      <w:r>
        <w:rPr>
          <w:rFonts w:ascii="Calibri" w:hAnsi="Calibri" w:eastAsia="Calibri"/>
          <w:color w:val="687078"/>
          <w:sz w:val="18"/>
        </w:rPr>
        <w:t xml:space="preserve"> - interacción de símbolos.</w:t>
      </w:r>
    </w:p>
    <w:p>
      <w:pPr>
        <w:spacing w:after="80"/>
      </w:pPr>
      <w:hyperlink r:id="rId23">
        <w:r>
          <w:rPr>
            <w:color w:val="006A73"/>
            <w:u w:val="single"/>
          </w:rPr>
          <w:t>game.ts</w:t>
        </w:r>
      </w:hyperlink>
      <w:r>
        <w:rPr>
          <w:rFonts w:ascii="Calibri" w:hAnsi="Calibri" w:eastAsia="Calibri"/>
          <w:color w:val="687078"/>
          <w:sz w:val="18"/>
        </w:rPr>
        <w:t xml:space="preserve"> - regla de match único y generación.</w:t>
      </w:r>
    </w:p>
    <w:p>
      <w:pPr>
        <w:spacing w:after="80"/>
      </w:pPr>
      <w:hyperlink r:id="rId24">
        <w:r>
          <w:rPr>
            <w:color w:val="006A73"/>
            <w:u w:val="single"/>
          </w:rPr>
          <w:t>symbols.ts</w:t>
        </w:r>
      </w:hyperlink>
      <w:r>
        <w:rPr>
          <w:rFonts w:ascii="Calibri" w:hAnsi="Calibri" w:eastAsia="Calibri"/>
          <w:color w:val="687078"/>
          <w:sz w:val="18"/>
        </w:rPr>
        <w:t xml:space="preserve"> - ids y banco de símbolos.</w:t>
      </w:r>
    </w:p>
    <w:p>
      <w:pPr>
        <w:spacing w:after="80"/>
      </w:pPr>
      <w:hyperlink r:id="rId25">
        <w:r>
          <w:rPr>
            <w:color w:val="006A73"/>
            <w:u w:val="single"/>
          </w:rPr>
          <w:t>globals.css</w:t>
        </w:r>
      </w:hyperlink>
      <w:r>
        <w:rPr>
          <w:rFonts w:ascii="Calibri" w:hAnsi="Calibri" w:eastAsia="Calibri"/>
          <w:color w:val="687078"/>
          <w:sz w:val="18"/>
        </w:rPr>
        <w:t xml:space="preserve"> - paleta, tipografía y animaciones.</w:t>
      </w:r>
    </w:p>
    <w:p>
      <w:pPr>
        <w:pStyle w:val="Heading2"/>
      </w:pPr>
      <w:r>
        <w:t>Repositorio de inspiración</w:t>
      </w:r>
    </w:p>
    <w:p>
      <w:pPr>
        <w:spacing w:after="80"/>
      </w:pPr>
      <w:hyperlink r:id="rId26">
        <w:r>
          <w:rPr>
            <w:color w:val="006A73"/>
            <w:u w:val="single"/>
          </w:rPr>
          <w:t>Repositorio</w:t>
        </w:r>
      </w:hyperlink>
      <w:r>
        <w:rPr>
          <w:rFonts w:ascii="Calibri" w:hAnsi="Calibri" w:eastAsia="Calibri"/>
          <w:color w:val="687078"/>
          <w:sz w:val="18"/>
        </w:rPr>
        <w:t xml:space="preserve"> - referencia del patrón de onboarding.</w:t>
      </w:r>
    </w:p>
    <w:p>
      <w:pPr>
        <w:spacing w:after="80"/>
      </w:pPr>
      <w:hyperlink r:id="rId27">
        <w:r>
          <w:rPr>
            <w:color w:val="006A73"/>
            <w:u w:val="single"/>
          </w:rPr>
          <w:t>Onboarding.tsx</w:t>
        </w:r>
      </w:hyperlink>
      <w:r>
        <w:rPr>
          <w:rFonts w:ascii="Calibri" w:hAnsi="Calibri" w:eastAsia="Calibri"/>
          <w:color w:val="687078"/>
          <w:sz w:val="18"/>
        </w:rPr>
        <w:t xml:space="preserve"> - primera visita, persistencia, Saltar y replay.</w:t>
      </w:r>
    </w:p>
    <w:p>
      <w:pPr>
        <w:spacing w:after="80"/>
      </w:pPr>
      <w:hyperlink r:id="rId28">
        <w:r>
          <w:rPr>
            <w:color w:val="006A73"/>
            <w:u w:val="single"/>
          </w:rPr>
          <w:t>page.tsx</w:t>
        </w:r>
      </w:hyperlink>
      <w:r>
        <w:rPr>
          <w:rFonts w:ascii="Calibri" w:hAnsi="Calibri" w:eastAsia="Calibri"/>
          <w:color w:val="687078"/>
          <w:sz w:val="18"/>
        </w:rPr>
        <w:t xml:space="preserve"> - botón permanente Cómo funciona.</w:t>
      </w:r>
    </w:p>
    <w:p>
      <w:pPr>
        <w:spacing w:after="80"/>
      </w:pPr>
      <w:hyperlink r:id="rId29">
        <w:r>
          <w:rPr>
            <w:color w:val="006A73"/>
            <w:u w:val="single"/>
          </w:rPr>
          <w:t>i18n.ts</w:t>
        </w:r>
      </w:hyperlink>
      <w:r>
        <w:rPr>
          <w:rFonts w:ascii="Calibri" w:hAnsi="Calibri" w:eastAsia="Calibri"/>
          <w:color w:val="687078"/>
          <w:sz w:val="18"/>
        </w:rPr>
        <w:t xml:space="preserve"> - estructura de títulos y botones del flujo.</w:t>
      </w:r>
    </w:p>
    <w:p>
      <w:pPr>
        <w:spacing w:after="80"/>
      </w:pPr>
      <w:hyperlink r:id="rId30">
        <w:r>
          <w:rPr>
            <w:color w:val="006A73"/>
            <w:u w:val="single"/>
          </w:rPr>
          <w:t>globals.css</w:t>
        </w:r>
      </w:hyperlink>
      <w:r>
        <w:rPr>
          <w:rFonts w:ascii="Calibri" w:hAnsi="Calibri" w:eastAsia="Calibri"/>
          <w:color w:val="687078"/>
          <w:sz w:val="18"/>
        </w:rPr>
        <w:t xml:space="preserve"> - identidad visual que no debe copiarse.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bottom w:w="170" w:type="dxa"/>
              <w:start w:w="220" w:type="dxa"/>
              <w:end w:w="220" w:type="dxa"/>
            </w:tcMar>
            <w:shd w:fill="D9F6F9" w:val="clear"/>
            <w:tcBorders>
              <w:left w:val="single" w:sz="22" w:color="00C7D6" w:space="0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0D0D0F"/>
                <w:sz w:val="21"/>
              </w:rPr>
              <w:t xml:space="preserve">Cierre: </w:t>
            </w:r>
            <w:r>
              <w:rPr>
                <w:rFonts w:ascii="Calibri" w:hAnsi="Calibri" w:eastAsia="Calibri"/>
                <w:color w:val="0D0D0F"/>
                <w:sz w:val="21"/>
              </w:rPr>
              <w:t>El mejor tutorial para Avíspate no explica más: deja que el usuario vea, toque y entienda el movimiento en menos de un minuto.</w:t>
            </w:r>
          </w:p>
        </w:tc>
      </w:tr>
    </w:tbl>
    <w:p>
      <w:pPr>
        <w:spacing w:after="0" w:before="0" w:line="60" w:lineRule="auto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tabs>
        <w:tab w:val="right" w:pos="9360"/>
        <w:tab w:val="right" w:pos="9360"/>
      </w:tabs>
    </w:pPr>
    <w:r>
      <w:rPr>
        <w:rFonts w:ascii="Calibri" w:hAnsi="Calibri" w:eastAsia="Calibri"/>
        <w:color w:val="687078"/>
        <w:sz w:val="17"/>
      </w:rPr>
      <w:t>Avíspate · 23 de julio de 2026</w:t>
    </w:r>
    <w:r>
      <w:tab/>
    </w:r>
    <w:r>
      <w:rPr>
        <w:rFonts w:ascii="Calibri" w:hAnsi="Calibri" w:eastAsia="Calibri"/>
        <w:color w:val="687078"/>
        <w:sz w:val="17"/>
      </w:rPr>
      <w:t xml:space="preserve">Página </w:t>
    </w:r>
    <w:r>
      <w:rPr>
        <w:rFonts w:ascii="Calibri" w:hAnsi="Calibri" w:eastAsia="Calibri"/>
        <w:color w:val="687078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87078"/>
        <w:sz w:val="17"/>
      </w:rPr>
      <w:t xml:space="preserve"> de </w:t>
    </w:r>
    <w:r>
      <w:rPr>
        <w:rFonts w:ascii="Calibri" w:hAnsi="Calibri" w:eastAsia="Calibri"/>
        <w:color w:val="687078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687078"/>
        <w:sz w:val="17"/>
      </w:rPr>
      <w:t>Brief de producto y desarrollo · listo para implementación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tabs>
        <w:tab w:val="right" w:pos="9360"/>
        <w:tab w:val="right" w:pos="9360"/>
      </w:tabs>
    </w:pPr>
    <w:r>
      <w:rPr>
        <w:rFonts w:ascii="Calibri" w:hAnsi="Calibri" w:eastAsia="Calibri"/>
        <w:b/>
        <w:color w:val="0D0D0F"/>
        <w:sz w:val="16"/>
      </w:rPr>
      <w:t>AVÍSPATE · TUTORIAL INTERACTIVO</w:t>
    </w:r>
    <w:r>
      <w:rPr>
        <w:rFonts w:ascii="Calibri" w:hAnsi="Calibri" w:eastAsia="Calibri"/>
        <w:sz w:val="16"/>
      </w:rPr>
      <w:tab/>
    </w:r>
    <w:r>
      <w:rPr>
        <w:rFonts w:ascii="Calibri" w:hAnsi="Calibri" w:eastAsia="Calibri"/>
        <w:b/>
        <w:color w:val="006A73"/>
        <w:sz w:val="16"/>
      </w:rPr>
      <w:t>BRIEF DE IMPLEMENTACIÓN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5B0000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nsid w:val="A5B0000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0D0D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D0D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D0D0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D0D0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006A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40" w:after="160"/>
    </w:pPr>
    <w:rPr>
      <w:rFonts w:ascii="Calibri" w:hAnsi="Calibri"/>
      <w:b/>
      <w:bCs/>
      <w:i/>
      <w:color w:val="6870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github.com/JuanFCast/avispate-visual" TargetMode="External"/><Relationship Id="rId18" Type="http://schemas.openxmlformats.org/officeDocument/2006/relationships/hyperlink" Target="https://github.com/JuanFCast/avispate-visual/blob/main/README.md" TargetMode="External"/><Relationship Id="rId19" Type="http://schemas.openxmlformats.org/officeDocument/2006/relationships/hyperlink" Target="https://github.com/JuanFCast/avispate-visual/blob/main/components/GameShell.tsx" TargetMode="External"/><Relationship Id="rId20" Type="http://schemas.openxmlformats.org/officeDocument/2006/relationships/hyperlink" Target="https://github.com/JuanFCast/avispate-visual/blob/main/components/PlayerForm.tsx" TargetMode="External"/><Relationship Id="rId21" Type="http://schemas.openxmlformats.org/officeDocument/2006/relationships/hyperlink" Target="https://github.com/JuanFCast/avispate-visual/blob/main/components/CardView.tsx" TargetMode="External"/><Relationship Id="rId22" Type="http://schemas.openxmlformats.org/officeDocument/2006/relationships/hyperlink" Target="https://github.com/JuanFCast/avispate-visual/blob/main/components/SymbolButton.tsx" TargetMode="External"/><Relationship Id="rId23" Type="http://schemas.openxmlformats.org/officeDocument/2006/relationships/hyperlink" Target="https://github.com/JuanFCast/avispate-visual/blob/main/lib/game.ts" TargetMode="External"/><Relationship Id="rId24" Type="http://schemas.openxmlformats.org/officeDocument/2006/relationships/hyperlink" Target="https://github.com/JuanFCast/avispate-visual/blob/main/lib/symbols.ts" TargetMode="External"/><Relationship Id="rId25" Type="http://schemas.openxmlformats.org/officeDocument/2006/relationships/hyperlink" Target="https://github.com/JuanFCast/avispate-visual/blob/main/app/globals.css" TargetMode="External"/><Relationship Id="rId26" Type="http://schemas.openxmlformats.org/officeDocument/2006/relationships/hyperlink" Target="https://github.com/csacanam/freaking-grammar" TargetMode="External"/><Relationship Id="rId27" Type="http://schemas.openxmlformats.org/officeDocument/2006/relationships/hyperlink" Target="https://github.com/csacanam/freaking-grammar/blob/main/src/components/Onboarding.tsx" TargetMode="External"/><Relationship Id="rId28" Type="http://schemas.openxmlformats.org/officeDocument/2006/relationships/hyperlink" Target="https://github.com/csacanam/freaking-grammar/blob/main/src/app/page.tsx" TargetMode="External"/><Relationship Id="rId29" Type="http://schemas.openxmlformats.org/officeDocument/2006/relationships/hyperlink" Target="https://github.com/csacanam/freaking-grammar/blob/main/src/lib/i18n.ts" TargetMode="External"/><Relationship Id="rId30" Type="http://schemas.openxmlformats.org/officeDocument/2006/relationships/hyperlink" Target="https://github.com/csacanam/freaking-grammar/blob/main/src/app/globals.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Avíspate - Tutorial interactivo "Cómo se juega"</dc:title>
  <dc:subject>Brief de implementación para Claude Code</dc:subject>
  <dc:creator>Juan Felipe Castillo Gómez</dc:creator>
  <cp:keywords>Avíspate, onboarding, tutorial interactivo, Next.js, React</cp:keywords>
  <dc:description>Especificación basada en el código de los repositorios enlazados.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