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JSON: Esto nos permite consumir API o compartirlas para que la utilicen.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8953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85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971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(): recibe un objeto y lo transforma a un string del tipo json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90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6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5429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(): recibe un string en formato del tipo JSON y lo transforma a un objeto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457325" cy="1809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9063" cy="163850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638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4713" cy="1215669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215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TRABAJA CON DOS MÉTODOS: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: Como primer parámetro se le pasa la URL de donde sacamos la información.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.THEN</w:t>
      </w:r>
      <w:r w:rsidDel="00000000" w:rsidR="00000000" w:rsidRPr="00000000">
        <w:rPr>
          <w:rtl w:val="0"/>
        </w:rPr>
        <w:t xml:space="preserve">: son promesas, se dice lo que se va a hacer una vez que se tiene la información. Se lo ejecuta dos veces: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1) Devuelve la información parseada en forma de objeto literal. Es indispensable que se escriba tal cual muestra el ejemplo al return. Recibe un callback el cual </w:t>
      </w:r>
      <w:r w:rsidDel="00000000" w:rsidR="00000000" w:rsidRPr="00000000">
        <w:rPr>
          <w:rtl w:val="0"/>
        </w:rPr>
        <w:t xml:space="preserve">retornara</w:t>
      </w:r>
      <w:r w:rsidDel="00000000" w:rsidR="00000000" w:rsidRPr="00000000">
        <w:rPr>
          <w:rtl w:val="0"/>
        </w:rPr>
        <w:t xml:space="preserve"> la respuesta del llamado asincrónico.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2) Recibe lo que retorna la 1).then es decir la información parseada. Manipulamos la información que recibimos en formato JSON.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: Recibe un error si existiere, es decir si el llamado no tiene respuesta. Si hay errores imprime en consola el tipo de error.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15906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8125" cy="16707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6625" cy="274384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785" cy="17097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785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2013" cy="2344956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344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