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CONSULTORÍA EXTERNA Y AUDITORÍA</w:t>
        <w:br/>
        <w:t>Suscrito por Consultores Asociados del Norte e Inversiones Santander S.A.</w:t>
        <w:br/>
        <w:t>Plazo de Ejecución: 3 meses improrrogables.</w:t>
        <w:br/>
        <w:t>Cláusula Penal de Tiempo: La entrega tardía del informe de auditoría financiera final acarreará como penalidad la pérdida total del derecho a cobro de la última cuota equivalente al 30% del contrato.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