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HOSPEDAJE CLOUD Y SLA</w:t>
        <w:br/>
        <w:t>Suscrito entre AWS Colombia y el cliente Sistemas Inteligentes S.A.S.</w:t>
        <w:br/>
        <w:t>Vigencia del servicio: 6 meses con renovación automática.</w:t>
        <w:br/>
        <w:t>Penalización de ANS: Si el Acuerdo de Nivel de Servicio (SLA) de la infraestructura del servidor cae por debajo del 99.9% en cualquier mes calendario, se aplicará un descuento de compensación del 15% en la factura del periodo inmediatamente posterior.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