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540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0A855"/>
                <w:sz w:val="36"/>
                <w:szCs w:val="36"/>
              </w:rPr>
              <w:t xml:space="preserve">glim.</w:t>
            </w:r>
          </w:p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B8B0"/>
                <w:sz w:val="18"/>
                <w:szCs w:val="18"/>
              </w:rPr>
              <w:t xml:space="preserve">◆  Boutique de Engenharia de Software &amp; Design Digital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Documentação Técnica do Projeto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0A855"/>
                <w:sz w:val="32"/>
                <w:szCs w:val="32"/>
              </w:rPr>
              <w:t xml:space="preserve">Mocellin Joias — E-commerce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A855" w:val="clear"/>
            <w:tcMar>
              <w:top w:type="dxa" w:w="60"/>
              <w:left w:type="dxa" w:w="600"/>
              <w:bottom w:type="dxa" w:w="60"/>
              <w:right w:type="dxa" w:w="60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4540"/>
                <w:sz w:val="20"/>
                <w:szCs w:val="20"/>
              </w:rPr>
              <w:t xml:space="preserve">Cliente: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Priscila Mocellin — Mocellin Joias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4540"/>
                <w:sz w:val="20"/>
                <w:szCs w:val="20"/>
              </w:rPr>
              <w:t xml:space="preserve">Agência: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glim. — Juan Gabriel Gomes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4540"/>
                <w:sz w:val="20"/>
                <w:szCs w:val="20"/>
              </w:rPr>
              <w:t xml:space="preserve">Projeto: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E-commerce de Joias e Semijoias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4540"/>
                <w:sz w:val="20"/>
                <w:szCs w:val="20"/>
              </w:rPr>
              <w:t xml:space="preserve">Fase: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 — Conclusão / Últimos detalhes e ajustes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4540"/>
                <w:sz w:val="20"/>
                <w:szCs w:val="20"/>
              </w:rPr>
              <w:t xml:space="preserve">Data: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Maio de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4540"/>
                <w:sz w:val="20"/>
                <w:szCs w:val="20"/>
              </w:rPr>
              <w:t xml:space="preserve">URL de Produção: </w:t>
            </w:r>
            <w:r>
              <w:rPr>
                <w:rFonts w:ascii="Courier New" w:cs="Courier New" w:eastAsia="Courier New" w:hAnsi="Courier New"/>
                <w:color w:val="4A4540"/>
                <w:sz w:val="19"/>
                <w:szCs w:val="19"/>
              </w:rPr>
              <w:t xml:space="preserve">https://mocellinjoias.com.br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1. Visão Geral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Cliente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Priscila Mocellin — Mocellin Joias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Agência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glim. — Juan Gabriel Gomes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Tipo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E-commerce de joias e semijoias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Modelo de negócio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Vitrine online com carrinho. O comprador monta o carrinho e finaliza o pedido via WhatsApp com a mensagem já formatada automaticamente.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Fase atual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 — Conclusão / Últimos detalhes e ajustes (iniciado em 27/04/2026)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URL de produção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https://mocellinjoias.com.br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2. Stack e Dependências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rPr>
          <w:tblHeader/>
        </w:trPr>
        <w:tc>
          <w:tcPr>
            <w:tcW w:type="dxa" w:w="22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56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16.2.6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Framework principal — App Router, SSR, RSC, routes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19.2.4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Camada de UI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react-dom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19.2.4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Renderização DOM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^5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Tipagem estática em todo o projeto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^4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Utilitários CSS — tokens de design via @theme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@tailwindcss/postcss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^4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Integração PostCSS para Tailwind v4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^5.0.13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Estado global do carrinho (client-side, com persist)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^2.104.1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SDK Supabase — queries, auth, storage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@supabase/ssr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^0.10.2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Helpers SSR para cookies — Server e Browser Client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^1.9.0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Ícones SVG (ShoppingBag, X, ChevronDown, etc.)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Julius Sans One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Tipografia display — títulos e logotipo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Mulish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Tipografia corpo — textos, labels, botões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eslint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^9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Linting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eslint-config-next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16.2.4</w:t>
            </w:r>
          </w:p>
        </w:tc>
        <w:tc>
          <w:tcPr>
            <w:tcW w:type="dxa" w:w="56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Regras ESLint específicas do Next.js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3. Estrutura de Pastas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F0A855" w:sz="4"/>
          <w:left w:val="single" w:color="F0A855" w:sz="4"/>
          <w:bottom w:val="single" w:color="F0A855" w:sz="4"/>
          <w:right w:val="single" w:color="F0A855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mocellin-ecommerce/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app/                         # Next.js App Router — rotas e layouts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(public)/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layout.tsx           # Layout público: Header, Footer, WhatsAppFloat, CampaignBanner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page.tsx             # Homepage: hero, categorias, destaques, sobre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catalogo/page.tsx    # Catálogo com filtro por categoria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produto/[id]/page.tsx # Página de detalhe do produto (PDP)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└── checkout/page.tsx    # Checkout: dados, frete, pagamento → WhatsApp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(admin)/admin/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layout.tsx           # Layout do admin: sidebar + main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page.tsx             # Listagem de produtos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login/page.tsx       # Autenticação via Supabase Auth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produtos/novo/page.tsx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produtos/[id]/page.tsx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campanhas/page.tsx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campanhas/nova/page.tsx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└── campanhas/[id]/page.tsx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api/frete/route.ts       # Route Handler POST — consulta Superfrete API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globals.css              # Reset Tailwind + @theme tokens de cor e fonte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layout.tsx               # Root layout: &lt;html&gt;, fontes Google, metadata base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not-found.tsx            # Página 404 global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error.tsx                # Boundary de erro global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robots.ts                # Gerador de robots.txt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└── sitemap.ts               # Gerador de sitemap.xml dinâmico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src/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types/index.ts           # Todos os tipos TypeScript do projeto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lib/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config.ts            # Constantes da loja (phone, email, url, instagram)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campaign.ts          # getActiveCampaign() com React cache()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supabase/server.ts   # createClient() para Server Components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supabase/client.ts   # createClient() para Client Components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cart/store.ts        # Zustand store do carrinho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└── cart/whatsapp.ts     # buildWhatsAppUrl()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hooks/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├── useFreteSimulator.ts # Hook: consulta /api/frete com debounce 600ms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│   └── useCepLookup.ts      # Hook: consulta ViaCEP e preenche endereço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└── components/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    ├── product/ProductCard.tsx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    ├── product/ProductGallery.tsx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    ├── product/ProductActions.tsx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    ├── admin/ProductForm.tsx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    ├── admin/CampaignForm.tsx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    ├── cart/CartDrawer.tsx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    └── ui/Header.tsx, Footer.tsx, CampaignBanner.tsx ...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proxy.ts                     # Middleware de autenticação — protege /admin/*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next.config.ts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tsconfig.json                # Alias @/ → ./src/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4. Design System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4.1 Tokens de Cor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Definidos em app/globals.css via @theme do Tailwind v4. Tokens semânticos podem ser sobrescritos por campanhas.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68A7A"/>
          <w:sz w:val="20"/>
          <w:szCs w:val="20"/>
        </w:rPr>
        <w:t xml:space="preserve">Paleta Base (fixa)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CSS</w:t>
            </w:r>
          </w:p>
        </w:tc>
        <w:tc>
          <w:tcPr>
            <w:tcW w:type="dxa" w:w="20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hex</w:t>
            </w:r>
          </w:p>
        </w:tc>
        <w:tc>
          <w:tcPr>
            <w:tcW w:type="dxa" w:w="50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semântico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--color-mj-black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#000000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Preto puro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--color-mj-beige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#D5B39A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Bege dourado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--color-mj-brown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#7B4A34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Marrom escuro — hover de botões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--color-mj-brown-light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#8B5A44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Marrom médio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--color-mj-teal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#003430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Verde petróleo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--color-mj-taupe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#968A7A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Taupe — textos secundários no admin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--color-mj-cream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#FAFAF8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Creme — fundo de página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--color-mj-white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#FFFFFF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Branco puro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--color-mj-border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#E8E0D8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Borda padrão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68A7A"/>
          <w:sz w:val="20"/>
          <w:szCs w:val="20"/>
        </w:rPr>
        <w:t xml:space="preserve">Tokens Semânticos (sobrescritíveis por campanha)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CSS</w:t>
            </w:r>
          </w:p>
        </w:tc>
        <w:tc>
          <w:tcPr>
            <w:tcW w:type="dxa" w:w="20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padrão</w:t>
            </w:r>
          </w:p>
        </w:tc>
        <w:tc>
          <w:tcPr>
            <w:tcW w:type="dxa" w:w="50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semântico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--color-mj-text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#000000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Texto principal (títulos, preços)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--color-mj-text-muted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#968A7A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Texto secundário (categorias, legendas)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--color-mj-text-accent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#D5B39A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Destaque / italic / accent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--color-mj-surface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#FFFFFF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Fundo de cards, inputs, header scrollado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--color-mj-page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#FAFAF8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Fundo geral da página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--color-mj-overlay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#000000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Gradiente hero / backdrop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--color-mj-btn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#000000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Fundo do botão primário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--color-mj-btn-text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#FFFFFF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Texto do botão primário</w:t>
            </w:r>
          </w:p>
        </w:tc>
      </w:tr>
      <w:tr>
        <w:tc>
          <w:tcPr>
            <w:tcW w:type="dxa" w:w="2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--color-mj-btn-hover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#7B4A34</w:t>
            </w:r>
          </w:p>
        </w:tc>
        <w:tc>
          <w:tcPr>
            <w:tcW w:type="dxa" w:w="50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Hover do botão primário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4.2 Tipografia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838"/>
      </w:tblGrid>
      <w:tr>
        <w:trPr>
          <w:tblHeader/>
        </w:trPr>
        <w:tc>
          <w:tcPr>
            <w:tcW w:type="dxa" w:w="16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28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Família CSS</w:t>
            </w:r>
          </w:p>
        </w:tc>
        <w:tc>
          <w:tcPr>
            <w:tcW w:type="dxa" w:w="14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Pesos</w:t>
            </w:r>
          </w:p>
        </w:tc>
        <w:tc>
          <w:tcPr>
            <w:tcW w:type="dxa" w:w="38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 é usada</w:t>
            </w:r>
          </w:p>
        </w:tc>
      </w:tr>
      <w:tr>
        <w:tc>
          <w:tcPr>
            <w:tcW w:type="dxa" w:w="1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Julius Sans One</w:t>
            </w:r>
          </w:p>
        </w:tc>
        <w:tc>
          <w:tcPr>
            <w:tcW w:type="dxa" w:w="2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font-julius / --font-family-julius</w:t>
            </w:r>
          </w:p>
        </w:tc>
        <w:tc>
          <w:tcPr>
            <w:tcW w:type="dxa" w:w="1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3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Títulos de seção, logotipo, headings de produtos, nav admin</w:t>
            </w:r>
          </w:p>
        </w:tc>
      </w:tr>
      <w:tr>
        <w:tc>
          <w:tcPr>
            <w:tcW w:type="dxa" w:w="16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Mulish</w:t>
            </w:r>
          </w:p>
        </w:tc>
        <w:tc>
          <w:tcPr>
            <w:tcW w:type="dxa" w:w="2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font-mulish / --font-family-mulish</w:t>
            </w:r>
          </w:p>
        </w:tc>
        <w:tc>
          <w:tcPr>
            <w:tcW w:type="dxa" w:w="1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200, 300, 400, 500, 600</w:t>
            </w:r>
          </w:p>
        </w:tc>
        <w:tc>
          <w:tcPr>
            <w:tcW w:type="dxa" w:w="3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Corpo de texto, labels, botões, preços, textos auxiliares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Ambas as fontes são carregadas via next/font/google no app/layout.tsx, com as variáveis CSS --font-julius e --font-mulish injetadas no &lt;html&gt;.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4.3 Convenções de Classe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os tokens de cor usam o prefixo mj- — ex: bg-mj-btn, text-mj-text, border-mj-border.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Tokens semânticos (sem sufixo como brown ou cream) são os corretos para componentes: sempre preferir text-mj-text em vez de text-mj-black.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Tipografia por classes utilitárias: font-julius e font-mulish mapeiam para as variáveis CSS declaradas no @theme.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Layout mobile-first: breakpoints em sm:, md:, lg: conforme necessário.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5. Banco de Dados (Supabase)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5.1 Tabela `products`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4838"/>
      </w:tblGrid>
      <w:tr>
        <w:trPr>
          <w:tblHeader/>
        </w:trPr>
        <w:tc>
          <w:tcPr>
            <w:tcW w:type="dxa" w:w="18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TypeScript</w:t>
            </w:r>
          </w:p>
        </w:tc>
        <w:tc>
          <w:tcPr>
            <w:tcW w:type="dxa" w:w="10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48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Identificador único gerado pelo Supabase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do produto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Código/SKU do produto (ex: MJ-001)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Descrição com suporte a **negrito** e parágrafos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Detalhes técnicos — exibido no Accordion da PDP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Preço de venda em BRL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compare_at_price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Preço original (riscado); exibe badge de desconto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ProductCategory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Enum: brincos | aneis | relogios | colares | oculos | masculino | pulseiras | berloques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ProductStatus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'disponivel' | 'esgotado'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featured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 true, aparece na seção Em Destaque da homepage (máx. 6)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de URLs públicas de imagens (bucket product-images)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image_positions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string[]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Ponto focal de cada imagem — valores CSS object-position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sizes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string[]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Tamanhos disponíveis (ex: ['18','19','20'] para anéis)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videos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string[]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de URLs públicas de vídeos (bucket product-videos)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related_ids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string[]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IDs de produtos exibidos em 'Você também pode gostar'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(ISO)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de criação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(ISO)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de última atualização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5.2 Tabela `campaigns`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4838"/>
      </w:tblGrid>
      <w:tr>
        <w:trPr>
          <w:tblHeader/>
        </w:trPr>
        <w:tc>
          <w:tcPr>
            <w:tcW w:type="dxa" w:w="18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TypeScript</w:t>
            </w:r>
          </w:p>
        </w:tc>
        <w:tc>
          <w:tcPr>
            <w:tcW w:type="dxa" w:w="10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48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interno da campanha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Slug URL-friendly (gerado automaticamente)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Apenas uma campanha ativa por vez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banner_text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Texto do banner fixo no topo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banner_bg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 de fundo do banner (hex)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banner_text_color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 do texto do banner (hex)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colors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Record&lt;string,string&gt;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Mapa dos 10 tokens semânticos sobrescritos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hero_image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da imagem de fundo do hero da homepage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hero_label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Etiqueta pequena acima do título do hero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hero_title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Título principal do hero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hero_subtitle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Subtítulo do hero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(ISO)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de criação</w:t>
            </w:r>
          </w:p>
        </w:tc>
      </w:tr>
      <w:tr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(ISO)</w:t>
            </w:r>
          </w:p>
        </w:tc>
        <w:tc>
          <w:tcPr>
            <w:tcW w:type="dxa" w:w="1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de última atualização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5.3 Storage Buckets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238"/>
      </w:tblGrid>
      <w:tr>
        <w:trPr>
          <w:tblHeader/>
        </w:trPr>
        <w:tc>
          <w:tcPr>
            <w:tcW w:type="dxa" w:w="22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12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62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product-images</w:t>
            </w:r>
          </w:p>
        </w:tc>
        <w:tc>
          <w:tcPr>
            <w:tcW w:type="dxa" w:w="1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Público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Imagens de produtos. Path: {timestamp}-{random}.{ext}. Upload via ProductForm (admin)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product-videos</w:t>
            </w:r>
          </w:p>
        </w:tc>
        <w:tc>
          <w:tcPr>
            <w:tcW w:type="dxa" w:w="1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Público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Vídeos de produtos. Mesmo padrão de path. Upload via ProductForm (admin)</w:t>
            </w:r>
          </w:p>
        </w:tc>
      </w:tr>
      <w:tr>
        <w:tc>
          <w:tcPr>
            <w:tcW w:type="dxa" w:w="2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campaign-images</w:t>
            </w:r>
          </w:p>
        </w:tc>
        <w:tc>
          <w:tcPr>
            <w:tcW w:type="dxa" w:w="12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Público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Imagem hero das campanhas. Path: hero-{timestamp}.{ext}. Upload via CampaignForm (admin)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os buckets retornam URLs públicas via supabase.storage.from(bucket).getPublicUrl(path).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5.4 Autenticação e RLS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Autenticação admin via Supabase Auth com signInWithPassword(email, password).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middleware em proxy.ts intercepta todas as rotas /admin/*.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 cada requisição, supabase.auth.getUser() valida o token no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 sessão válida → redirect para /admin/login.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 sessão válida em /admin/login → redirect para /admin.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Configuração RLS (Row Level Security):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Leitura de products (status disponivel) e campaigns é pública.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Escrita (insert/update/delete) em products e campaigns exige usuário autenticado.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Storage buckets são públicos para leitura; upload restrito a usuários autenticados.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6. Módulos da Loja (Rotas Públicas)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6.1 Homepage ( / 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URL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Componentes principais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ProductCard, next/image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Fonte de dados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supabase.from('products').eq('status','disponivel').eq('featured',true).limit(6) + getActiveCampaign()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Carregamento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Promise.all([getActiveCampaign(), supabase...]) em paralelo no Server Component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Seções da homepage: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Hero — imagem de fundo full-screen com gradiente. Textos e imagem sobrescritos pela campanha 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Categorias — grid 4 colunas (mobile) / 8 colunas (desktop) com links para /catalogo?categoria=&lt;value&gt;.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 Destaque — grid de ProductCard com os produtos featured: true mais recentes (máx. 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Sobre — seção de branding com foto da fundadora e texto institucional.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6.2 Catálogo ( /catalogo 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URL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/catalogo ou /catalogo?categoria=&lt;value&gt;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Componentes principais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ProductCard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Fonte de dados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supabase.from('products').eq('status','disponivel').order('created_at', {ascending: false})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Estado gerenciado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searchParams.categoria via URL (sem estado client-side)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filtro de categoria é validado contra VALID_CATEGORIES (Set). Categoria inválida equivale a 'todos'. Metadata dinâmica por categoria ativa.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6.3 Página de Produto — PDP ( /produto/[id] 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URL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/produto/[id]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Componentes principais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ProductGallery, ProductActions, RichText, Accordion, ProductCard (relacionados)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SEO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generateMetadata com og:title, og:description, og:image, og:url, twitter:card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getProduct(id) — função cache() que deduplica a query entre generateMetadata e o Page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notFound() se o ID não existir.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Galeria sticky no desktop (lg:sticky lg:top-28).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Exibe preço com desconto se compare_at_price &gt;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Seção de relacionados renderizada somente se houver itens.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6.4 Checkout ( /checkout 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URL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/checkout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Tipo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Component ('use client')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Componentes principais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useCartStore, useFreteSimulator, useCepLookup, buildWhatsAppUrl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Carrinho vazio após montagem → redireciona para /catalogo.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CEP preenchido → useCepLookup preenche rua, bairro, cidade, estado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CEP com 8 dígitos + delivery 'envio' → useFreteSimulator consulta /api/frete com debounce de 600ms.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Submit: valida campos → monta OrderPayloadType → buildWhatsAppUrl → abre WhatsApp → clearCart() → redireciona para /catalogo.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7. Painel Administrativo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7.1 Autenticação ( /admin/login 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Formulário simples (email + senha). Usa createClient() do lado do cliente para chamar supabase.auth.signInWithPassword. Em caso de erro, exibe 'E-mail ou senha incorretos.' Em caso de sucesso, router.push('/admin').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7.2 Listagem de Produtos ( /admin 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Component que busca todos os produtos (select('*').order('created_at',{ascending:false})). Tabela com colunas: imagem + nome, categoria, preço, status, destaque (FeaturedToggle), ações (editar / excluir).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7.3 Criar / Editar Produto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Rotas: /admin/produtos/novo e /admin/produtos/[id]. Componente central: ProductForm (Client Component).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838"/>
      </w:tblGrid>
      <w:tr>
        <w:trPr>
          <w:tblHeader/>
        </w:trPr>
        <w:tc>
          <w:tcPr>
            <w:tcW w:type="dxa" w:w="20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input</w:t>
            </w:r>
          </w:p>
        </w:tc>
        <w:tc>
          <w:tcPr>
            <w:tcW w:type="dxa" w:w="58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Código (SKU)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Opcional, convertido para maiúsculas automaticamente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textarea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Suporte a **negrito** e parágrafos; prévia em tempo real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Detalhes (materiais)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textarea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Mesmo suporte de formatação; prévia em tempo real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Preço (R$)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Obrigatório, &gt; 0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Preço original (R$)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Opcional; quando maior que price, exibe badge de desconto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brincos | aneis | relogios | colares | oculos | masculino | pulseiras | berloques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toggle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'disponivel' (verde) / 'esgotado' (vermelho)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Destaque na home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toggle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Inclui/exclui da seção Em Destaque da homepage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Imagens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(multiple)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JPG, PNG, WEBP. Cada imagem tem seletor de ponto focal (grade 3×3)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Vídeos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(multiple)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MP4, MOV, WEBM. Upload para bucket product-videos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Tamanhos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 + Enter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Entrada livre de tags. Atalhos de numeração brasileira de anéis (10–30)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Produtos relacionados</w:t>
            </w:r>
          </w:p>
        </w:tc>
        <w:tc>
          <w:tcPr>
            <w:tcW w:type="dxa" w:w="1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busca dropdown</w:t>
            </w:r>
          </w:p>
        </w:tc>
        <w:tc>
          <w:tcPr>
            <w:tcW w:type="dxa" w:w="5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Pesquisa por nome; múltiplos IDs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Fluxo de save: valida → Promise.all([uploadImages, uploadVideos]) → monta payload → supabase.insert() ou .update() → redireciona após 1,5s.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7.4 Campanhas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Conjunto de customizações visuais e textuais que sobrescreve o visual padrão do site enquanto estiver ativa. Apenas uma campanha pode estar ativa por vez.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Como afeta a loja: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(public)/layout.tsx chama getActiveCampaign() a cada request e injeta &lt;style&gt; com os tokens semânticos sobrescritos.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Exibe CampaignBanner no topo (se banner_text preenchido) — fixo, dismissível por sessão via sessionStorage.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Homepage usa hero_image, hero_label, hero_title, hero_subtitle da campanha se disponíveis.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interno (ex: 'Dia dos Namorados 2026')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URL-friendly, gerado automaticamente pelo nome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(ativa/inativa)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Toggle. Ativar desativa todas as demais automaticamente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Texto do banner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Texto exibido no topo. Vazio = sem banner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Fundo do banner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 hex (color picker + input texto)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Imagem hero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para campaign-images ou URL externa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Etiqueta hero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Label pequeno acima do título (ex: 'Nova Coleção')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Título principal hero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Título em destaque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Subtítulo hero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Texto de apoio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Tema de cores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tokens semânticos editáveis com color picker. Presets: Dia dos Namorados, Black Friday, Natal, Dia das Mães, Padrão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8. Componentes Chave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ProductCard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Arquivo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src/components/product/ProductCard.tsx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Tipo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Component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Props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product: ProductType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Hover crossfade: se o produto tiver 2+ imagens, a segunda aparece em fade ao fazer hover.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Ponto focal: object-position de cada imagem é lido de image_positions[].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tiver sizes, o botão exibe 'Escolher tamanho' e leva para a PDP.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não tiver sizes, 'Adicionar ao carrinho' chama addItem() do Zustand sem abrir a PDP.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Badge de desconto (-X%) exibido se compare_at_price &gt;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Badge 'Esgotado' sobreposto se status === 'esgotado'.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ProductGallery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Arquivo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src/components/product/ProductGallery.tsx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Tipo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Component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Props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images: string[], videos: string[], imagePositions?: string[] | null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Desktop: miniaturas clicáveis abaixo da imagem principal; setas de navegação no hover.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Mobile: dots indicadores; navegação por swipe (touch com delta mínimo de 50px).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Lightbox ao clicar na imagem: overlay preto, 85vh×85vw, teclas ← → e Esc, swipe, dots.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Vídeos exibidos com &lt;video controls&gt; — sem lightbox para vídeo.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ProductActions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Arquivo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src/components/product/ProductActions.tsx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Tipo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Component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Props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product: ProductType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Renderiza seletor de tamanho se product.sizes não for vazio.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Botão 'Adicionar ao carrinho' desabilitado se esgotado ou se tamanho é obrigatório mas não selecionado.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Botão 'Comprar agora': adiciona ao carrinho e redireciona imediatamente para /checkout.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CartDrawer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Arquivo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src/components/cart/CartDrawer.tsx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Tipo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Component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Props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open: boolean, onClose: () =&gt; void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Slide-in da direita com translate-x. Overlay com blur.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Controles de quantidade (+/−) usando addItem e updateQuantity do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Chave do item no DOM: product.id + (size ?? '') — unicidade por produto + tamanho.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Footer com subtotal e botão 'Finalizar pedido' → /checkout.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RichText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Arquivo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src/components/ui/RichText.tsx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Tipo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Component (sem diretiva)</w:t>
            </w:r>
          </w:p>
        </w:tc>
      </w:tr>
      <w:tr>
        <w:tc>
          <w:tcPr>
            <w:tcW w:type="dxa" w:w="25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540"/>
                <w:sz w:val="19"/>
                <w:szCs w:val="19"/>
              </w:rPr>
              <w:t xml:space="preserve">Props</w:t>
            </w:r>
          </w:p>
        </w:tc>
        <w:tc>
          <w:tcPr>
            <w:tcW w:type="dxa" w:w="71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text: string, className?: string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Parser de markdown mínimo: \n\n separa parágrafos; \n simples vira &lt;br /&gt;; **texto** vira &lt;strong&gt;.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 dependências externas de markdown.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9. Carrinho e Fluxo de Pedido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Fluxo Completo</w:t>
      </w:r>
    </w:p>
    <w:tbl>
      <w:tblPr>
        <w:tblW w:type="dxa" w:w="9638"/>
        <w:tblBorders>
          <w:top w:val="single" w:color="F0A855" w:sz="4"/>
          <w:left w:val="single" w:color="F0A855" w:sz="4"/>
          <w:bottom w:val="single" w:color="F0A855" w:sz="4"/>
          <w:right w:val="single" w:color="F0A855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ProductCard / ProductActions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└─ addItem(product, size?)          ← Zustand store (persist: 'mocellin-cart')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└─ sameItem() helper           ← garante unicidade por (productId + size)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└─ CartDrawer (Header)    ← contador + slide-in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     └─ Link /checkout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          └─ CheckoutPage (Client)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               ├─ useCepLookup(cep)   → ViaCEP → preenche endereço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               ├─ useFreteSimulator(cep) → POST /api/frete → Superfrete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               └─ handleSubmit()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                    └─ buildWhatsAppUrl(OrderPayloadType)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                         └─ window.open(url,'_blank')  → WhatsApp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                                  └─ clearCart() + router.replace('/catalogo')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sameItem Helper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 anel tamanho 18 e o mesmo anel tamanho 20 são itens distintos porque size difere. Um produto sem tamanho é identificado apenas pelo productId.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F0A855" w:sz="4"/>
          <w:left w:val="single" w:color="F0A855" w:sz="4"/>
          <w:bottom w:val="single" w:color="F0A855" w:sz="4"/>
          <w:right w:val="single" w:color="F0A855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function sameItem(item: CartItemType, productId: string, size?: string)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return item.product.id === productId &amp;&amp; item.size === size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Formato da Mensagem WhatsApp</w:t>
      </w:r>
    </w:p>
    <w:tbl>
      <w:tblPr>
        <w:tblW w:type="dxa" w:w="9638"/>
        <w:tblBorders>
          <w:top w:val="single" w:color="F0A855" w:sz="4"/>
          <w:left w:val="single" w:color="F0A855" w:sz="4"/>
          <w:bottom w:val="single" w:color="F0A855" w:sz="4"/>
          <w:right w:val="single" w:color="F0A855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🛍 *Novo Pedido — Mocellin Joias*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*Itens:*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• Brinco Dourado Gotas x2 — R$ 299,80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• Anel Prata Fina (Tam. 18) x1 — R$ 189,90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*Subtotal:* R$ 489,70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*Frete:* SEDEX — Correios — R$ 28,50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*Total:* R$ 518,20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*Pagamento:* Pix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*Cliente:* Maria Silva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*Telefone:* (54) 99999-0000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*Endereço de entrega:*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Rua das Flores, 123 — Apto 5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Centro — Caxias do Sul/RS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CEP: 95010-001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 retirada no local, a linha de frete é substituída por *Entrega:* Retirada no local e o bloco de endereço não é incluído.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API de Frete ( /api/frete 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Route Handler POST que repassa a consulta para a Superfrete API (https://api.superfrete.com/api/v0/calculator).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Parâmetros fixos do pacote: weight: 0.3kg, width: 12cm, height: 4cm, length: 17cm.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Serviços: 1, 2, 3, 4 (PAC, SEDEX e outros).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CEP de origem configurável via variável de ambiente SUPERFRETE_CEP_ORIGEM.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10. SEO e Performance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Metadata e OG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metadataBase: new URL('https://mocellinjoias.com.br') no root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 de título: '%s | Mocellin Joias' — cada page.tsx preenche %s.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PDP: generateMetadata com og:title, og:description, og:url, og:image (1200×1200), twitter:card.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Catálogo: metadata dinâmica por categoria ativa via generateMetadata.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Sitemap Dinâmico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app/sitemap.ts gera sitemap.xml com: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Homepage: priority 1, changeFrequency daily.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/catalogo: priority 0.9, changeFrequency daily.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Uma entrada por produto disponivel com lastModified do campo updated_at, priority 0.8, changeFrequency weekly.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robots.txt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Permite / para todos os user agents.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Bloqueia /admin/ e /api/ para todos os user agents.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Aponta para https://mocellinjoias.com.br/sitemap.xml.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Deduplicação de Queries com cache()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getActiveCampaign() em campaign.ts usa cache() do React — evita query duplicada por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 PDP, getProduct(id) também é envolta em cache(), compartilhada entre generateMetadata e o Page Component.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Carregamento Paralelo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Homepage: Promise.all([getActiveCampaign(), supabase...featured]) — campanha e produtos em paralelo.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Edit produto: Promise.all([produto, allProducts]) — produto e lista de relacionados em paralelo.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no ProductForm: Promise.all([uploadImages, uploadVideos]) — buckets em paralelo.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Tratamento de Erros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app/error.tsx: GlobalError boundary com botão 'Tentar novamente' (reset()) e link para homepage.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app/not-found.tsx: página 404 com links para homepage e catálogo.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Catálogo: estado de erro inline se a query Supabase falhar.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11. Configuração e Deploy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Variáveis de Ambiente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238"/>
      </w:tblGrid>
      <w:tr>
        <w:trPr>
          <w:tblHeader/>
        </w:trPr>
        <w:tc>
          <w:tcPr>
            <w:tcW w:type="dxa" w:w="30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24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 é usada</w:t>
            </w:r>
          </w:p>
        </w:tc>
        <w:tc>
          <w:tcPr>
            <w:tcW w:type="dxa" w:w="42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supabase/server.ts, client.ts, proxy.ts</w:t>
            </w:r>
          </w:p>
        </w:tc>
        <w:tc>
          <w:tcPr>
            <w:tcW w:type="dxa" w:w="4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do projeto Supabase</w:t>
            </w:r>
          </w:p>
        </w:tc>
      </w:tr>
      <w:tr>
        <w:tc>
          <w:tcPr>
            <w:tcW w:type="dxa" w:w="3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NEXT_PUBLIC_SUPABASE_PUBLISHABLE_KEY</w:t>
            </w:r>
          </w:p>
        </w:tc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idem</w:t>
            </w:r>
          </w:p>
        </w:tc>
        <w:tc>
          <w:tcPr>
            <w:tcW w:type="dxa" w:w="4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Chave pública (anon key) do Supabase</w:t>
            </w:r>
          </w:p>
        </w:tc>
      </w:tr>
      <w:tr>
        <w:tc>
          <w:tcPr>
            <w:tcW w:type="dxa" w:w="3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SUPERFRETE_TOKEN</w:t>
            </w:r>
          </w:p>
        </w:tc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app/api/frete/route.ts</w:t>
            </w:r>
          </w:p>
        </w:tc>
        <w:tc>
          <w:tcPr>
            <w:tcW w:type="dxa" w:w="4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Bearer da API Superfrete</w:t>
            </w:r>
          </w:p>
        </w:tc>
      </w:tr>
      <w:tr>
        <w:tc>
          <w:tcPr>
            <w:tcW w:type="dxa" w:w="3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SUPERFRETE_CEP_ORIGEM</w:t>
            </w:r>
          </w:p>
        </w:tc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app/api/frete/route.ts</w:t>
            </w:r>
          </w:p>
        </w:tc>
        <w:tc>
          <w:tcPr>
            <w:tcW w:type="dxa" w:w="4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CEP de origem para cálculo de frete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Criar .env.local na raiz do projeto com essas chaves. O .env.example deve ser documentado com as chaves (sem valores).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src/lib/config.ts — Fonte Única de Constantes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Toda configuração da loja (telefone WhatsApp, email, Instagram, URL de produção) vive exclusivamente em src/lib/config.ts. Nunca repetir esses valores diretamente em componentes.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F0A855" w:sz="4"/>
          <w:left w:val="single" w:color="F0A855" w:sz="4"/>
          <w:bottom w:val="single" w:color="F0A855" w:sz="4"/>
          <w:right w:val="single" w:color="F0A855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export const STORE =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name:         'Mocellin Joias',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phone:        '5554991379272',        // E.164 sem +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email:        'mocellinjoias@gmail.com',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instagram:    'mocellinjoias',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instagramUrl: 'https://instagram.com/mocellinjoias',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whatsappUrl:  'https://wa.me/5554991379272',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url:          'https://mocellinjoias.com.br',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description:  '...',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4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} as const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Deploy na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Conectar o repositório ao projeto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Configurar as variáveis de ambiente no painel Vercel (Settings → Environment Variables).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Framework preset: Next.js (detectado automaticamente).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O domínio mocellinjoias.com.br deve ser apontado para a Vercel (DNS CNAME/A).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Deploy automático a cada push na branch principal.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12. Padrões e Convenções do Código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Checklist Pré-Commit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Zero ocorrências de any — todos os tipos explicitados via interface ou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interface Props tipada em todos os componentes com props.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Mobile-first: estilos base para mobile, breakpoints sm: / md: / lg: para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Estados de loading e error tratados em todos os componentes assíncronos.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 console.log no código commitado (exceto error.tsx que usa console.error).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next/image em todos os usos de &lt;img&gt; externos.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next/link em todos os &lt;a&gt; internos.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metadata ou generateMetadata em cada page.tsx.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.env.example atualizado se nova variável for adicionada.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Convenção de Nomes de 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Convenção</w:t>
            </w:r>
          </w:p>
        </w:tc>
        <w:tc>
          <w:tcPr>
            <w:tcW w:type="dxa" w:w="48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Exemplos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Componentes React</w:t>
            </w:r>
          </w:p>
        </w:tc>
        <w:tc>
          <w:tcPr>
            <w:tcW w:type="dxa" w:w="2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ProductCard.tsx, CartDrawer.tsx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Hooks</w:t>
            </w:r>
          </w:p>
        </w:tc>
        <w:tc>
          <w:tcPr>
            <w:tcW w:type="dxa" w:w="2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camelCase com prefixo use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useFreteSimulator.ts, useCepLookup.ts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Libs / utilitários</w:t>
            </w:r>
          </w:p>
        </w:tc>
        <w:tc>
          <w:tcPr>
            <w:tcW w:type="dxa" w:w="2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camelCase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config.ts, campaign.ts, whatsapp.ts</w:t>
            </w:r>
          </w:p>
        </w:tc>
      </w:tr>
      <w:tr>
        <w:tc>
          <w:tcPr>
            <w:tcW w:type="dxa" w:w="20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Rotas App Router</w:t>
            </w:r>
          </w:p>
        </w:tc>
        <w:tc>
          <w:tcPr>
            <w:tcW w:type="dxa" w:w="28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Convenção Next.js</w:t>
            </w:r>
          </w:p>
        </w:tc>
        <w:tc>
          <w:tcPr>
            <w:tcW w:type="dxa" w:w="48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page.tsx, layout.tsx, route.ts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Server vs Client Components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Regra aplicada no projeto: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Component (padrão): qualquer componente que apenas recebe dados e renderiza HTML. Sem interatividade, sem hooks de browser, sem estado local. Ex.: layouts, páginas de listagem, RichText, Footer.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Component ('use client'): qualquer componente que usa useState, useEffect, useRouter, usePathname, event handlers ou acessa window/document. Ex.: ProductCard, ProductActions, CartDrawer, Header, CheckoutPage, formulários admin.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diretiva 'use client' deve estar na primeira linha do arquivo — apenas quando necessária.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4A4540"/>
          <w:sz w:val="24"/>
          <w:szCs w:val="24"/>
        </w:rPr>
        <w:t xml:space="preserve">Como Adicionar Uma Nova Categoria de Produto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 arquivos precisam ser atualizados + migration no Supabase: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src/types/index.ts — adicionar ao union type ProductCategory.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app/(public)/page.tsx — adicionar {value, label, image} ao array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app/(public)/catalogo/page.tsx — adicionar {value, label} ao array CATEGORIES e ao categoryLabel.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app/(public)/produto/[id]/page.tsx — adicionar ao record categoryLabel.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src/components/product/ProductCard.tsx — adicionar ao record categoryLabel.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src/components/admin/ProductForm.tsx — adicionar ao array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app/(admin)/admin/page.tsx — adicionar ao record CATEGORY_LABEL.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Supabase: executar migration para atualizar o enum category na tabela products.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13. Escalabilidade — O Que Pode Ser Adicionado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arquitetura atual é preparada para as seguintes extensões sem quebrar o que já existe: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Extensão</w:t>
            </w:r>
          </w:p>
        </w:tc>
        <w:tc>
          <w:tcPr>
            <w:tcW w:type="dxa" w:w="72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envolve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Controle de estoque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Adicionar coluna stock_quantity: number à tabela products. Lógica de decremento em trigger Supabase ou Server Action no checkout.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de pedidos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Criar tabelas orders, order_items e payments no Supabase. O OrderPayloadType já tem toda a estrutura necessária.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nativo com gateway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Substituir redirect WhatsApp por chamada a Stripe/Pagar.me. O formulário já coleta todos os dados necessários.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Emissão de NF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Integrar com API de NF-e (ex: Nuvem Fiscal) via webhook após confirmação de pagamento.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Categorias dinâmicas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Criar tabela categories no Supabase substituindo o enum hardcoded. Exige migration e refatoração dos arrays CATEGORIES.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do cliente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Ativar Supabase Auth para compradores. Adicionar tabelas wishlists e orders vinculadas ao user.id.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Histórico de pedidos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Depende de login do cliente + tabela orders. Painel do cliente em /conta/pedidos.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Busca full-text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suporta fts nativamente. Adicionar coluna fts tsvector gerada e índice GIN na tabela products.</w:t>
            </w:r>
          </w:p>
        </w:tc>
      </w:tr>
      <w:tr>
        <w:tc>
          <w:tcPr>
            <w:tcW w:type="dxa" w:w="2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Campanhas por categoria</w:t>
            </w:r>
          </w:p>
        </w:tc>
        <w:tc>
          <w:tcPr>
            <w:tcW w:type="dxa" w:w="7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Adicionar campo target_categories: ProductCategory[] à tabela campaigns para filtrar o catálogo.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left w:val="single" w:color="F0A855" w:sz="20" w:space="10"/>
        </w:pBdr>
        <w:spacing w:after="160" w:before="480"/>
        <w:ind w:left="200"/>
      </w:pPr>
      <w:r>
        <w:rPr>
          <w:rFonts w:ascii="Arial" w:cs="Arial" w:eastAsia="Arial" w:hAnsi="Arial"/>
          <w:b/>
          <w:bCs/>
          <w:color w:val="4A4540"/>
          <w:sz w:val="30"/>
          <w:szCs w:val="30"/>
        </w:rPr>
        <w:t xml:space="preserve">14. Referências Rápidas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6238"/>
            <w:tcBorders>
              <w:top w:val="single" w:color="C0B8B0" w:sz="4"/>
              <w:left w:val="single" w:color="C0B8B0" w:sz="4"/>
              <w:bottom w:val="single" w:color="C0B8B0" w:sz="4"/>
              <w:right w:val="single" w:color="C0B8B0" w:sz="4"/>
            </w:tcBorders>
            <w:shd w:fill="4A4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Arquivo(s) a editar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Mudar telefone, email ou Instagram da loja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src/lib/config.ts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Mudar URL de produção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src/lib/config.ts → STORE.url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Adicionar nova categoria de produto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 seção 12 (8 arquivos + migration)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Criar novo token de cor base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app/globals.css → bloco @theme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Adicionar token semântico sobrescritível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app/globals.css (declarar padrão) + CampaignForm.tsx (tipo + campo)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Adicionar campo ao produto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src/types/index.ts + migration Supabase + ProductForm.tsx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Ativar/desativar campanha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Painel admin → /admin/campanhas → botão toggle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Mudar pacote padrão de frete (peso/dimensões)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app/api/frete/route.ts → objeto package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Mudar CEP de origem do frete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Variável de ambiente SUPERFRETE_CEP_ORIGEM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Ajustar textos padrão do hero (sem campanha)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app/(public)/page.tsx → seção Hero (fallbacks do operador ??)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Alterar preset de cores de campanha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src/components/admin/CampaignForm.tsx → array PRESETS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Adicionar nova rota protegida ao admin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 middleware proxy.ts cobre automaticamente qualquer /admin/*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Adicionar item ao footer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src/components/ui/Footer.tsx → array do bloco 'Navegação'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Adicionar item ao header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src/components/ui/Header.tsx → bloco &lt;nav&gt;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Mudar formato da mensagem WhatsApp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src/lib/cart/whatsapp.ts → função buildWhatsAppUrl</w:t>
            </w:r>
          </w:p>
        </w:tc>
      </w:tr>
      <w:tr>
        <w:tc>
          <w:tcPr>
            <w:tcW w:type="dxa" w:w="3400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Adicionar novo atalho de tamanho no ProductForm</w:t>
            </w:r>
          </w:p>
        </w:tc>
        <w:tc>
          <w:tcPr>
            <w:tcW w:type="dxa" w:w="6238"/>
            <w:tcBorders>
              <w:top w:val="single" w:color="E0D8D0" w:sz="4"/>
              <w:left w:val="single" w:color="E0D8D0" w:sz="4"/>
              <w:bottom w:val="single" w:color="E0D8D0" w:sz="4"/>
              <w:right w:val="single" w:color="E0D8D0" w:sz="4"/>
            </w:tcBorders>
            <w:shd w:fill="F5F0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src/components/admin/ProductForm.tsx → array de numeração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540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0A855"/>
                <w:sz w:val="32"/>
                <w:szCs w:val="32"/>
              </w:rPr>
              <w:t xml:space="preserve">glim.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0B8B0"/>
                <w:sz w:val="20"/>
                <w:szCs w:val="20"/>
              </w:rPr>
              <w:t xml:space="preserve">◆  Do conceito ao código, o insight é claro.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Documentação gerada em Maio de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68A7A"/>
        <w:sz w:val="16"/>
        <w:szCs w:val="16"/>
      </w:rPr>
      <w:t xml:space="preserve">© 2026 glim. Todos os direitos reservados.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68A7A"/>
        <w:sz w:val="16"/>
        <w:szCs w:val="16"/>
      </w:rPr>
      <w:t xml:space="preserve">Página </w:t>
    </w:r>
    <w:r>
      <w:rPr>
        <w:rFonts w:ascii="Arial" w:cs="Arial" w:eastAsia="Arial" w:hAnsi="Arial"/>
        <w:color w:val="4A45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A855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968A7A"/>
        <w:sz w:val="17"/>
        <w:szCs w:val="17"/>
      </w:rPr>
      <w:t xml:space="preserve">Documentação Técnica — Mocellin Joias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F0A855"/>
        <w:sz w:val="17"/>
        <w:szCs w:val="17"/>
      </w:rPr>
      <w:t xml:space="preserve">glim.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4A4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4A454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968A7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2026-05-15T20:25:04.802Z</dcterms:created>
  <dcterms:modified xsi:type="dcterms:W3CDTF">2026-05-15T20:25:04.803Z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