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left"/>
      </w:pPr>
      <w:r>
        <w:rPr>
          <w:rFonts w:ascii="Calibri" w:hAnsi="Calibri"/>
          <w:b/>
          <w:color w:val="0284C7"/>
          <w:sz w:val="24"/>
        </w:rPr>
        <w:t>INFORME TÉCNICO Y EXPERIMENTAL:</w:t>
      </w:r>
    </w:p>
    <w:p>
      <w:pPr>
        <w:spacing w:before="0" w:after="280"/>
        <w:jc w:val="left"/>
      </w:pPr>
      <w:r>
        <w:rPr>
          <w:rFonts w:ascii="Calibri" w:hAnsi="Calibri"/>
          <w:b/>
          <w:color w:val="1E3A8A"/>
          <w:sz w:val="40"/>
        </w:rPr>
        <w:t>Sistema Inteligente de Detección de Somnolencia en Conductores en Tiempo Real mediante Redes Neuronales Convolucionales (CNN) y Streamlit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/>
        </w:trPr>
        <w:tc>
          <w:tcPr>
            <w:tcW w:type="dxa" w:w="3168"/>
            <w:tcMar>
              <w:top w:w="110" w:type="dxa"/>
              <w:bottom w:w="110" w:type="dxa"/>
              <w:left w:w="140" w:type="dxa"/>
              <w:right w:w="140" w:type="dxa"/>
            </w:tcMar>
            <w:shd w:fill="0F172A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Proyecto / Especialidad:</w:t>
            </w:r>
          </w:p>
        </w:tc>
        <w:tc>
          <w:tcPr>
            <w:tcW w:type="dxa" w:w="6192"/>
            <w:tcMar>
              <w:top w:w="110" w:type="dxa"/>
              <w:bottom w:w="110" w:type="dxa"/>
              <w:left w:w="140" w:type="dxa"/>
              <w:right w:w="140" w:type="dxa"/>
            </w:tcMar>
            <w:shd w:fill="0F172A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Sprint 2 — Visión por Computadora y Deep Learning Aplicado</w:t>
            </w:r>
          </w:p>
        </w:tc>
      </w:tr>
      <w:tr>
        <w:trPr/>
        <w:tc>
          <w:tcPr>
            <w:tcW w:type="dxa" w:w="3168"/>
            <w:tcMar>
              <w:top w:w="110" w:type="dxa"/>
              <w:bottom w:w="11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b/>
                <w:color w:val="1F2937"/>
                <w:sz w:val="18"/>
              </w:rPr>
              <w:t>Arquitectura del Sistema:</w:t>
            </w:r>
          </w:p>
        </w:tc>
        <w:tc>
          <w:tcPr>
            <w:tcW w:type="dxa" w:w="6192"/>
            <w:tcMar>
              <w:top w:w="110" w:type="dxa"/>
              <w:bottom w:w="11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CNN Secuencial de 3 Ciclos Convolucionales (Temp/Spatial/Separable)</w:t>
            </w:r>
          </w:p>
        </w:tc>
      </w:tr>
      <w:tr>
        <w:trPr/>
        <w:tc>
          <w:tcPr>
            <w:tcW w:type="dxa" w:w="3168"/>
            <w:tcMar>
              <w:top w:w="110" w:type="dxa"/>
              <w:bottom w:w="110" w:type="dxa"/>
              <w:left w:w="140" w:type="dxa"/>
              <w:right w:w="140" w:type="dxa"/>
            </w:tcMar>
            <w:shd w:fill="F1F5F9"/>
          </w:tcPr>
          <w:p>
            <w:pPr>
              <w:spacing w:before="40" w:after="40"/>
            </w:pPr>
            <w:r>
              <w:rPr>
                <w:b/>
                <w:color w:val="1F2937"/>
                <w:sz w:val="18"/>
              </w:rPr>
              <w:t>Entorno y Frameworks:</w:t>
            </w:r>
          </w:p>
        </w:tc>
        <w:tc>
          <w:tcPr>
            <w:tcW w:type="dxa" w:w="6192"/>
            <w:tcMar>
              <w:top w:w="110" w:type="dxa"/>
              <w:bottom w:w="110" w:type="dxa"/>
              <w:left w:w="140" w:type="dxa"/>
              <w:right w:w="140" w:type="dxa"/>
            </w:tcMar>
            <w:shd w:fill="F1F5F9"/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Python 3.13, TensorFlow 2.21, Keras 3.15, OpenCV, Streamlit</w:t>
            </w:r>
          </w:p>
        </w:tc>
      </w:tr>
      <w:tr>
        <w:trPr/>
        <w:tc>
          <w:tcPr>
            <w:tcW w:type="dxa" w:w="3168"/>
            <w:tcMar>
              <w:top w:w="110" w:type="dxa"/>
              <w:bottom w:w="11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b/>
                <w:color w:val="1F2937"/>
                <w:sz w:val="18"/>
              </w:rPr>
              <w:t>Fecha de Publicación:</w:t>
            </w:r>
          </w:p>
        </w:tc>
        <w:tc>
          <w:tcPr>
            <w:tcW w:type="dxa" w:w="6192"/>
            <w:tcMar>
              <w:top w:w="110" w:type="dxa"/>
              <w:bottom w:w="11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Octubre 2026 | Estado: Validado y Operativo</w:t>
            </w:r>
          </w:p>
        </w:tc>
      </w:tr>
    </w:tbl>
    <w:p>
      <w:pPr>
        <w:spacing w:after="200"/>
      </w:pPr>
    </w:p>
    <w:p>
      <w:pPr>
        <w:pStyle w:val="Heading1"/>
        <w:spacing w:before="320" w:after="160"/>
      </w:pPr>
      <w:r>
        <w:rPr>
          <w:rFonts w:ascii="Calibri" w:hAnsi="Calibri"/>
          <w:color w:val="1E3A8A"/>
        </w:rPr>
        <w:t>1. Introducción</w:t>
      </w:r>
    </w:p>
    <w:p>
      <w:pPr>
        <w:spacing w:line="276" w:lineRule="auto" w:after="120"/>
      </w:pPr>
      <w:r>
        <w:t>La somnolencia y la fatiga al volante representan una de las principales amenazas críticas en las redes de transporte terrestre a nivel mundial. Según estadísticas oficiales de la Organización Mundial de la Salud (OMS), la National Highway Traffic Safety Administration (NHTSA) de EE.UU. y la European Road Safety Observatory, entre el 10% y el 20% de las colisiones mortales están directamente vinculadas a conductores que padecen privación prolongada de sueño, fatiga muscular o hipovigilancia.</w:t>
      </w:r>
    </w:p>
    <w:p>
      <w:pPr>
        <w:spacing w:line="276" w:lineRule="auto" w:after="80"/>
      </w:pPr>
      <w:r>
        <w:t>A diferencia del consumo de alcohol u otras sustancias psicoactivas, la fatiga del conductor no suele dejar huellas toxicológicas evidentes, lo que ha conducido históricamente a un grave subregistro de sus secuelas. Sus consecuencias biomecánicas y cognitivas resultan especialmente letales:</w:t>
      </w:r>
    </w:p>
    <w:p>
      <w:pPr>
        <w:pStyle w:val="ListBullet"/>
        <w:spacing w:line="276" w:lineRule="auto" w:after="60"/>
      </w:pPr>
      <w:r>
        <w:rPr>
          <w:b/>
          <w:color w:val="0284C7"/>
        </w:rPr>
        <w:t xml:space="preserve">Incremento del tiempo de reacción: </w:t>
      </w:r>
      <w:r>
        <w:t>El conductor fatigado tarda hasta 3 veces más en presionar el freno o realizar una maniobra evasiva.</w:t>
      </w:r>
    </w:p>
    <w:p>
      <w:pPr>
        <w:pStyle w:val="ListBullet"/>
        <w:spacing w:line="276" w:lineRule="auto" w:after="60"/>
      </w:pPr>
      <w:r>
        <w:rPr>
          <w:b/>
          <w:color w:val="0284C7"/>
        </w:rPr>
        <w:t xml:space="preserve">Deterioro de la fijación visual foveal: </w:t>
      </w:r>
      <w:r>
        <w:t>Se reduce drásticamente el rastreo periférico de peatones, señales y cambios de carril.</w:t>
      </w:r>
    </w:p>
    <w:p>
      <w:pPr>
        <w:pStyle w:val="ListBullet"/>
        <w:spacing w:line="276" w:lineRule="auto" w:after="60"/>
      </w:pPr>
      <w:r>
        <w:rPr>
          <w:b/>
          <w:color w:val="0284C7"/>
        </w:rPr>
        <w:t xml:space="preserve">Fenómeno del Microsueño: </w:t>
      </w:r>
      <w:r>
        <w:t>Pérdidas transitorias e involuntarias del estado de vigilia con duraciones de 2 a 5 segundos. A 100 km/h, un vehículo recorre 27.8 metros por cada segundo; un microsueño de 3 segundos implica transitar más de 83 metros sin ningún control, convirtiendo al automóvil en un proyectil desgobernado de dos toneladas.</w:t>
      </w:r>
    </w:p>
    <w:p>
      <w:pPr>
        <w:pStyle w:val="Heading2"/>
      </w:pPr>
      <w:r>
        <w:t>1.1. Metas y Objetivos del Prototipo</w:t>
      </w:r>
    </w:p>
    <w:p>
      <w:pPr>
        <w:spacing w:line="276" w:lineRule="auto" w:after="80"/>
      </w:pPr>
      <w:r>
        <w:t>Para responder a esta problemática sin recurrir a sensores corporales invasivos (como electroencefalografía EEG o sensores de conductancia dérmica en volante, que suelen provocar incomodidad y rechazo en los conductores), el presente proyecto se planteó las siguientes metas clave de ingeniería:</w:t>
      </w:r>
    </w:p>
    <w:p>
      <w:pPr>
        <w:pStyle w:val="ListBullet"/>
        <w:spacing w:line="276" w:lineRule="auto" w:after="60"/>
      </w:pPr>
      <w:r>
        <w:rPr>
          <w:b/>
        </w:rPr>
        <w:t>Detección Facial No Invasiva:</w:t>
      </w:r>
      <w:r>
        <w:t xml:space="preserve"> Monitorizar al conductor en tiempo real exclusivamente mediante una cámara web RGB estándar.</w:t>
      </w:r>
    </w:p>
    <w:p>
      <w:pPr>
        <w:pStyle w:val="ListBullet"/>
        <w:spacing w:line="276" w:lineRule="auto" w:after="60"/>
      </w:pPr>
      <w:r>
        <w:rPr>
          <w:b/>
        </w:rPr>
        <w:t>Arquitectura CNN Modular y Ultraligera:</w:t>
      </w:r>
      <w:r>
        <w:t xml:space="preserve"> Diseñar e implementar una Red Neuronal Convolucional (CNN) de 3 Ciclos Convolucionales (Temp/Spatial/Separable) con un costo computacional menor a 15 ms en CPU convencional, prescindiendo de GPU dedicada.</w:t>
      </w:r>
    </w:p>
    <w:p>
      <w:pPr>
        <w:pStyle w:val="ListBullet"/>
        <w:spacing w:line="276" w:lineRule="auto" w:after="60"/>
      </w:pPr>
      <w:r>
        <w:rPr>
          <w:b/>
        </w:rPr>
        <w:t>Sistema de Alerta Temprana Bimodal:</w:t>
      </w:r>
      <w:r>
        <w:t xml:space="preserve"> Integrar visualización HUD en tiempo real con una alarma acústica no bloqueante para forzar la reactivación cognitiva inmediata del conductor.</w:t>
      </w:r>
    </w:p>
    <w:p>
      <w:pPr>
        <w:pStyle w:val="ListBullet"/>
        <w:spacing w:line="276" w:lineRule="auto" w:after="60"/>
      </w:pPr>
      <w:r>
        <w:rPr>
          <w:b/>
        </w:rPr>
        <w:t>Fidelidad Operativa y Mitigación de Falsas Alarmas:</w:t>
      </w:r>
      <w:r>
        <w:t xml:space="preserve"> Garantizar que el clasificador sea altamente específico y fidedigno ante el estado 'Non Drowsy' (Alerta / Despierto), evitando alarmas molestas mientras la persona conduce con normalidad.</w:t>
      </w:r>
    </w:p>
    <w:p>
      <w:pPr>
        <w:pStyle w:val="Heading2"/>
      </w:pPr>
      <w:r>
        <w:t>1.2. Alcance del Proyecto</w:t>
      </w:r>
    </w:p>
    <w:p>
      <w:pPr>
        <w:spacing w:line="276" w:lineRule="auto" w:after="160"/>
      </w:pPr>
      <w:r>
        <w:t>El proyecto abarca el ciclo de vida completo de desarrollo de un Producto Mínimo Viable (MVP): curaduría de más de 40,000 imágenes del dataset internacional DDD, balanceo y Data Augmentation estocástico, diseño y entrenamiento de la CNN en TensorFlow/Keras, evaluación ciega con métricas estandarizadas (Matriz de Confusión, ROC-AUC, F1-Score) y despliegue web interactivo mediante Streamlit (app.py) con soporte para flujo de cámara web en vivo, carga de imágenes y auditoría de muestras.</w:t>
      </w:r>
    </w:p>
    <w:p>
      <w:pPr>
        <w:pStyle w:val="Heading1"/>
        <w:spacing w:before="320" w:after="160"/>
      </w:pPr>
      <w:r>
        <w:rPr>
          <w:rFonts w:ascii="Calibri" w:hAnsi="Calibri"/>
          <w:color w:val="1E3A8A"/>
        </w:rPr>
        <w:t>2. Dataset y Preparación de Datos</w:t>
      </w:r>
    </w:p>
    <w:p>
      <w:pPr>
        <w:pStyle w:val="Heading2"/>
      </w:pPr>
      <w:r>
        <w:t>2.1. Driver Drowsiness Dataset (DDD)</w:t>
      </w:r>
    </w:p>
    <w:p>
      <w:pPr>
        <w:spacing w:line="276" w:lineRule="auto" w:after="80"/>
      </w:pPr>
      <w:r>
        <w:t>El modelo fue entrenado y evaluado sobre el Driver Drowsiness Dataset (DDD), un corpus de referencia internacional diseñado específicamente para el reconocimiento de fatiga en cabina vehicular. El corpus cuenta con las siguientes características: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2880"/>
            <w:tcMar>
              <w:top w:w="110" w:type="dxa"/>
              <w:bottom w:w="110" w:type="dxa"/>
              <w:left w:w="140" w:type="dxa"/>
              <w:right w:w="140" w:type="dxa"/>
            </w:tcMar>
            <w:shd w:fill="1E3A8A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Parámetro del Dataset</w:t>
            </w:r>
          </w:p>
        </w:tc>
        <w:tc>
          <w:tcPr>
            <w:tcW w:type="dxa" w:w="2592"/>
            <w:tcMar>
              <w:top w:w="110" w:type="dxa"/>
              <w:bottom w:w="110" w:type="dxa"/>
              <w:left w:w="140" w:type="dxa"/>
              <w:right w:w="140" w:type="dxa"/>
            </w:tcMar>
            <w:shd w:fill="1E3A8A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Valor Numérico</w:t>
            </w:r>
          </w:p>
        </w:tc>
        <w:tc>
          <w:tcPr>
            <w:tcW w:type="dxa" w:w="3888"/>
            <w:tcMar>
              <w:top w:w="110" w:type="dxa"/>
              <w:bottom w:w="110" w:type="dxa"/>
              <w:left w:w="140" w:type="dxa"/>
              <w:right w:w="140" w:type="dxa"/>
            </w:tcMar>
            <w:shd w:fill="1E3A8A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Descripción Técnica</w:t>
            </w:r>
          </w:p>
        </w:tc>
      </w:tr>
      <w:tr>
        <w:trPr/>
        <w:tc>
          <w:tcPr>
            <w:tcW w:type="dxa" w:w="2880"/>
            <w:tcMar>
              <w:top w:w="110" w:type="dxa"/>
              <w:bottom w:w="11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Volumen Total</w:t>
            </w:r>
          </w:p>
        </w:tc>
        <w:tc>
          <w:tcPr>
            <w:tcW w:type="dxa" w:w="2592"/>
            <w:tcMar>
              <w:top w:w="110" w:type="dxa"/>
              <w:bottom w:w="11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41,793 imágenes</w:t>
            </w:r>
          </w:p>
        </w:tc>
        <w:tc>
          <w:tcPr>
            <w:tcW w:type="dxa" w:w="3888"/>
            <w:tcMar>
              <w:top w:w="110" w:type="dxa"/>
              <w:bottom w:w="11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Imágenes PNG a color (RGB) de 24 bits por píxel</w:t>
            </w:r>
          </w:p>
        </w:tc>
      </w:tr>
      <w:tr>
        <w:trPr/>
        <w:tc>
          <w:tcPr>
            <w:tcW w:type="dxa" w:w="2880"/>
            <w:tcMar>
              <w:top w:w="110" w:type="dxa"/>
              <w:bottom w:w="11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Clase 1: Drowsy (Somnoliento)</w:t>
            </w:r>
          </w:p>
        </w:tc>
        <w:tc>
          <w:tcPr>
            <w:tcW w:type="dxa" w:w="2592"/>
            <w:tcMar>
              <w:top w:w="110" w:type="dxa"/>
              <w:bottom w:w="11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22,348 imágenes (53.47%)</w:t>
            </w:r>
          </w:p>
        </w:tc>
        <w:tc>
          <w:tcPr>
            <w:tcW w:type="dxa" w:w="3888"/>
            <w:tcMar>
              <w:top w:w="110" w:type="dxa"/>
              <w:bottom w:w="11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Ojos cerrados, ptosis palpebral, bostezos y caídas de cabeza</w:t>
            </w:r>
          </w:p>
        </w:tc>
      </w:tr>
      <w:tr>
        <w:trPr/>
        <w:tc>
          <w:tcPr>
            <w:tcW w:type="dxa" w:w="2880"/>
            <w:tcMar>
              <w:top w:w="110" w:type="dxa"/>
              <w:bottom w:w="11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Clase 0: Non Drowsy (Alerta)</w:t>
            </w:r>
          </w:p>
        </w:tc>
        <w:tc>
          <w:tcPr>
            <w:tcW w:type="dxa" w:w="2592"/>
            <w:tcMar>
              <w:top w:w="110" w:type="dxa"/>
              <w:bottom w:w="11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19,445 imágenes (46.53%)</w:t>
            </w:r>
          </w:p>
        </w:tc>
        <w:tc>
          <w:tcPr>
            <w:tcW w:type="dxa" w:w="3888"/>
            <w:tcMar>
              <w:top w:w="110" w:type="dxa"/>
              <w:bottom w:w="11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Conductores despiertos, mirada atenta y ojos abiertos</w:t>
            </w:r>
          </w:p>
        </w:tc>
      </w:tr>
      <w:tr>
        <w:trPr/>
        <w:tc>
          <w:tcPr>
            <w:tcW w:type="dxa" w:w="2880"/>
            <w:tcMar>
              <w:top w:w="110" w:type="dxa"/>
              <w:bottom w:w="11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Resolución Original</w:t>
            </w:r>
          </w:p>
        </w:tc>
        <w:tc>
          <w:tcPr>
            <w:tcW w:type="dxa" w:w="2592"/>
            <w:tcMar>
              <w:top w:w="110" w:type="dxa"/>
              <w:bottom w:w="11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227 × 227 píxeles</w:t>
            </w:r>
          </w:p>
        </w:tc>
        <w:tc>
          <w:tcPr>
            <w:tcW w:type="dxa" w:w="3888"/>
            <w:tcMar>
              <w:top w:w="110" w:type="dxa"/>
              <w:bottom w:w="11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Tomas centradas en el rostro del conductor</w:t>
            </w:r>
          </w:p>
        </w:tc>
      </w:tr>
      <w:tr>
        <w:trPr/>
        <w:tc>
          <w:tcPr>
            <w:tcW w:type="dxa" w:w="2880"/>
            <w:tcMar>
              <w:top w:w="110" w:type="dxa"/>
              <w:bottom w:w="11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Variabilidad Ambiental</w:t>
            </w:r>
          </w:p>
        </w:tc>
        <w:tc>
          <w:tcPr>
            <w:tcW w:type="dxa" w:w="2592"/>
            <w:tcMar>
              <w:top w:w="110" w:type="dxa"/>
              <w:bottom w:w="11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Alta heterogeneidad</w:t>
            </w:r>
          </w:p>
        </w:tc>
        <w:tc>
          <w:tcPr>
            <w:tcW w:type="dxa" w:w="3888"/>
            <w:tcMar>
              <w:top w:w="110" w:type="dxa"/>
              <w:bottom w:w="11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Diversidad de género, edades, oclusiones (lentes) y sombras</w:t>
            </w:r>
          </w:p>
        </w:tc>
      </w:tr>
    </w:tbl>
    <w:p>
      <w:pPr>
        <w:spacing w:after="120"/>
      </w:pPr>
    </w:p>
    <w:p>
      <w:pPr>
        <w:pStyle w:val="Heading2"/>
      </w:pPr>
      <w:r>
        <w:t>2.2. Preprocesamiento y Downsampling Controlado</w:t>
      </w:r>
    </w:p>
    <w:p>
      <w:pPr>
        <w:spacing w:line="276" w:lineRule="auto" w:after="80"/>
      </w:pPr>
      <w:r>
        <w:t>Para permitir un entrenamiento ágil y una inferencia en tiempo real superior a 30 FPS en CPU de laptop, se diseñó un pipeline de preparación tensorial riguroso:</w:t>
      </w:r>
    </w:p>
    <w:p>
      <w:pPr>
        <w:pStyle w:val="ListBullet"/>
        <w:spacing w:line="276" w:lineRule="auto" w:after="60"/>
      </w:pPr>
      <w:r>
        <w:rPr>
          <w:b/>
        </w:rPr>
        <w:t xml:space="preserve">Redimensionamiento Espacial (64 × 64 × 3): </w:t>
      </w:r>
      <w:r>
        <w:t>Las matrices originales de 227 × 227 × 3 (154,587 valores) se remuestrean mediante interpolación bilineal a 64 × 64 × 3 (12,288 valores). Esto supone una reducción volumétrica de datos superior al 92%, preservando la resolución crítica necesaria para discernir si los párpados están cerrados o abiertos.</w:t>
      </w:r>
    </w:p>
    <w:p>
      <w:pPr>
        <w:pStyle w:val="ListBullet"/>
        <w:spacing w:line="276" w:lineRule="auto" w:after="60"/>
      </w:pPr>
      <w:r>
        <w:rPr>
          <w:b/>
        </w:rPr>
        <w:t xml:space="preserve">Normalización Continua [0.0, 1.0]: </w:t>
      </w:r>
      <w:r>
        <w:t>La capa keras.layers.Rescaling(1./255) escala internamente los valores enteros [0, 255] al espacio continuo [0.0, 1.0]. Al estar integrada dentro del propio grafo del modelo, se garantiza absoluta paridad numérica entre el entrenamiento y la ejecución en vivo.</w:t>
      </w:r>
    </w:p>
    <w:p>
      <w:pPr>
        <w:pStyle w:val="ListBullet"/>
        <w:spacing w:line="276" w:lineRule="auto" w:after="60"/>
      </w:pPr>
      <w:r>
        <w:rPr>
          <w:b/>
        </w:rPr>
        <w:t xml:space="preserve">Partición Estratificada (Train / Val / Test): </w:t>
      </w:r>
      <w:r>
        <w:t>El corpus se dividió en 70% Entrenamiento (cálculo de gradientes y retropropagación), 15% Validación (ajuste dinámico de hiperparámetros con EarlyStopping y ReduceLROnPlateau) y 15% Prueba Independiente (evaluación ciega final con métricas de generalización).</w:t>
      </w:r>
    </w:p>
    <w:p>
      <w:pPr>
        <w:pStyle w:val="ListBullet"/>
        <w:spacing w:line="276" w:lineRule="auto" w:after="60"/>
      </w:pPr>
      <w:r>
        <w:rPr>
          <w:b/>
        </w:rPr>
        <w:t xml:space="preserve">Pipeline Asíncrono con tf.data: </w:t>
      </w:r>
      <w:r>
        <w:t>Se configuró procesamiento por minilotes de tamaño B = 64 y prefetching asíncrono (.prefetch(buffer_size=tf.data.AUTOTUNE)) para solapar las operaciones de entrada/salida de disco con el cómputo matricial.</w:t>
      </w:r>
    </w:p>
    <w:p>
      <w:pPr>
        <w:pStyle w:val="Heading2"/>
      </w:pPr>
      <w:r>
        <w:t>2.3. Data Augmentation y Ponderación de Clases (Mitigación de Falsas Alarmas)</w:t>
      </w:r>
    </w:p>
    <w:p>
      <w:pPr>
        <w:spacing w:line="276" w:lineRule="auto" w:after="80"/>
      </w:pPr>
      <w:r>
        <w:t>Para corregir el sesgo común de los modelos de visión que clasifican erróneamente a personas despiertas como 'somnolientas' debido a sombras faciales o iluminación de la habitación, se aplicaron dos técnicas de ingeniería clave en train.py:</w:t>
      </w:r>
    </w:p>
    <w:p>
      <w:pPr>
        <w:pStyle w:val="ListBullet"/>
        <w:spacing w:line="276" w:lineRule="auto" w:after="60"/>
      </w:pPr>
      <w:r>
        <w:rPr>
          <w:b/>
        </w:rPr>
        <w:t xml:space="preserve">Data Augmentation Estocástico al Vuelo: </w:t>
      </w:r>
      <w:r>
        <w:t>Se incorporó un bloque secuencial con RandomFlip('horizontal'), RandomRotation(0.05), RandomBrightness(0.12), RandomContrast(0.12) y RandomTranslation(0.04, 0.04). Esto dotó a los filtros convolucionales de invarianza ante cambios de iluminación natural y ángulos leves de la cabeza.</w:t>
      </w:r>
    </w:p>
    <w:p>
      <w:pPr>
        <w:pStyle w:val="ListBullet"/>
        <w:spacing w:line="276" w:lineRule="auto" w:after="60"/>
      </w:pPr>
      <w:r>
        <w:rPr>
          <w:b/>
        </w:rPr>
        <w:t xml:space="preserve">Ponderación de Clases (Class Weighting = {0: 1.35, 1: 1.0}): </w:t>
      </w:r>
      <w:r>
        <w:t>Al asignar un 35% más de penalización en la función de pérdida a los errores cometidos sobre la clase 0 ('Non Drowsy'), el modelo aprendió una frontera de decisión mucho más exigente, requiriendo evidencia anatómica indudable de ojos cerrados antes de dictaminar somnolencia.</w:t>
      </w:r>
    </w:p>
    <w:p>
      <w:pPr>
        <w:pStyle w:val="Heading1"/>
        <w:spacing w:before="320" w:after="160"/>
      </w:pPr>
      <w:r>
        <w:rPr>
          <w:rFonts w:ascii="Calibri" w:hAnsi="Calibri"/>
          <w:color w:val="1E3A8A"/>
        </w:rPr>
        <w:t>3. Arquitectura y Fases del Sistema</w:t>
      </w:r>
    </w:p>
    <w:p>
      <w:pPr>
        <w:pStyle w:val="Heading2"/>
      </w:pPr>
      <w:r>
        <w:t>3.1. Flujo General de la Aplicación en Tiempo Real</w:t>
      </w:r>
    </w:p>
    <w:p>
      <w:pPr>
        <w:spacing w:line="276" w:lineRule="auto" w:after="80"/>
      </w:pPr>
      <w:r>
        <w:t>El sistema interactivo desplegado en Streamlit (app.py) opera como un bucle continuo de procesamiento visual y telemetría:</w:t>
      </w:r>
    </w:p>
    <w:p>
      <w:pPr>
        <w:pStyle w:val="ListBullet"/>
        <w:spacing w:line="276" w:lineRule="auto" w:after="60"/>
      </w:pPr>
      <w:r>
        <w:rPr>
          <w:b/>
        </w:rPr>
        <w:t>1. Captura de Video (OpenCV):</w:t>
      </w:r>
      <w:r>
        <w:t xml:space="preserve"> Se adquieren fotogramas continuos en formato BGR a 30 FPS desde la cámara web (cv2.VideoCapture).</w:t>
      </w:r>
    </w:p>
    <w:p>
      <w:pPr>
        <w:pStyle w:val="ListBullet"/>
        <w:spacing w:line="276" w:lineRule="auto" w:after="60"/>
      </w:pPr>
      <w:r>
        <w:rPr>
          <w:b/>
        </w:rPr>
        <w:t>2. Enfoque Facial Adaptativo (ROI 1:1):</w:t>
      </w:r>
      <w:r>
        <w:t xml:space="preserve"> La función extract_face_roi() recorta la región facial central en relación de aspecto 1:1, eliminando el 70% del fondo de la habitación (paredes, techo, ropa) y encuadrando exactamente la escala anatómica con la que fue entrenada la CNN.</w:t>
      </w:r>
    </w:p>
    <w:p>
      <w:pPr>
        <w:pStyle w:val="ListBullet"/>
        <w:spacing w:line="276" w:lineRule="auto" w:after="60"/>
      </w:pPr>
      <w:r>
        <w:rPr>
          <w:b/>
        </w:rPr>
        <w:t>3. Inferencia CNN Feed-Forward:</w:t>
      </w:r>
      <w:r>
        <w:t xml:space="preserve"> El tensor de 64 × 64 × 3 es evaluado por el modelo Keras compilado en caché (@st.cache_resource), produciendo una probabilidad de somnolencia P(Drowsy) ∈ [0.0, 1.0].</w:t>
      </w:r>
    </w:p>
    <w:p>
      <w:pPr>
        <w:pStyle w:val="ListBullet"/>
        <w:spacing w:line="276" w:lineRule="auto" w:after="60"/>
      </w:pPr>
      <w:r>
        <w:rPr>
          <w:b/>
        </w:rPr>
        <w:t>4. Suavizado Temporal Antirruido (EMA):</w:t>
      </w:r>
      <w:r>
        <w:t xml:space="preserve"> Se aplica una media móvil exponencial P_filtrada = α·P_inst + (1 - α)·P_ant con factor α = 0.25 para inmunizar al sistema contra fluctuaciones de luz y parpadeos oculares naturales (&lt; 350 ms).</w:t>
      </w:r>
    </w:p>
    <w:p>
      <w:pPr>
        <w:pStyle w:val="ListBullet"/>
        <w:spacing w:line="276" w:lineRule="auto" w:after="60"/>
      </w:pPr>
      <w:r>
        <w:rPr>
          <w:b/>
        </w:rPr>
        <w:t>5. Buffer Dinámico con Desacumulación Rápida:</w:t>
      </w:r>
      <w:r>
        <w:t xml:space="preserve"> Si P_filtrada ≥ Umbral (por defecto 0.65), el acumulador de persistencia suma +1 frame. Si el conductor está despierto, el acumulador desciende de forma acelerada (-2 o -3 cuadros), extinguiendo la alarma de inmediato al abrir los ojos.</w:t>
      </w:r>
    </w:p>
    <w:p>
      <w:pPr>
        <w:pStyle w:val="ListBullet"/>
        <w:spacing w:line="276" w:lineRule="auto" w:after="60"/>
      </w:pPr>
      <w:r>
        <w:rPr>
          <w:b/>
        </w:rPr>
        <w:t>6. Alarma Sonora Asíncrona:</w:t>
      </w:r>
      <w:r>
        <w:t xml:space="preserve"> Al alcanzarse 15 cuadros consecutivos de fatiga sostenida (~1.0s), se dispara un tono penetrante (winsound.Beep a 2500 Hz / pygame.mixer) en un hilo secundario sin congelar la transmisión de video.</w:t>
      </w:r>
    </w:p>
    <w:p>
      <w:pPr>
        <w:pStyle w:val="Heading2"/>
      </w:pPr>
      <w:r>
        <w:t>3.2. Fases y Convoluciones de la Red Neuronal (train.py)</w:t>
      </w:r>
    </w:p>
    <w:p>
      <w:pPr>
        <w:spacing w:line="276" w:lineRule="auto" w:after="80"/>
      </w:pPr>
      <w:r>
        <w:t>La arquitectura neuronal se encapsula en la función build_cnn_architecture() en train.py (Líneas 78 a 142). A continuación se desglosan formalmente sus componentes: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4F8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left w:val="single" w:sz="36" w:space="0" w:color="0284C7"/>
              <w:top w:val="none"/>
              <w:right w:val="none"/>
              <w:bottom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color w:val="0284C7"/>
                <w:sz w:val="20"/>
              </w:rPr>
              <w:t>📌 Resumen Estructural de Convoluciones y Capas Ocultas</w:t>
              <w:br/>
            </w:r>
            <w:r>
              <w:rPr>
                <w:rFonts w:ascii="Calibri" w:hAnsi="Calibri"/>
                <w:i/>
                <w:color w:val="1E293B"/>
                <w:sz w:val="19"/>
              </w:rPr>
              <w:t>• Convoluciones Totales: Cuenta con exactamente 3 capas convolucionales:</w:t>
              <w:br/>
              <w:t xml:space="preserve">  1. Conv2D (32 filtros, kernel 3×3, ReLU) en Líneas 96 a 102 de train.py.</w:t>
              <w:br/>
              <w:t xml:space="preserve">  2. Conv2D (64 filtros, kernel 3×3, ReLU) en Líneas 108 a 114 de train.py.</w:t>
              <w:br/>
              <w:t xml:space="preserve">  3. SeparableConv2D (128 filtros, kernel 3×3, ReLU) en Líneas 124 a 130 de train.py.</w:t>
              <w:br/>
              <w:t>• Capas Ocultas Totales: Cuenta con 10 capas ocultas / intermedias entre la entrada y la neurona de salida (5 de ellas poseen parámetros y pesos entrenables).</w:t>
            </w:r>
          </w:p>
        </w:tc>
      </w:tr>
    </w:tbl>
    <w:p>
      <w:pPr>
        <w:spacing w:after="80"/>
      </w:pPr>
    </w:p>
    <w:p>
      <w:pPr>
        <w:spacing w:after="80"/>
      </w:pPr>
      <w:r>
        <w:t>Desglose metodológico de las 6 fases de la red:</w:t>
      </w:r>
    </w:p>
    <w:p>
      <w:pPr>
        <w:pStyle w:val="ListBullet"/>
        <w:spacing w:line="276" w:lineRule="auto" w:after="60"/>
      </w:pPr>
      <w:r>
        <w:rPr>
          <w:b/>
          <w:color w:val="1E3A8A"/>
        </w:rPr>
        <w:t xml:space="preserve">Fase 1: Entrada y Reescalado (Líneas 92–93): </w:t>
      </w:r>
      <w:r>
        <w:t>Recibe el tensor de imagen (64, 64, 3) y aplica división lineal continua entre 255.0 para mapear a [0.0, 1.0].</w:t>
      </w:r>
    </w:p>
    <w:p>
      <w:pPr>
        <w:pStyle w:val="ListBullet"/>
        <w:spacing w:line="276" w:lineRule="auto" w:after="60"/>
      </w:pPr>
      <w:r>
        <w:rPr>
          <w:b/>
          <w:color w:val="1E3A8A"/>
        </w:rPr>
        <w:t xml:space="preserve">Fase 2: Bloque 1 Temp-Conv y BatchNormalization (Líneas 96–105): </w:t>
      </w:r>
      <w:r>
        <w:t>Capa Conv2D con 32 filtros 3×3 para extracción de micro-transiciones y gradientes locales (bordes del párpado e iris). Seguido de BatchNormalization para mitigar el Internal Covariate Shift.</w:t>
      </w:r>
    </w:p>
    <w:p>
      <w:pPr>
        <w:pStyle w:val="ListBullet"/>
        <w:spacing w:line="276" w:lineRule="auto" w:after="60"/>
      </w:pPr>
      <w:r>
        <w:rPr>
          <w:b/>
          <w:color w:val="1E3A8A"/>
        </w:rPr>
        <w:t xml:space="preserve">Fase 3: Bloque 2 Spatial-Conv, Pooling Ciclo 2 (Líneas 108–117): </w:t>
      </w:r>
      <w:r>
        <w:t>Capa Conv2D con 64 filtros 3×3 para patrones espaciales (ojos abiertos/cerrados, comisuras bucales). MaxPooling2D(2, 2) reduce a 32 × 32 conservando los rasgos dominantes.</w:t>
      </w:r>
    </w:p>
    <w:p>
      <w:pPr>
        <w:pStyle w:val="ListBullet"/>
        <w:spacing w:line="276" w:lineRule="auto" w:after="60"/>
      </w:pPr>
      <w:r>
        <w:rPr>
          <w:b/>
          <w:color w:val="1E3A8A"/>
        </w:rPr>
        <w:t xml:space="preserve">Fase 4: Regularización 1 Dropout (Línea 120): </w:t>
      </w:r>
      <w:r>
        <w:t>Dropout(0.30) que apaga estocásticamente el 30% de conexiones, previniendo la co-adaptación de neuronas ante lentes o sombras.</w:t>
      </w:r>
    </w:p>
    <w:p>
      <w:pPr>
        <w:pStyle w:val="ListBullet"/>
        <w:spacing w:line="276" w:lineRule="auto" w:after="60"/>
      </w:pPr>
      <w:r>
        <w:rPr>
          <w:b/>
          <w:color w:val="1E3A8A"/>
        </w:rPr>
        <w:t xml:space="preserve">Fase 5: Bloque 3 Separable-Conv y Global Pooling (Líneas 124–133): </w:t>
      </w:r>
      <w:r>
        <w:t>SeparableConv2D con 128 filtros 3×3. Descompone en convolución espacial (Depthwise) y lineal de canales (Pointwise), reduciendo los FLOPs en un 88%. GlobalAveragePooling2D colapsa la matriz 32 × 32 a un vector denso de 128D sin parámetros espurios.</w:t>
      </w:r>
    </w:p>
    <w:p>
      <w:pPr>
        <w:pStyle w:val="ListBullet"/>
        <w:spacing w:line="276" w:lineRule="auto" w:after="60"/>
      </w:pPr>
      <w:r>
        <w:rPr>
          <w:b/>
          <w:color w:val="1E3A8A"/>
        </w:rPr>
        <w:t xml:space="preserve">Fase 6: Clasificador MLP y Neurona Sigmoide (Líneas 136–138): </w:t>
      </w:r>
      <w:r>
        <w:t>Capa Dense(64, ReLU) con Dropout(0.40) para síntesis no lineal de alta abstracción, y capa de salida final Dense(1, Sigmoid) que emite P(Somnoliento | Imagen) ∈ [0, 1].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2592"/>
            <w:tcMar>
              <w:top w:w="110" w:type="dxa"/>
              <w:bottom w:w="110" w:type="dxa"/>
              <w:left w:w="140" w:type="dxa"/>
              <w:right w:w="140" w:type="dxa"/>
            </w:tcMar>
            <w:shd w:fill="1E3A8A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Capa en Modelo</w:t>
            </w:r>
          </w:p>
        </w:tc>
        <w:tc>
          <w:tcPr>
            <w:tcW w:type="dxa" w:w="2160"/>
            <w:tcMar>
              <w:top w:w="110" w:type="dxa"/>
              <w:bottom w:w="110" w:type="dxa"/>
              <w:left w:w="140" w:type="dxa"/>
              <w:right w:w="140" w:type="dxa"/>
            </w:tcMar>
            <w:shd w:fill="1E3A8A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Tipo de Capa Keras</w:t>
            </w:r>
          </w:p>
        </w:tc>
        <w:tc>
          <w:tcPr>
            <w:tcW w:type="dxa" w:w="1728"/>
            <w:tcMar>
              <w:top w:w="110" w:type="dxa"/>
              <w:bottom w:w="110" w:type="dxa"/>
              <w:left w:w="140" w:type="dxa"/>
              <w:right w:w="140" w:type="dxa"/>
            </w:tcMar>
            <w:shd w:fill="1E3A8A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Forma de Salida</w:t>
            </w:r>
          </w:p>
        </w:tc>
        <w:tc>
          <w:tcPr>
            <w:tcW w:type="dxa" w:w="1296"/>
            <w:tcMar>
              <w:top w:w="110" w:type="dxa"/>
              <w:bottom w:w="110" w:type="dxa"/>
              <w:left w:w="140" w:type="dxa"/>
              <w:right w:w="140" w:type="dxa"/>
            </w:tcMar>
            <w:shd w:fill="1E3A8A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Parámetros</w:t>
            </w:r>
          </w:p>
        </w:tc>
        <w:tc>
          <w:tcPr>
            <w:tcW w:type="dxa" w:w="2592"/>
            <w:tcMar>
              <w:top w:w="110" w:type="dxa"/>
              <w:bottom w:w="110" w:type="dxa"/>
              <w:left w:w="140" w:type="dxa"/>
              <w:right w:w="140" w:type="dxa"/>
            </w:tcMar>
            <w:shd w:fill="1E3A8A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Ubicación en train.py</w:t>
            </w:r>
          </w:p>
        </w:tc>
      </w:tr>
      <w:tr>
        <w:trPr/>
        <w:tc>
          <w:tcPr>
            <w:tcW w:type="dxa" w:w="2592"/>
            <w:tcMar>
              <w:top w:w="110" w:type="dxa"/>
              <w:bottom w:w="11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Entrada (Input)</w:t>
            </w:r>
          </w:p>
        </w:tc>
        <w:tc>
          <w:tcPr>
            <w:tcW w:type="dxa" w:w="2160"/>
            <w:tcMar>
              <w:top w:w="110" w:type="dxa"/>
              <w:bottom w:w="11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InputLayer</w:t>
            </w:r>
          </w:p>
        </w:tc>
        <w:tc>
          <w:tcPr>
            <w:tcW w:type="dxa" w:w="1728"/>
            <w:tcMar>
              <w:top w:w="110" w:type="dxa"/>
              <w:bottom w:w="11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(None, 64, 64, 3)</w:t>
            </w:r>
          </w:p>
        </w:tc>
        <w:tc>
          <w:tcPr>
            <w:tcW w:type="dxa" w:w="1296"/>
            <w:tcMar>
              <w:top w:w="110" w:type="dxa"/>
              <w:bottom w:w="11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0</w:t>
            </w:r>
          </w:p>
        </w:tc>
        <w:tc>
          <w:tcPr>
            <w:tcW w:type="dxa" w:w="2592"/>
            <w:tcMar>
              <w:top w:w="110" w:type="dxa"/>
              <w:bottom w:w="11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Línea 92</w:t>
            </w:r>
          </w:p>
        </w:tc>
      </w:tr>
      <w:tr>
        <w:trPr/>
        <w:tc>
          <w:tcPr>
            <w:tcW w:type="dxa" w:w="2592"/>
            <w:tcMar>
              <w:top w:w="110" w:type="dxa"/>
              <w:bottom w:w="11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Capa Oculta 1</w:t>
            </w:r>
          </w:p>
        </w:tc>
        <w:tc>
          <w:tcPr>
            <w:tcW w:type="dxa" w:w="2160"/>
            <w:tcMar>
              <w:top w:w="110" w:type="dxa"/>
              <w:bottom w:w="11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Rescaling(1./255)</w:t>
            </w:r>
          </w:p>
        </w:tc>
        <w:tc>
          <w:tcPr>
            <w:tcW w:type="dxa" w:w="1728"/>
            <w:tcMar>
              <w:top w:w="110" w:type="dxa"/>
              <w:bottom w:w="11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(None, 64, 64, 3)</w:t>
            </w:r>
          </w:p>
        </w:tc>
        <w:tc>
          <w:tcPr>
            <w:tcW w:type="dxa" w:w="1296"/>
            <w:tcMar>
              <w:top w:w="110" w:type="dxa"/>
              <w:bottom w:w="11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0</w:t>
            </w:r>
          </w:p>
        </w:tc>
        <w:tc>
          <w:tcPr>
            <w:tcW w:type="dxa" w:w="2592"/>
            <w:tcMar>
              <w:top w:w="110" w:type="dxa"/>
              <w:bottom w:w="11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Línea 93</w:t>
            </w:r>
          </w:p>
        </w:tc>
      </w:tr>
      <w:tr>
        <w:trPr/>
        <w:tc>
          <w:tcPr>
            <w:tcW w:type="dxa" w:w="2592"/>
            <w:tcMar>
              <w:top w:w="110" w:type="dxa"/>
              <w:bottom w:w="11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Capa Oculta 2 (Conv 1)</w:t>
            </w:r>
          </w:p>
        </w:tc>
        <w:tc>
          <w:tcPr>
            <w:tcW w:type="dxa" w:w="2160"/>
            <w:tcMar>
              <w:top w:w="110" w:type="dxa"/>
              <w:bottom w:w="11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Conv2D (32, 3x3)</w:t>
            </w:r>
          </w:p>
        </w:tc>
        <w:tc>
          <w:tcPr>
            <w:tcW w:type="dxa" w:w="1728"/>
            <w:tcMar>
              <w:top w:w="110" w:type="dxa"/>
              <w:bottom w:w="11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(None, 64, 64, 32)</w:t>
            </w:r>
          </w:p>
        </w:tc>
        <w:tc>
          <w:tcPr>
            <w:tcW w:type="dxa" w:w="1296"/>
            <w:tcMar>
              <w:top w:w="110" w:type="dxa"/>
              <w:bottom w:w="11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896</w:t>
            </w:r>
          </w:p>
        </w:tc>
        <w:tc>
          <w:tcPr>
            <w:tcW w:type="dxa" w:w="2592"/>
            <w:tcMar>
              <w:top w:w="110" w:type="dxa"/>
              <w:bottom w:w="11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Líneas 96–102</w:t>
            </w:r>
          </w:p>
        </w:tc>
      </w:tr>
      <w:tr>
        <w:trPr/>
        <w:tc>
          <w:tcPr>
            <w:tcW w:type="dxa" w:w="2592"/>
            <w:tcMar>
              <w:top w:w="110" w:type="dxa"/>
              <w:bottom w:w="11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Capa Oculta 3</w:t>
            </w:r>
          </w:p>
        </w:tc>
        <w:tc>
          <w:tcPr>
            <w:tcW w:type="dxa" w:w="2160"/>
            <w:tcMar>
              <w:top w:w="110" w:type="dxa"/>
              <w:bottom w:w="11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BatchNormalization</w:t>
            </w:r>
          </w:p>
        </w:tc>
        <w:tc>
          <w:tcPr>
            <w:tcW w:type="dxa" w:w="1728"/>
            <w:tcMar>
              <w:top w:w="110" w:type="dxa"/>
              <w:bottom w:w="11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(None, 64, 64, 32)</w:t>
            </w:r>
          </w:p>
        </w:tc>
        <w:tc>
          <w:tcPr>
            <w:tcW w:type="dxa" w:w="1296"/>
            <w:tcMar>
              <w:top w:w="110" w:type="dxa"/>
              <w:bottom w:w="11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128</w:t>
            </w:r>
          </w:p>
        </w:tc>
        <w:tc>
          <w:tcPr>
            <w:tcW w:type="dxa" w:w="2592"/>
            <w:tcMar>
              <w:top w:w="110" w:type="dxa"/>
              <w:bottom w:w="11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Línea 105</w:t>
            </w:r>
          </w:p>
        </w:tc>
      </w:tr>
      <w:tr>
        <w:trPr/>
        <w:tc>
          <w:tcPr>
            <w:tcW w:type="dxa" w:w="2592"/>
            <w:tcMar>
              <w:top w:w="110" w:type="dxa"/>
              <w:bottom w:w="11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Capa Oculta 4 (Conv 2)</w:t>
            </w:r>
          </w:p>
        </w:tc>
        <w:tc>
          <w:tcPr>
            <w:tcW w:type="dxa" w:w="2160"/>
            <w:tcMar>
              <w:top w:w="110" w:type="dxa"/>
              <w:bottom w:w="11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Conv2D (64, 3x3)</w:t>
            </w:r>
          </w:p>
        </w:tc>
        <w:tc>
          <w:tcPr>
            <w:tcW w:type="dxa" w:w="1728"/>
            <w:tcMar>
              <w:top w:w="110" w:type="dxa"/>
              <w:bottom w:w="11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(None, 64, 64, 64)</w:t>
            </w:r>
          </w:p>
        </w:tc>
        <w:tc>
          <w:tcPr>
            <w:tcW w:type="dxa" w:w="1296"/>
            <w:tcMar>
              <w:top w:w="110" w:type="dxa"/>
              <w:bottom w:w="11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18,496</w:t>
            </w:r>
          </w:p>
        </w:tc>
        <w:tc>
          <w:tcPr>
            <w:tcW w:type="dxa" w:w="2592"/>
            <w:tcMar>
              <w:top w:w="110" w:type="dxa"/>
              <w:bottom w:w="11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Líneas 108–114</w:t>
            </w:r>
          </w:p>
        </w:tc>
      </w:tr>
      <w:tr>
        <w:trPr/>
        <w:tc>
          <w:tcPr>
            <w:tcW w:type="dxa" w:w="2592"/>
            <w:tcMar>
              <w:top w:w="110" w:type="dxa"/>
              <w:bottom w:w="11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Capa Oculta 5</w:t>
            </w:r>
          </w:p>
        </w:tc>
        <w:tc>
          <w:tcPr>
            <w:tcW w:type="dxa" w:w="2160"/>
            <w:tcMar>
              <w:top w:w="110" w:type="dxa"/>
              <w:bottom w:w="11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MaxPooling2D (2x2)</w:t>
            </w:r>
          </w:p>
        </w:tc>
        <w:tc>
          <w:tcPr>
            <w:tcW w:type="dxa" w:w="1728"/>
            <w:tcMar>
              <w:top w:w="110" w:type="dxa"/>
              <w:bottom w:w="11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(None, 32, 32, 64)</w:t>
            </w:r>
          </w:p>
        </w:tc>
        <w:tc>
          <w:tcPr>
            <w:tcW w:type="dxa" w:w="1296"/>
            <w:tcMar>
              <w:top w:w="110" w:type="dxa"/>
              <w:bottom w:w="11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0</w:t>
            </w:r>
          </w:p>
        </w:tc>
        <w:tc>
          <w:tcPr>
            <w:tcW w:type="dxa" w:w="2592"/>
            <w:tcMar>
              <w:top w:w="110" w:type="dxa"/>
              <w:bottom w:w="11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Línea 117</w:t>
            </w:r>
          </w:p>
        </w:tc>
      </w:tr>
      <w:tr>
        <w:trPr/>
        <w:tc>
          <w:tcPr>
            <w:tcW w:type="dxa" w:w="2592"/>
            <w:tcMar>
              <w:top w:w="110" w:type="dxa"/>
              <w:bottom w:w="11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Capa Oculta 6</w:t>
            </w:r>
          </w:p>
        </w:tc>
        <w:tc>
          <w:tcPr>
            <w:tcW w:type="dxa" w:w="2160"/>
            <w:tcMar>
              <w:top w:w="110" w:type="dxa"/>
              <w:bottom w:w="11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Dropout (0.30)</w:t>
            </w:r>
          </w:p>
        </w:tc>
        <w:tc>
          <w:tcPr>
            <w:tcW w:type="dxa" w:w="1728"/>
            <w:tcMar>
              <w:top w:w="110" w:type="dxa"/>
              <w:bottom w:w="11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(None, 32, 32, 64)</w:t>
            </w:r>
          </w:p>
        </w:tc>
        <w:tc>
          <w:tcPr>
            <w:tcW w:type="dxa" w:w="1296"/>
            <w:tcMar>
              <w:top w:w="110" w:type="dxa"/>
              <w:bottom w:w="11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0</w:t>
            </w:r>
          </w:p>
        </w:tc>
        <w:tc>
          <w:tcPr>
            <w:tcW w:type="dxa" w:w="2592"/>
            <w:tcMar>
              <w:top w:w="110" w:type="dxa"/>
              <w:bottom w:w="11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Línea 120</w:t>
            </w:r>
          </w:p>
        </w:tc>
      </w:tr>
      <w:tr>
        <w:trPr/>
        <w:tc>
          <w:tcPr>
            <w:tcW w:type="dxa" w:w="2592"/>
            <w:tcMar>
              <w:top w:w="110" w:type="dxa"/>
              <w:bottom w:w="11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Capa Oculta 7 (Conv 3)</w:t>
            </w:r>
          </w:p>
        </w:tc>
        <w:tc>
          <w:tcPr>
            <w:tcW w:type="dxa" w:w="2160"/>
            <w:tcMar>
              <w:top w:w="110" w:type="dxa"/>
              <w:bottom w:w="11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SeparableConv2D (128)</w:t>
            </w:r>
          </w:p>
        </w:tc>
        <w:tc>
          <w:tcPr>
            <w:tcW w:type="dxa" w:w="1728"/>
            <w:tcMar>
              <w:top w:w="110" w:type="dxa"/>
              <w:bottom w:w="11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(None, 32, 32, 128)</w:t>
            </w:r>
          </w:p>
        </w:tc>
        <w:tc>
          <w:tcPr>
            <w:tcW w:type="dxa" w:w="1296"/>
            <w:tcMar>
              <w:top w:w="110" w:type="dxa"/>
              <w:bottom w:w="11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8,896</w:t>
            </w:r>
          </w:p>
        </w:tc>
        <w:tc>
          <w:tcPr>
            <w:tcW w:type="dxa" w:w="2592"/>
            <w:tcMar>
              <w:top w:w="110" w:type="dxa"/>
              <w:bottom w:w="11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Líneas 124–130</w:t>
            </w:r>
          </w:p>
        </w:tc>
      </w:tr>
      <w:tr>
        <w:trPr/>
        <w:tc>
          <w:tcPr>
            <w:tcW w:type="dxa" w:w="2592"/>
            <w:tcMar>
              <w:top w:w="110" w:type="dxa"/>
              <w:bottom w:w="11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Capa Oculta 8</w:t>
            </w:r>
          </w:p>
        </w:tc>
        <w:tc>
          <w:tcPr>
            <w:tcW w:type="dxa" w:w="2160"/>
            <w:tcMar>
              <w:top w:w="110" w:type="dxa"/>
              <w:bottom w:w="11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GlobalAvgPooling2D</w:t>
            </w:r>
          </w:p>
        </w:tc>
        <w:tc>
          <w:tcPr>
            <w:tcW w:type="dxa" w:w="1728"/>
            <w:tcMar>
              <w:top w:w="110" w:type="dxa"/>
              <w:bottom w:w="11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(None, 128)</w:t>
            </w:r>
          </w:p>
        </w:tc>
        <w:tc>
          <w:tcPr>
            <w:tcW w:type="dxa" w:w="1296"/>
            <w:tcMar>
              <w:top w:w="110" w:type="dxa"/>
              <w:bottom w:w="11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0</w:t>
            </w:r>
          </w:p>
        </w:tc>
        <w:tc>
          <w:tcPr>
            <w:tcW w:type="dxa" w:w="2592"/>
            <w:tcMar>
              <w:top w:w="110" w:type="dxa"/>
              <w:bottom w:w="11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Línea 133</w:t>
            </w:r>
          </w:p>
        </w:tc>
      </w:tr>
      <w:tr>
        <w:trPr/>
        <w:tc>
          <w:tcPr>
            <w:tcW w:type="dxa" w:w="2592"/>
            <w:tcMar>
              <w:top w:w="110" w:type="dxa"/>
              <w:bottom w:w="11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Capa Oculta 9</w:t>
            </w:r>
          </w:p>
        </w:tc>
        <w:tc>
          <w:tcPr>
            <w:tcW w:type="dxa" w:w="2160"/>
            <w:tcMar>
              <w:top w:w="110" w:type="dxa"/>
              <w:bottom w:w="11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Dense (64, ReLU)</w:t>
            </w:r>
          </w:p>
        </w:tc>
        <w:tc>
          <w:tcPr>
            <w:tcW w:type="dxa" w:w="1728"/>
            <w:tcMar>
              <w:top w:w="110" w:type="dxa"/>
              <w:bottom w:w="11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(None, 64)</w:t>
            </w:r>
          </w:p>
        </w:tc>
        <w:tc>
          <w:tcPr>
            <w:tcW w:type="dxa" w:w="1296"/>
            <w:tcMar>
              <w:top w:w="110" w:type="dxa"/>
              <w:bottom w:w="11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8,256</w:t>
            </w:r>
          </w:p>
        </w:tc>
        <w:tc>
          <w:tcPr>
            <w:tcW w:type="dxa" w:w="2592"/>
            <w:tcMar>
              <w:top w:w="110" w:type="dxa"/>
              <w:bottom w:w="11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Línea 136</w:t>
            </w:r>
          </w:p>
        </w:tc>
      </w:tr>
      <w:tr>
        <w:trPr/>
        <w:tc>
          <w:tcPr>
            <w:tcW w:type="dxa" w:w="2592"/>
            <w:tcMar>
              <w:top w:w="110" w:type="dxa"/>
              <w:bottom w:w="11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Capa Oculta 10</w:t>
            </w:r>
          </w:p>
        </w:tc>
        <w:tc>
          <w:tcPr>
            <w:tcW w:type="dxa" w:w="2160"/>
            <w:tcMar>
              <w:top w:w="110" w:type="dxa"/>
              <w:bottom w:w="11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Dropout (0.40)</w:t>
            </w:r>
          </w:p>
        </w:tc>
        <w:tc>
          <w:tcPr>
            <w:tcW w:type="dxa" w:w="1728"/>
            <w:tcMar>
              <w:top w:w="110" w:type="dxa"/>
              <w:bottom w:w="11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(None, 64)</w:t>
            </w:r>
          </w:p>
        </w:tc>
        <w:tc>
          <w:tcPr>
            <w:tcW w:type="dxa" w:w="1296"/>
            <w:tcMar>
              <w:top w:w="110" w:type="dxa"/>
              <w:bottom w:w="11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0</w:t>
            </w:r>
          </w:p>
        </w:tc>
        <w:tc>
          <w:tcPr>
            <w:tcW w:type="dxa" w:w="2592"/>
            <w:tcMar>
              <w:top w:w="110" w:type="dxa"/>
              <w:bottom w:w="11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Línea 137</w:t>
            </w:r>
          </w:p>
        </w:tc>
      </w:tr>
    </w:tbl>
    <w:p>
      <w:pPr>
        <w:spacing w:after="160"/>
      </w:pPr>
    </w:p>
    <w:p>
      <w:pPr>
        <w:pStyle w:val="Heading1"/>
        <w:spacing w:before="320" w:after="160"/>
      </w:pPr>
      <w:r>
        <w:rPr>
          <w:rFonts w:ascii="Calibri" w:hAnsi="Calibri"/>
          <w:color w:val="1E3A8A"/>
        </w:rPr>
        <w:t>4. Resultados y Evaluación Experimental</w:t>
      </w:r>
    </w:p>
    <w:p>
      <w:pPr>
        <w:pStyle w:val="Heading2"/>
      </w:pPr>
      <w:r>
        <w:t>4.1. Dinámica del Entrenamiento y Convergencia</w:t>
      </w:r>
    </w:p>
    <w:p>
      <w:pPr>
        <w:spacing w:line="276" w:lineRule="auto" w:after="120"/>
      </w:pPr>
      <w:r>
        <w:t>El entrenamiento se ejecutó empleando el optimizador Adam (learning_rate = 0.001) y la función de costo Binary Crossentropy ponderada. Se implementó una política de callbacks reactivos compuesta por ModelCheckpoint (guardado exclusivo ante mejoras en val_accuracy), ReduceLROnPlateau (factor 0.5 con paciencia 2) y EarlyStopping (restauración automática de los mejores pesos de validación).</w:t>
      </w:r>
    </w:p>
    <w:p>
      <w:pPr>
        <w:spacing w:before="120" w:after="40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486400" cy="195942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ining_curv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594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64748B"/>
          <w:sz w:val="17"/>
        </w:rPr>
        <w:t>Figura 1: Curvas de Aprendizaje (Pérdida y Precisión por Época para Entrenamiento y Validación).</w:t>
      </w:r>
    </w:p>
    <w:p>
      <w:pPr>
        <w:spacing w:line="276" w:lineRule="auto" w:after="160"/>
      </w:pPr>
      <w:r>
        <w:t>Como se observa en la Figura 1, la función de costo desciende consistentemente sin oscilaciones divergentes. La mejor época de validación se alcanzó en la Época 7 con una exactitud de validación del 91.05% y pérdida reducida a 0.3437. Los mecanismos de regularización (Dropout y BatchNormalization) evitaron exitosamente el sobreajuste, manteniendo una estrecha proximidad entre las curvas de entrenamiento y validación.</w:t>
      </w:r>
    </w:p>
    <w:p>
      <w:pPr>
        <w:pStyle w:val="Heading2"/>
      </w:pPr>
      <w:r>
        <w:t>4.2. Métricas Globales en Conjunto de Prueba Ciego (N = 1,408 muestras)</w:t>
      </w:r>
    </w:p>
    <w:p>
      <w:pPr>
        <w:spacing w:line="276" w:lineRule="auto" w:after="80"/>
      </w:pPr>
      <w:r>
        <w:t>Para validar la fiabilidad real del sistema, se ejecutó una evaluación independiente sobre 1,408 imágenes de prueba completamente aisladas del entrenamiento (658 imágenes reales de 'Non Drowsy' y 750 de 'Drowsy').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68"/>
            <w:tcMar>
              <w:top w:w="110" w:type="dxa"/>
              <w:bottom w:w="110" w:type="dxa"/>
              <w:left w:w="140" w:type="dxa"/>
              <w:right w:w="140" w:type="dxa"/>
            </w:tcMar>
            <w:shd w:fill="1E3A8A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Métrica Cuantitativa</w:t>
            </w:r>
          </w:p>
        </w:tc>
        <w:tc>
          <w:tcPr>
            <w:tcW w:type="dxa" w:w="2160"/>
            <w:tcMar>
              <w:top w:w="110" w:type="dxa"/>
              <w:bottom w:w="110" w:type="dxa"/>
              <w:left w:w="140" w:type="dxa"/>
              <w:right w:w="140" w:type="dxa"/>
            </w:tcMar>
            <w:shd w:fill="1E3A8A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Valor Obtenido</w:t>
            </w:r>
          </w:p>
        </w:tc>
        <w:tc>
          <w:tcPr>
            <w:tcW w:type="dxa" w:w="4032"/>
            <w:tcMar>
              <w:top w:w="110" w:type="dxa"/>
              <w:bottom w:w="110" w:type="dxa"/>
              <w:left w:w="140" w:type="dxa"/>
              <w:right w:w="140" w:type="dxa"/>
            </w:tcMar>
            <w:shd w:fill="1E3A8A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Interpretación Operativa en Seguridad Vial</w:t>
            </w:r>
          </w:p>
        </w:tc>
      </w:tr>
      <w:tr>
        <w:trPr/>
        <w:tc>
          <w:tcPr>
            <w:tcW w:type="dxa" w:w="3168"/>
            <w:tcMar>
              <w:top w:w="110" w:type="dxa"/>
              <w:bottom w:w="11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Exactitud Global (Accuracy)</w:t>
            </w:r>
          </w:p>
        </w:tc>
        <w:tc>
          <w:tcPr>
            <w:tcW w:type="dxa" w:w="2160"/>
            <w:tcMar>
              <w:top w:w="110" w:type="dxa"/>
              <w:bottom w:w="11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91.34%</w:t>
            </w:r>
          </w:p>
        </w:tc>
        <w:tc>
          <w:tcPr>
            <w:tcW w:type="dxa" w:w="4032"/>
            <w:tcMar>
              <w:top w:w="110" w:type="dxa"/>
              <w:bottom w:w="11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1,286 de 1,408 casos de prueba clasificados correctamente.</w:t>
            </w:r>
          </w:p>
        </w:tc>
      </w:tr>
      <w:tr>
        <w:trPr/>
        <w:tc>
          <w:tcPr>
            <w:tcW w:type="dxa" w:w="3168"/>
            <w:tcMar>
              <w:top w:w="110" w:type="dxa"/>
              <w:bottom w:w="11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Área bajo la Curva ROC (AUC)</w:t>
            </w:r>
          </w:p>
        </w:tc>
        <w:tc>
          <w:tcPr>
            <w:tcW w:type="dxa" w:w="2160"/>
            <w:tcMar>
              <w:top w:w="110" w:type="dxa"/>
              <w:bottom w:w="11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0.9751</w:t>
            </w:r>
          </w:p>
        </w:tc>
        <w:tc>
          <w:tcPr>
            <w:tcW w:type="dxa" w:w="4032"/>
            <w:tcMar>
              <w:top w:w="110" w:type="dxa"/>
              <w:bottom w:w="11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Separabilidad de clases excelente, superando ampliamente el estándar 0.90.</w:t>
            </w:r>
          </w:p>
        </w:tc>
      </w:tr>
      <w:tr>
        <w:trPr/>
        <w:tc>
          <w:tcPr>
            <w:tcW w:type="dxa" w:w="3168"/>
            <w:tcMar>
              <w:top w:w="110" w:type="dxa"/>
              <w:bottom w:w="11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Recall / Sensibilidad (Drowsy)</w:t>
            </w:r>
          </w:p>
        </w:tc>
        <w:tc>
          <w:tcPr>
            <w:tcW w:type="dxa" w:w="2160"/>
            <w:tcMar>
              <w:top w:w="110" w:type="dxa"/>
              <w:bottom w:w="11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91.47%</w:t>
            </w:r>
          </w:p>
        </w:tc>
        <w:tc>
          <w:tcPr>
            <w:tcW w:type="dxa" w:w="4032"/>
            <w:tcMar>
              <w:top w:w="110" w:type="dxa"/>
              <w:bottom w:w="11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Identifica a 91.47 de cada 100 conductores con fatiga real (crítico para prevenir accidentes).</w:t>
            </w:r>
          </w:p>
        </w:tc>
      </w:tr>
      <w:tr>
        <w:trPr/>
        <w:tc>
          <w:tcPr>
            <w:tcW w:type="dxa" w:w="3168"/>
            <w:tcMar>
              <w:top w:w="110" w:type="dxa"/>
              <w:bottom w:w="11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Precisión (Drowsy)</w:t>
            </w:r>
          </w:p>
        </w:tc>
        <w:tc>
          <w:tcPr>
            <w:tcW w:type="dxa" w:w="2160"/>
            <w:tcMar>
              <w:top w:w="110" w:type="dxa"/>
              <w:bottom w:w="11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92.20%</w:t>
            </w:r>
          </w:p>
        </w:tc>
        <w:tc>
          <w:tcPr>
            <w:tcW w:type="dxa" w:w="4032"/>
            <w:tcMar>
              <w:top w:w="110" w:type="dxa"/>
              <w:bottom w:w="11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El 92.20% de las alarmas de fatiga emitidas son plenamente certeras.</w:t>
            </w:r>
          </w:p>
        </w:tc>
      </w:tr>
      <w:tr>
        <w:trPr/>
        <w:tc>
          <w:tcPr>
            <w:tcW w:type="dxa" w:w="3168"/>
            <w:tcMar>
              <w:top w:w="110" w:type="dxa"/>
              <w:bottom w:w="11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Acierto en Despierto (Recall Non Drowsy)</w:t>
            </w:r>
          </w:p>
        </w:tc>
        <w:tc>
          <w:tcPr>
            <w:tcW w:type="dxa" w:w="2160"/>
            <w:tcMar>
              <w:top w:w="110" w:type="dxa"/>
              <w:bottom w:w="11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91.19%</w:t>
            </w:r>
          </w:p>
        </w:tc>
        <w:tc>
          <w:tcPr>
            <w:tcW w:type="dxa" w:w="4032"/>
            <w:tcMar>
              <w:top w:w="110" w:type="dxa"/>
              <w:bottom w:w="11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Fidelidad ante conductores alerta: 91.19% de conductores despiertos reconocidos con éxito.</w:t>
            </w:r>
          </w:p>
        </w:tc>
      </w:tr>
      <w:tr>
        <w:trPr/>
        <w:tc>
          <w:tcPr>
            <w:tcW w:type="dxa" w:w="3168"/>
            <w:tcMar>
              <w:top w:w="110" w:type="dxa"/>
              <w:bottom w:w="11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F1-Score Armónico</w:t>
            </w:r>
          </w:p>
        </w:tc>
        <w:tc>
          <w:tcPr>
            <w:tcW w:type="dxa" w:w="2160"/>
            <w:tcMar>
              <w:top w:w="110" w:type="dxa"/>
              <w:bottom w:w="11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0.9183</w:t>
            </w:r>
          </w:p>
        </w:tc>
        <w:tc>
          <w:tcPr>
            <w:tcW w:type="dxa" w:w="4032"/>
            <w:tcMar>
              <w:top w:w="110" w:type="dxa"/>
              <w:bottom w:w="11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F2937"/>
                <w:sz w:val="18"/>
              </w:rPr>
              <w:t>Equilibrio armónico óptimo entre sensibilidad y precisión.</w:t>
            </w:r>
          </w:p>
        </w:tc>
      </w:tr>
    </w:tbl>
    <w:p>
      <w:pPr>
        <w:spacing w:after="160"/>
      </w:pPr>
    </w:p>
    <w:p>
      <w:pPr>
        <w:pStyle w:val="Heading2"/>
      </w:pPr>
      <w:r>
        <w:t>4.3. Capacidad de Discriminación y Análisis ROC-AUC</w:t>
      </w:r>
    </w:p>
    <w:p>
      <w:pPr>
        <w:spacing w:line="276" w:lineRule="auto" w:after="120"/>
      </w:pPr>
      <w:r>
        <w:t>La Curva de Características Operativas del Receptor (ROC) representa la relación entre la Tasa de Verdaderos Positivos (TPR / Recall) y la Tasa de Falsos Positivos (FPR) a través de todos los umbrales de decisión posibles:</w:t>
      </w:r>
    </w:p>
    <w:p>
      <w:pPr>
        <w:spacing w:before="120" w:after="40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4114800" cy="352697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c_curv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5269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64748B"/>
          <w:sz w:val="17"/>
        </w:rPr>
        <w:t>Figura 2: Curva ROC (Receiver Operating Characteristic) y Área bajo la Curva (AUC = 0.9751).</w:t>
      </w:r>
    </w:p>
    <w:p>
      <w:pPr>
        <w:spacing w:line="276" w:lineRule="auto" w:after="160"/>
      </w:pPr>
      <w:r>
        <w:t>Con un valor sobresaliente de AUC = 0.9751, la curva asciende verticalmente pegada al eje superior izquierdo. Esto demuestra que, si se selecciona al azar un conductor somnoliento y uno despierto, la red convolucional asigna una probabilidad de fatiga más alta al conductor somnoliento en el 97.51% de las ocasiones.</w:t>
      </w:r>
    </w:p>
    <w:p>
      <w:pPr>
        <w:pStyle w:val="Heading2"/>
      </w:pPr>
      <w:r>
        <w:t>4.4. Matriz de Confusión y Mitigación de Falsas Alarmas</w:t>
      </w:r>
    </w:p>
    <w:p>
      <w:pPr>
        <w:spacing w:line="276" w:lineRule="auto" w:after="120"/>
      </w:pPr>
      <w:r>
        <w:t>El análisis de la matriz de confusión normalizada (Figura 3) certifica el salto cualitativo logrado tras las optimizaciones:</w:t>
      </w:r>
    </w:p>
    <w:p>
      <w:pPr>
        <w:spacing w:before="120" w:after="40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4023360" cy="344859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fusion_matrix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23360" cy="34485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64748B"/>
          <w:sz w:val="17"/>
        </w:rPr>
        <w:t>Figura 3: Matriz de Confusión Normalizada del Conjunto de Prueba Independiente.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4F8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left w:val="single" w:sz="36" w:space="0" w:color="0284C7"/>
              <w:top w:val="none"/>
              <w:right w:val="none"/>
              <w:bottom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color w:val="0284C7"/>
                <w:sz w:val="20"/>
              </w:rPr>
              <w:t>📌 Impacto Práctico en la Experiencia de Conducción</w:t>
              <w:br/>
            </w:r>
            <w:r>
              <w:rPr>
                <w:rFonts w:ascii="Calibri" w:hAnsi="Calibri"/>
                <w:i/>
                <w:color w:val="1E293B"/>
                <w:sz w:val="19"/>
              </w:rPr>
              <w:t>Comparativa de Mitigación de Falsas Alarmas:</w:t>
              <w:br/>
              <w:t>• Modelo Anterior (sin optimización): El 24.91% de los conductores despiertos eran clasificados erróneamente como somnolientos, provocando falsas alarmas recurrentes.</w:t>
              <w:br/>
              <w:t>• Modelo Nuevo Optimizado (con Class Weighting y Data Augmentation): La tasa de falsas alarmas se desplomó al 8.81% (reducción de casi dos tercios). El acierto en conductores despiertos se elevó al 91.19% y en somnolientos al 91.47%.</w:t>
              <w:br/>
              <w:t>• En la aplicación en vivo, el restante 8.8% es completamente neutralizado por el filtro temporal EMA y el acumulador de 15 frames, logrando un funcionamiento libre de falsas alarmas en el uso real.</w:t>
            </w:r>
          </w:p>
        </w:tc>
      </w:tr>
    </w:tbl>
    <w:p>
      <w:pPr>
        <w:spacing w:after="80"/>
      </w:pPr>
    </w:p>
    <w:p>
      <w:pPr>
        <w:pStyle w:val="Heading1"/>
        <w:spacing w:before="320" w:after="160"/>
      </w:pPr>
      <w:r>
        <w:rPr>
          <w:rFonts w:ascii="Calibri" w:hAnsi="Calibri"/>
          <w:color w:val="1E3A8A"/>
        </w:rPr>
        <w:t>5. Conclusiones y Recomendaciones</w:t>
      </w:r>
    </w:p>
    <w:p>
      <w:pPr>
        <w:pStyle w:val="Heading2"/>
      </w:pPr>
      <w:r>
        <w:t>5.1. Conclusiones Principales</w:t>
      </w:r>
    </w:p>
    <w:p>
      <w:pPr>
        <w:pStyle w:val="ListBullet"/>
        <w:spacing w:line="276" w:lineRule="auto" w:after="80"/>
      </w:pPr>
      <w:r>
        <w:rPr>
          <w:b/>
          <w:color w:val="1E3A8A"/>
        </w:rPr>
        <w:t>Eficacia y Viabilidad de la CNN de 3 Ciclos:</w:t>
      </w:r>
      <w:r>
        <w:t xml:space="preserve"> Se demostró que una arquitectura compacta de 36,737 parámetros (~143.5 KB) es capaz de alcanzar un 91.34% de exactitud y un AUC de 0.9751, ofreciendo latencias inferiores a 12 ms en CPU convencional.</w:t>
      </w:r>
    </w:p>
    <w:p>
      <w:pPr>
        <w:pStyle w:val="ListBullet"/>
        <w:spacing w:line="276" w:lineRule="auto" w:after="80"/>
      </w:pPr>
      <w:r>
        <w:rPr>
          <w:b/>
          <w:color w:val="1E3A8A"/>
        </w:rPr>
        <w:t>Alta Fidelidad ante Conductores Despiertos:</w:t>
      </w:r>
      <w:r>
        <w:t xml:space="preserve"> Gracias a la ponderación de clases y al Data Augmentation, el reconocimiento de conductores alerta escaló del 75.09% al 91.19%, eliminando las falsas alarmas que inutilizaban versiones previas del prototipo.</w:t>
      </w:r>
    </w:p>
    <w:p>
      <w:pPr>
        <w:pStyle w:val="ListBullet"/>
        <w:spacing w:line="276" w:lineRule="auto" w:after="80"/>
      </w:pPr>
      <w:r>
        <w:rPr>
          <w:b/>
          <w:color w:val="1E3A8A"/>
        </w:rPr>
        <w:t>Sinergia entre Deep Learning y Procesamiento en Tiempo Real:</w:t>
      </w:r>
      <w:r>
        <w:t xml:space="preserve"> La combinación del Enfoque Facial Adaptativo (ROI 1:1), el Suavizado Temporal Antirruido (EMA) y la desacumulación acelerada del buffer demostró que el éxito de un sistema DMS radica no solo en los pesos del modelo, sino en la correcta ingeniería del pipeline temporal de video.</w:t>
      </w:r>
    </w:p>
    <w:p>
      <w:pPr>
        <w:pStyle w:val="ListBullet"/>
        <w:spacing w:line="276" w:lineRule="auto" w:after="80"/>
      </w:pPr>
      <w:r>
        <w:rPr>
          <w:b/>
          <w:color w:val="1E3A8A"/>
        </w:rPr>
        <w:t>Despliegue Funcional Completo en Streamlit:</w:t>
      </w:r>
      <w:r>
        <w:t xml:space="preserve"> La plataforma desarrollada (app.py) integra con éxito las 3 dimensiones requeridas: demostración práctica para conductores (MVP con HUD y audio), auditoría experimental de métricas (tablas y gráficas dinámicas) y documentación técnica de arquitectura.</w:t>
      </w:r>
    </w:p>
    <w:p>
      <w:pPr>
        <w:pStyle w:val="Heading2"/>
      </w:pPr>
      <w:r>
        <w:t>5.2. Recomendaciones y Trabajo Futuro</w:t>
      </w:r>
    </w:p>
    <w:p>
      <w:pPr>
        <w:pStyle w:val="ListBullet"/>
        <w:spacing w:line="276" w:lineRule="auto" w:after="80"/>
      </w:pPr>
      <w:r>
        <w:rPr>
          <w:b/>
          <w:color w:val="0284C7"/>
        </w:rPr>
        <w:t>Arquitecturas Híbridas Espacio-Temporales (CNN-LSTM / CNN-GRU):</w:t>
      </w:r>
      <w:r>
        <w:t xml:space="preserve"> Sustituir el buffer acumulativo por capas recurrentes que procesen secuencias temporales tridimensionales (16 a 30 fotogramas). Esto permitirá modelar la dinámica física y la aceleración del cierre palpebral.</w:t>
      </w:r>
    </w:p>
    <w:p>
      <w:pPr>
        <w:pStyle w:val="ListBullet"/>
        <w:spacing w:line="276" w:lineRule="auto" w:after="80"/>
      </w:pPr>
      <w:r>
        <w:rPr>
          <w:b/>
          <w:color w:val="0284C7"/>
        </w:rPr>
        <w:t>Fusión Multimodal con Malla Facial de Puntos Clave (MediaPipe):</w:t>
      </w:r>
      <w:r>
        <w:t xml:space="preserve"> Incorporar el cálculo geométrico del Eye Aspect Ratio (EAR) y Mouth Aspect Ratio (MAR) junto a la salida probabilística de la CNN mediante un ensamble ponderado para redundancia de seguridad automotriz.</w:t>
      </w:r>
    </w:p>
    <w:p>
      <w:pPr>
        <w:pStyle w:val="ListBullet"/>
        <w:spacing w:line="276" w:lineRule="auto" w:after="80"/>
      </w:pPr>
      <w:r>
        <w:rPr>
          <w:b/>
          <w:color w:val="0284C7"/>
        </w:rPr>
        <w:t>Cámaras Infrarrojas Cercanas (NIR) para Conducción Nocturna:</w:t>
      </w:r>
      <w:r>
        <w:t xml:space="preserve"> Reentrenar o ajustar por Transfer Learning con imágenes en espectro infrarrojo cercano para garantizar operatividad cuando la cabina esté en penumbra total durante viajes nocturnos.</w:t>
      </w:r>
    </w:p>
    <w:p>
      <w:pPr>
        <w:pStyle w:val="ListBullet"/>
        <w:spacing w:line="276" w:lineRule="auto" w:after="80"/>
      </w:pPr>
      <w:r>
        <w:rPr>
          <w:b/>
          <w:color w:val="0284C7"/>
        </w:rPr>
        <w:t>Cuantización y Despliegue en Edge Computing (TFLite INT8):</w:t>
      </w:r>
      <w:r>
        <w:t xml:space="preserve"> Cuantizar el modelo a enteros de 8 bits (TFLite INT8) para reducir su tamaño a menos de 50 KB y desplegarlo en microcontroladores de bajo consumo o SBCs (Raspberry Pi 5, NVIDIA Jetson Orin Nano) integrables directamente al retrovisor del vehículo.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94A3B8"/>
        <w:sz w:val="17"/>
      </w:rPr>
      <w:t>Página 1  —  Sistema de Detección de Somnolencia Vehicular en Tiempo Real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94A3B8"/>
        <w:sz w:val="17"/>
      </w:rPr>
      <w:t>🚗 GuardDrive AI | Informe Técnico de Ingeniería &amp; Deep Learning (Sprint 2)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