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sz w:val="28"/>
        </w:rPr>
        <w:t>Documentación técnica</w:t>
      </w:r>
    </w:p>
    <w:p>
      <w:pPr>
        <w:pStyle w:val="Subtitle"/>
      </w:pPr>
      <w:r>
        <w:t>Análisis impacto de eliminar facturación perú — Back y Base de Datos</w:t>
      </w:r>
    </w:p>
    <w:p>
      <w:pPr/>
    </w:p>
    <w:tbl>
      <w:tblPr>
        <w:tblW w:w="5000" w:type="pct"/>
      </w:tblPr>
      <w:tblGrid>
        <w:gridCol w:w="4500"/>
        <w:gridCol w:w="4500"/>
      </w:tblGrid>
      <w:tr>
        <w:tc>
          <w:tcPr>
            <w:shd w:val="clear" w:color="auto" w:fill="DEEAF6"/>
            <w:tcBorders>
              <w:top w:val="single" w:sz="4" w:color="808080"/>
              <w:left w:val="single" w:sz="4" w:color="808080"/>
              <w:bottom w:val="single" w:sz="4" w:color="808080"/>
              <w:right w:val="single" w:sz="4" w:color="808080"/>
            </w:tcBorders>
          </w:tcPr>
          <w:p>
            <w:r/>
            <w:r>
              <w:rPr>
                <w:b/>
                <w:sz w:val="20"/>
              </w:rPr>
              <w:t>FORMATO</w:t>
            </w:r>
          </w:p>
        </w:tc>
        <w:tc>
          <w:tcPr>
            <w:tcBorders>
              <w:top w:val="single" w:sz="4" w:color="808080"/>
              <w:left w:val="single" w:sz="4" w:color="808080"/>
              <w:bottom w:val="single" w:sz="4" w:color="808080"/>
              <w:right w:val="single" w:sz="4" w:color="808080"/>
            </w:tcBorders>
          </w:tcPr>
          <w:p>
            <w:r/>
            <w:r>
              <w:rPr>
                <w:sz w:val="20"/>
              </w:rPr>
              <w:t>Arquitectura</w:t>
            </w:r>
          </w:p>
        </w:tc>
      </w:tr>
      <w:tr>
        <w:tc>
          <w:tcPr>
            <w:shd w:val="clear" w:color="auto" w:fill="DEEAF6"/>
            <w:tcBorders>
              <w:top w:val="single" w:sz="4" w:color="808080"/>
              <w:left w:val="single" w:sz="4" w:color="808080"/>
              <w:bottom w:val="single" w:sz="4" w:color="808080"/>
              <w:right w:val="single" w:sz="4" w:color="808080"/>
            </w:tcBorders>
          </w:tcPr>
          <w:p>
            <w:r/>
            <w:r>
              <w:rPr>
                <w:b/>
                <w:sz w:val="20"/>
              </w:rPr>
              <w:t>PROYECTO</w:t>
            </w:r>
          </w:p>
        </w:tc>
        <w:tc>
          <w:tcPr>
            <w:tcBorders>
              <w:top w:val="single" w:sz="4" w:color="808080"/>
              <w:left w:val="single" w:sz="4" w:color="808080"/>
              <w:bottom w:val="single" w:sz="4" w:color="808080"/>
              <w:right w:val="single" w:sz="4" w:color="808080"/>
            </w:tcBorders>
          </w:tcPr>
          <w:p>
            <w:r/>
            <w:r>
              <w:rPr>
                <w:sz w:val="20"/>
              </w:rPr>
              <w:t>R16 — ProquifaDotNet (TPSC)</w:t>
            </w:r>
          </w:p>
        </w:tc>
      </w:tr>
      <w:tr>
        <w:tc>
          <w:tcPr>
            <w:shd w:val="clear" w:color="auto" w:fill="DEEAF6"/>
            <w:tcBorders>
              <w:top w:val="single" w:sz="4" w:color="808080"/>
              <w:left w:val="single" w:sz="4" w:color="808080"/>
              <w:bottom w:val="single" w:sz="4" w:color="808080"/>
              <w:right w:val="single" w:sz="4" w:color="808080"/>
            </w:tcBorders>
          </w:tcPr>
          <w:p>
            <w:r/>
            <w:r>
              <w:rPr>
                <w:b/>
                <w:sz w:val="20"/>
              </w:rPr>
              <w:t>REFERENCIA</w:t>
            </w:r>
          </w:p>
        </w:tc>
        <w:tc>
          <w:tcPr>
            <w:tcBorders>
              <w:top w:val="single" w:sz="4" w:color="808080"/>
              <w:left w:val="single" w:sz="4" w:color="808080"/>
              <w:bottom w:val="single" w:sz="4" w:color="808080"/>
              <w:right w:val="single" w:sz="4" w:color="808080"/>
            </w:tcBorders>
          </w:tcPr>
          <w:p>
            <w:r/>
            <w:r>
              <w:rPr>
                <w:sz w:val="20"/>
              </w:rPr>
              <w:t>AUI-FOR-01</w:t>
            </w:r>
          </w:p>
        </w:tc>
      </w:tr>
      <w:tr>
        <w:tc>
          <w:tcPr>
            <w:shd w:val="clear" w:color="auto" w:fill="DEEAF6"/>
            <w:tcBorders>
              <w:top w:val="single" w:sz="4" w:color="808080"/>
              <w:left w:val="single" w:sz="4" w:color="808080"/>
              <w:bottom w:val="single" w:sz="4" w:color="808080"/>
              <w:right w:val="single" w:sz="4" w:color="808080"/>
            </w:tcBorders>
          </w:tcPr>
          <w:p>
            <w:r/>
            <w:r>
              <w:rPr>
                <w:b/>
                <w:sz w:val="20"/>
              </w:rPr>
              <w:t>VERSIÓN</w:t>
            </w:r>
          </w:p>
        </w:tc>
        <w:tc>
          <w:tcPr>
            <w:tcBorders>
              <w:top w:val="single" w:sz="4" w:color="808080"/>
              <w:left w:val="single" w:sz="4" w:color="808080"/>
              <w:bottom w:val="single" w:sz="4" w:color="808080"/>
              <w:right w:val="single" w:sz="4" w:color="808080"/>
            </w:tcBorders>
          </w:tcPr>
          <w:p>
            <w:r/>
            <w:r>
              <w:rPr>
                <w:sz w:val="20"/>
              </w:rPr>
              <w:t>1.0</w:t>
            </w:r>
          </w:p>
        </w:tc>
      </w:tr>
      <w:tr>
        <w:tc>
          <w:tcPr>
            <w:shd w:val="clear" w:color="auto" w:fill="DEEAF6"/>
            <w:tcBorders>
              <w:top w:val="single" w:sz="4" w:color="808080"/>
              <w:left w:val="single" w:sz="4" w:color="808080"/>
              <w:bottom w:val="single" w:sz="4" w:color="808080"/>
              <w:right w:val="single" w:sz="4" w:color="808080"/>
            </w:tcBorders>
          </w:tcPr>
          <w:p>
            <w:r/>
            <w:r>
              <w:rPr>
                <w:b/>
                <w:sz w:val="20"/>
              </w:rPr>
              <w:t>FECHA</w:t>
            </w:r>
          </w:p>
        </w:tc>
        <w:tc>
          <w:tcPr>
            <w:tcBorders>
              <w:top w:val="single" w:sz="4" w:color="808080"/>
              <w:left w:val="single" w:sz="4" w:color="808080"/>
              <w:bottom w:val="single" w:sz="4" w:color="808080"/>
              <w:right w:val="single" w:sz="4" w:color="808080"/>
            </w:tcBorders>
          </w:tcPr>
          <w:p>
            <w:r/>
            <w:r>
              <w:rPr>
                <w:sz w:val="20"/>
              </w:rPr>
              <w:t>17/07/2026</w:t>
            </w:r>
          </w:p>
        </w:tc>
      </w:tr>
      <w:tr>
        <w:tc>
          <w:tcPr>
            <w:shd w:val="clear" w:color="auto" w:fill="DEEAF6"/>
            <w:tcBorders>
              <w:top w:val="single" w:sz="4" w:color="808080"/>
              <w:left w:val="single" w:sz="4" w:color="808080"/>
              <w:bottom w:val="single" w:sz="4" w:color="808080"/>
              <w:right w:val="single" w:sz="4" w:color="808080"/>
            </w:tcBorders>
          </w:tcPr>
          <w:p>
            <w:r/>
            <w:r>
              <w:rPr>
                <w:b/>
                <w:sz w:val="20"/>
              </w:rPr>
              <w:t>AUTOR</w:t>
            </w:r>
          </w:p>
        </w:tc>
        <w:tc>
          <w:tcPr>
            <w:tcBorders>
              <w:top w:val="single" w:sz="4" w:color="808080"/>
              <w:left w:val="single" w:sz="4" w:color="808080"/>
              <w:bottom w:val="single" w:sz="4" w:color="808080"/>
              <w:right w:val="single" w:sz="4" w:color="808080"/>
            </w:tcBorders>
          </w:tcPr>
          <w:p>
            <w:r/>
            <w:r>
              <w:rPr>
                <w:sz w:val="20"/>
              </w:rPr>
              <w:t>Juan David García Garduño</w:t>
            </w:r>
          </w:p>
        </w:tc>
      </w:tr>
      <w:tr>
        <w:tc>
          <w:tcPr>
            <w:shd w:val="clear" w:color="auto" w:fill="DEEAF6"/>
            <w:tcBorders>
              <w:top w:val="single" w:sz="4" w:color="808080"/>
              <w:left w:val="single" w:sz="4" w:color="808080"/>
              <w:bottom w:val="single" w:sz="4" w:color="808080"/>
              <w:right w:val="single" w:sz="4" w:color="808080"/>
            </w:tcBorders>
          </w:tcPr>
          <w:p>
            <w:r/>
            <w:r>
              <w:rPr>
                <w:b/>
                <w:sz w:val="20"/>
              </w:rPr>
              <w:t>REVISOR</w:t>
            </w:r>
          </w:p>
        </w:tc>
        <w:tc>
          <w:tcPr>
            <w:tcBorders>
              <w:top w:val="single" w:sz="4" w:color="808080"/>
              <w:left w:val="single" w:sz="4" w:color="808080"/>
              <w:bottom w:val="single" w:sz="4" w:color="808080"/>
              <w:right w:val="single" w:sz="4" w:color="808080"/>
            </w:tcBorders>
          </w:tcPr>
          <w:p>
            <w:r/>
            <w:r>
              <w:rPr>
                <w:sz w:val="20"/>
              </w:rPr>
              <w:t>Valdemar Farina Sanchez</w:t>
            </w:r>
          </w:p>
        </w:tc>
      </w:tr>
    </w:tbl>
    <w:p>
      <w:pPr/>
    </w:p>
    <w:p>
      <w:pPr/>
    </w:p>
    <w:p>
      <w:pPr>
        <w:pStyle w:val="Subtitle"/>
      </w:pPr>
      <w:r>
        <w:t>Contenido</w:t>
      </w:r>
    </w:p>
    <w:p>
      <w:pPr/>
      <w:r>
        <w:rPr>
          <w:sz w:val="22"/>
        </w:rPr>
        <w:t>Antecedentes</w:t>
      </w:r>
      <w:r>
        <w:rPr>
          <w:sz w:val="22"/>
        </w:rPr>
        <w:tab/>
        <w:t>3</w:t>
      </w:r>
    </w:p>
    <w:p>
      <w:pPr/>
      <w:r>
        <w:rPr>
          <w:sz w:val="22"/>
        </w:rPr>
        <w:t>Objetivos</w:t>
      </w:r>
      <w:r>
        <w:rPr>
          <w:sz w:val="22"/>
        </w:rPr>
        <w:tab/>
        <w:t>3</w:t>
      </w:r>
    </w:p>
    <w:p>
      <w:pPr/>
      <w:r>
        <w:rPr>
          <w:sz w:val="22"/>
        </w:rPr>
        <w:t>Problemática Identificada</w:t>
      </w:r>
      <w:r>
        <w:rPr>
          <w:sz w:val="22"/>
        </w:rPr>
        <w:tab/>
        <w:t>4</w:t>
      </w:r>
    </w:p>
    <w:p>
      <w:pPr/>
      <w:r>
        <w:rPr>
          <w:sz w:val="22"/>
        </w:rPr>
        <w:t>Evaluación Comparativa de Enfoques</w:t>
      </w:r>
      <w:r>
        <w:rPr>
          <w:sz w:val="22"/>
        </w:rPr>
        <w:tab/>
        <w:t>5</w:t>
      </w:r>
    </w:p>
    <w:p>
      <w:pPr/>
      <w:r>
        <w:rPr>
          <w:sz w:val="22"/>
        </w:rPr>
        <w:t>Análisis Técnico Detallado</w:t>
      </w:r>
      <w:r>
        <w:rPr>
          <w:sz w:val="22"/>
        </w:rPr>
        <w:tab/>
        <w:t>6</w:t>
      </w:r>
    </w:p>
    <w:p>
      <w:pPr/>
      <w:r>
        <w:rPr>
          <w:sz w:val="22"/>
        </w:rPr>
        <w:t xml:space="preserve">   Requisitos Cancelados (No se desarrollan para Perú)</w:t>
      </w:r>
      <w:r>
        <w:rPr>
          <w:sz w:val="22"/>
        </w:rPr>
        <w:tab/>
        <w:t>6</w:t>
      </w:r>
    </w:p>
    <w:p>
      <w:pPr/>
      <w:r>
        <w:rPr>
          <w:sz w:val="22"/>
        </w:rPr>
        <w:t xml:space="preserve">   Requisitos Simplificados (Flujo reducido para Perú)</w:t>
      </w:r>
      <w:r>
        <w:rPr>
          <w:sz w:val="22"/>
        </w:rPr>
        <w:tab/>
        <w:t>7</w:t>
      </w:r>
    </w:p>
    <w:p>
      <w:pPr/>
      <w:r>
        <w:rPr>
          <w:sz w:val="22"/>
        </w:rPr>
        <w:t xml:space="preserve">      RE-027 — Validar Cobro: Paso 2 Perú</w:t>
      </w:r>
      <w:r>
        <w:rPr>
          <w:sz w:val="22"/>
        </w:rPr>
        <w:tab/>
        <w:t>7</w:t>
      </w:r>
    </w:p>
    <w:p>
      <w:pPr/>
      <w:r>
        <w:rPr>
          <w:sz w:val="22"/>
        </w:rPr>
        <w:t xml:space="preserve">      RE-029 — Validar Cobro: Paso 3 Perú</w:t>
      </w:r>
      <w:r>
        <w:rPr>
          <w:sz w:val="22"/>
        </w:rPr>
        <w:tab/>
        <w:t>7</w:t>
      </w:r>
    </w:p>
    <w:p>
      <w:pPr/>
      <w:r>
        <w:rPr>
          <w:sz w:val="22"/>
        </w:rPr>
        <w:t xml:space="preserve">   Requisitos Ajustados (Condicionales por región)</w:t>
      </w:r>
      <w:r>
        <w:rPr>
          <w:sz w:val="22"/>
        </w:rPr>
        <w:tab/>
        <w:t>8</w:t>
      </w:r>
    </w:p>
    <w:p>
      <w:pPr/>
      <w:r>
        <w:rPr>
          <w:sz w:val="22"/>
        </w:rPr>
        <w:t xml:space="preserve">   Requisitos Conservados (Sin cambios funcionales)</w:t>
      </w:r>
      <w:r>
        <w:rPr>
          <w:sz w:val="22"/>
        </w:rPr>
        <w:tab/>
        <w:t>9</w:t>
      </w:r>
    </w:p>
    <w:p>
      <w:pPr/>
      <w:r>
        <w:rPr>
          <w:sz w:val="22"/>
        </w:rPr>
        <w:t xml:space="preserve">   Limpieza de Referencias Cruzadas (Transversal)</w:t>
      </w:r>
      <w:r>
        <w:rPr>
          <w:sz w:val="22"/>
        </w:rPr>
        <w:tab/>
        <w:t>9</w:t>
      </w:r>
    </w:p>
    <w:p>
      <w:pPr/>
      <w:r>
        <w:rPr>
          <w:sz w:val="22"/>
        </w:rPr>
        <w:t>Impacto por Solución Back</w:t>
      </w:r>
      <w:r>
        <w:rPr>
          <w:sz w:val="22"/>
        </w:rPr>
        <w:tab/>
        <w:t>10</w:t>
      </w:r>
    </w:p>
    <w:p>
      <w:pPr/>
      <w:r>
        <w:rPr>
          <w:sz w:val="22"/>
        </w:rPr>
        <w:t xml:space="preserve">   ProquifaDotNet.Finanzas (.NET Core 10)</w:t>
      </w:r>
      <w:r>
        <w:rPr>
          <w:sz w:val="22"/>
        </w:rPr>
        <w:tab/>
        <w:t>10</w:t>
      </w:r>
    </w:p>
    <w:p>
      <w:pPr/>
      <w:r>
        <w:rPr>
          <w:sz w:val="22"/>
        </w:rPr>
        <w:t xml:space="preserve">   ProquifaDotNet.Timbrado (.NET Core 10)</w:t>
      </w:r>
      <w:r>
        <w:rPr>
          <w:sz w:val="22"/>
        </w:rPr>
        <w:tab/>
        <w:t>11</w:t>
      </w:r>
    </w:p>
    <w:p>
      <w:pPr/>
      <w:r>
        <w:rPr>
          <w:sz w:val="22"/>
        </w:rPr>
        <w:t xml:space="preserve">   ProquifaDotNet.LegacySync (.NET Core 10)</w:t>
      </w:r>
      <w:r>
        <w:rPr>
          <w:sz w:val="22"/>
        </w:rPr>
        <w:tab/>
        <w:t>11</w:t>
      </w:r>
    </w:p>
    <w:p>
      <w:pPr/>
      <w:r>
        <w:rPr>
          <w:sz w:val="22"/>
        </w:rPr>
        <w:t xml:space="preserve">   ProquifaDotNet (.NET Framework 4.8)</w:t>
      </w:r>
      <w:r>
        <w:rPr>
          <w:sz w:val="22"/>
        </w:rPr>
        <w:tab/>
        <w:t>12</w:t>
      </w:r>
    </w:p>
    <w:p>
      <w:pPr/>
      <w:r>
        <w:rPr>
          <w:sz w:val="22"/>
        </w:rPr>
        <w:t>Impacto por Módulo Base de Datos</w:t>
      </w:r>
      <w:r>
        <w:rPr>
          <w:sz w:val="22"/>
        </w:rPr>
        <w:tab/>
        <w:t>12</w:t>
      </w:r>
    </w:p>
    <w:p>
      <w:pPr/>
      <w:r>
        <w:rPr>
          <w:sz w:val="22"/>
        </w:rPr>
        <w:t xml:space="preserve">   BD ProquifaDotNet</w:t>
      </w:r>
      <w:r>
        <w:rPr>
          <w:sz w:val="22"/>
        </w:rPr>
        <w:tab/>
        <w:t>12</w:t>
      </w:r>
    </w:p>
    <w:p>
      <w:pPr/>
      <w:r>
        <w:rPr>
          <w:sz w:val="22"/>
        </w:rPr>
        <w:t xml:space="preserve">   BD ProquifaDotNetTimbrado</w:t>
      </w:r>
      <w:r>
        <w:rPr>
          <w:sz w:val="22"/>
        </w:rPr>
        <w:tab/>
        <w:t>13</w:t>
      </w:r>
    </w:p>
    <w:p>
      <w:pPr/>
      <w:r>
        <w:rPr>
          <w:sz w:val="22"/>
        </w:rPr>
        <w:t xml:space="preserve">   BD PConnectProquifaDotNet (LegacySync)</w:t>
      </w:r>
      <w:r>
        <w:rPr>
          <w:sz w:val="22"/>
        </w:rPr>
        <w:tab/>
        <w:t>13</w:t>
      </w:r>
    </w:p>
    <w:p>
      <w:pPr/>
      <w:r>
        <w:rPr>
          <w:sz w:val="22"/>
        </w:rPr>
        <w:t xml:space="preserve">   Scaffold EF Core (Finanzas)</w:t>
      </w:r>
      <w:r>
        <w:rPr>
          <w:sz w:val="22"/>
        </w:rPr>
        <w:tab/>
        <w:t>13</w:t>
      </w:r>
    </w:p>
    <w:p>
      <w:pPr/>
      <w:r>
        <w:rPr>
          <w:sz w:val="22"/>
        </w:rPr>
        <w:t>Flujo Final de Perú vs México (Arquitectura Back)</w:t>
      </w:r>
      <w:r>
        <w:rPr>
          <w:sz w:val="22"/>
        </w:rPr>
        <w:tab/>
        <w:t>14</w:t>
      </w:r>
    </w:p>
    <w:p>
      <w:pPr/>
      <w:r>
        <w:rPr>
          <w:sz w:val="22"/>
        </w:rPr>
        <w:t xml:space="preserve">   Flujo Técnico México (Completo)</w:t>
      </w:r>
      <w:r>
        <w:rPr>
          <w:sz w:val="22"/>
        </w:rPr>
        <w:tab/>
        <w:t>14</w:t>
      </w:r>
    </w:p>
    <w:p>
      <w:pPr/>
      <w:r>
        <w:rPr>
          <w:sz w:val="22"/>
        </w:rPr>
        <w:t xml:space="preserve">   Flujo Técnico Perú (Simplificado)</w:t>
      </w:r>
      <w:r>
        <w:rPr>
          <w:sz w:val="22"/>
        </w:rPr>
        <w:tab/>
        <w:t>15</w:t>
      </w:r>
    </w:p>
    <w:p>
      <w:pPr/>
      <w:r>
        <w:rPr>
          <w:sz w:val="22"/>
        </w:rPr>
        <w:t xml:space="preserve">   Aclaración sobre Prepago con Controlados en Perú (Back)</w:t>
      </w:r>
      <w:r>
        <w:rPr>
          <w:sz w:val="22"/>
        </w:rPr>
        <w:tab/>
        <w:t>15</w:t>
      </w:r>
    </w:p>
    <w:p>
      <w:pPr/>
      <w:r>
        <w:rPr>
          <w:sz w:val="22"/>
        </w:rPr>
        <w:t>Resumen Consolidado de Requisitos y Esfuerzo</w:t>
      </w:r>
      <w:r>
        <w:rPr>
          <w:sz w:val="22"/>
        </w:rPr>
        <w:tab/>
        <w:t>16</w:t>
      </w:r>
    </w:p>
    <w:p>
      <w:pPr/>
      <w:r>
        <w:rPr>
          <w:sz w:val="22"/>
        </w:rPr>
        <w:t xml:space="preserve">   Tabla Numérica por Categoría de Impacto</w:t>
      </w:r>
      <w:r>
        <w:rPr>
          <w:sz w:val="22"/>
        </w:rPr>
        <w:tab/>
        <w:t>16</w:t>
      </w:r>
    </w:p>
    <w:p>
      <w:pPr/>
      <w:r>
        <w:rPr>
          <w:sz w:val="22"/>
        </w:rPr>
        <w:t xml:space="preserve">   Resumen por Tipo de Requisito Original</w:t>
      </w:r>
      <w:r>
        <w:rPr>
          <w:sz w:val="22"/>
        </w:rPr>
        <w:tab/>
        <w:t>17</w:t>
      </w:r>
    </w:p>
    <w:p>
      <w:pPr/>
      <w:r>
        <w:rPr>
          <w:sz w:val="22"/>
        </w:rPr>
        <w:t>Riesgos y Consideraciones de Mantenimiento</w:t>
      </w:r>
      <w:r>
        <w:rPr>
          <w:sz w:val="22"/>
        </w:rPr>
        <w:tab/>
        <w:t>18</w:t>
      </w:r>
    </w:p>
    <w:p>
      <w:pPr/>
      <w:r>
        <w:rPr>
          <w:sz w:val="22"/>
        </w:rPr>
        <w:t xml:space="preserve">   Riesgos de Migración BD</w:t>
      </w:r>
      <w:r>
        <w:rPr>
          <w:sz w:val="22"/>
        </w:rPr>
        <w:tab/>
        <w:t>18</w:t>
      </w:r>
    </w:p>
    <w:p>
      <w:pPr/>
      <w:r>
        <w:rPr>
          <w:sz w:val="22"/>
        </w:rPr>
        <w:t xml:space="preserve">   Gestión de Brechas Pendientes (Preparación Estructural Futura)</w:t>
      </w:r>
      <w:r>
        <w:rPr>
          <w:sz w:val="22"/>
        </w:rPr>
        <w:tab/>
        <w:t>18</w:t>
      </w:r>
    </w:p>
    <w:p>
      <w:pPr/>
      <w:r>
        <w:rPr>
          <w:sz w:val="22"/>
        </w:rPr>
        <w:t xml:space="preserve">   Lo que queda operativo en Perú (Back+BD)</w:t>
      </w:r>
      <w:r>
        <w:rPr>
          <w:sz w:val="22"/>
        </w:rPr>
        <w:tab/>
        <w:t>19</w:t>
      </w:r>
    </w:p>
    <w:p>
      <w:pPr/>
      <w:r>
        <w:rPr>
          <w:sz w:val="22"/>
        </w:rPr>
        <w:t xml:space="preserve">   Lo que desaparece del Back+BD Perú</w:t>
      </w:r>
      <w:r>
        <w:rPr>
          <w:sz w:val="22"/>
        </w:rPr>
        <w:tab/>
        <w:t>19</w:t>
      </w:r>
    </w:p>
    <w:p>
      <w:pPr/>
      <w:r>
        <w:rPr>
          <w:sz w:val="22"/>
        </w:rPr>
        <w:t>Control de versiones</w:t>
      </w:r>
      <w:r>
        <w:rPr>
          <w:sz w:val="22"/>
        </w:rPr>
        <w:tab/>
        <w:t>20</w:t>
      </w:r>
    </w:p>
    <w:p>
      <w:r>
        <w:br w:type="page"/>
      </w:r>
    </w:p>
    <w:p>
      <w:pPr>
        <w:pStyle w:val="Heading1"/>
      </w:pPr>
      <w:r>
        <w:t>Antecedentes</w:t>
      </w:r>
    </w:p>
    <w:p>
      <w:pPr/>
      <w:r>
        <w:t>Durante el análisis de alcance del proyecto R16 (Tramitación de Pedidos Sin Crédito), se identificó que la operación en Perú requería un esquema de facturación electrónica conforme a la normativa SUNAT (CPE, UBL 2.1) integrado en las soluciones Back (ProquifaDotNet.Finanzas y ProquifaDotNet.Timbrado) y en la Base de Datos (nuevas tablas para series, catálogos SUNAT y bitácora de timbrado).</w:t>
      </w:r>
    </w:p>
    <w:p>
      <w:pPr/>
      <w:r>
        <w:t>Sin embargo, tras evaluar los siguientes factores:</w:t>
      </w:r>
    </w:p>
    <w:p>
      <w:pPr/>
      <w:r>
        <w:t>• Volumen de operaciones: aproximadamente 900 USD por pedido, con baja frecuencia.</w:t>
      </w:r>
    </w:p>
    <w:p>
      <w:pPr/>
      <w:r>
        <w:t>• Complejidad Back: adaptador SUNAT/OSE, cliente HTTP UBL 2.1, catálogos 09 (motivos NC) y 51 (tipo de operación), reglas de retención IGV y detracción.</w:t>
      </w:r>
    </w:p>
    <w:p>
      <w:pPr/>
      <w:r>
        <w:t>• Complejidad BD: nuevas tablas para NC Perú, series por empresa emisora (F001 GOLPERU), configuraciones OSE en ProquifaDotNetTimbrado, catálogos SUNAT sincronizados.</w:t>
      </w:r>
    </w:p>
    <w:p>
      <w:pPr/>
      <w:r>
        <w:t>• Esfuerzo de desarrollo: controladores, servicios CQRS, adaptadores y consumidores de RabbitMQ para el flujo de timbrado SUNAT.</w:t>
      </w:r>
    </w:p>
    <w:p>
      <w:pPr/>
      <w:r>
        <w:t>• Brechas fiscales pendientes: B1 a B5 documentadas en R16A-RE-FU-005 (datos fiscales del producto, GRE, tipo de operación, configuración emisor SUNAT, modalidad OSE).</w:t>
      </w:r>
    </w:p>
    <w:p>
      <w:pPr/>
      <w:r>
        <w:t>• Riesgo de doble persistencia: los documentos fiscales se registrarían en la BD ProquifaDotNet y en el sistema externo de timbrado, generando descuadres.</w:t>
      </w:r>
    </w:p>
    <w:p>
      <w:pPr/>
      <w:r>
        <w:t>El presente documento formaliza el impacto de esta decisión en el Back y en la Base de Datos, definiendo qué soluciones, servicios, endpoints, entidades y tablas se cancelan, simplifican o ajustan para la región Perú, preservando la operación comercial sin los componentes fiscales.</w:t>
      </w:r>
    </w:p>
    <w:p>
      <w:pPr>
        <w:pStyle w:val="Heading1"/>
      </w:pPr>
      <w:r>
        <w:t>Objetivos</w:t>
      </w:r>
    </w:p>
    <w:p>
      <w:pPr/>
      <w:r>
        <w:t>1. Definir con precisión el alcance de las modificaciones en Back y Base de Datos derivadas de la exclusión de facturación y timbrado para Perú.</w:t>
      </w:r>
    </w:p>
    <w:p>
      <w:pPr/>
      <w:r>
        <w:t>2. Cancelar el desarrollo de las siguientes soluciones fiscales peruanas:</w:t>
      </w:r>
    </w:p>
    <w:p>
      <w:pPr>
        <w:ind w:left="680"/>
      </w:pPr>
      <w:r>
        <w:t>• Servicios y endpoints de Factura por Adelantado Perú (RE-020).</w:t>
      </w:r>
    </w:p>
    <w:p>
      <w:pPr>
        <w:ind w:left="680"/>
      </w:pPr>
      <w:r>
        <w:t>• Adaptador de Factura Perú CPE SUNAT en Timbrado y generador PDF (RE-022).</w:t>
      </w:r>
    </w:p>
    <w:p>
      <w:pPr>
        <w:ind w:left="680"/>
      </w:pPr>
      <w:r>
        <w:t>• Servicios, controladores y entidades del módulo NC Perú (RE-033).</w:t>
      </w:r>
    </w:p>
    <w:p>
      <w:pPr>
        <w:ind w:left="680"/>
      </w:pPr>
      <w:r>
        <w:t>• Generador de PDF NC Perú (CPE tipo 07) en DocumentBuilder (RE-035).</w:t>
      </w:r>
    </w:p>
    <w:p>
      <w:pPr/>
      <w:r>
        <w:t>3. Simplificar los servicios Back de Validar Cobro para Perú:</w:t>
      </w:r>
    </w:p>
    <w:p>
      <w:pPr>
        <w:ind w:left="680"/>
      </w:pPr>
      <w:r>
        <w:t>• Paso 2 (RE-027): eliminar de la consulta la agregación de NCs y ajustar el cálculo del saldo.</w:t>
      </w:r>
    </w:p>
    <w:p>
      <w:pPr>
        <w:ind w:left="680"/>
      </w:pPr>
      <w:r>
        <w:t>• Paso 3 (RE-029): retirar la cascada de timbrado SUNAT y dejar solo el servicio de envío de Confirmación de Pedido y establecimiento de FEE.</w:t>
      </w:r>
    </w:p>
    <w:p>
      <w:pPr/>
      <w:r>
        <w:t>4. Ajustar los filtros de repositorios y validaciones de comandos:</w:t>
      </w:r>
    </w:p>
    <w:p>
      <w:pPr>
        <w:ind w:left="680"/>
      </w:pPr>
      <w:r>
        <w:t>• Bloquear FpA en TramitarPedidoCommand para clientes con Region = "PERU" (RE-015).</w:t>
      </w:r>
    </w:p>
    <w:p>
      <w:pPr>
        <w:ind w:left="680"/>
      </w:pPr>
      <w:r>
        <w:t>• Filtrar clientes Perú en FpaListadoQuery (RE-018).</w:t>
      </w:r>
    </w:p>
    <w:p>
      <w:pPr>
        <w:ind w:left="680"/>
      </w:pPr>
      <w:r>
        <w:t>• Regionalizar mensajes de tooltip en ValidarCobroTooltipService (RE-023).</w:t>
      </w:r>
    </w:p>
    <w:p>
      <w:pPr/>
      <w:r>
        <w:t>5. Conservar las capacidades de captura sin timbrado en Back y BD:</w:t>
      </w:r>
    </w:p>
    <w:p>
      <w:pPr>
        <w:ind w:left="680"/>
      </w:pPr>
      <w:r>
        <w:t>• Endpoints de RUC, Régimen Tributario y Forma Societaria (RE-004).</w:t>
      </w:r>
    </w:p>
    <w:p>
      <w:pPr>
        <w:ind w:left="680"/>
      </w:pPr>
      <w:r>
        <w:t>• Servicios y tablas de Proforma Perú (RE-017).</w:t>
      </w:r>
    </w:p>
    <w:p>
      <w:pPr>
        <w:ind w:left="680"/>
      </w:pPr>
      <w:r>
        <w:t>• Servicios y tablas de Cobro / Paso 1 (RE-025).</w:t>
      </w:r>
    </w:p>
    <w:p>
      <w:pPr/>
      <w:r>
        <w:t>6. Reducir el esfuerzo de desarrollo Back y BD en aproximadamente un 60% respecto a lo planeado para las funcionalidades exclusivas de Perú.</w:t>
      </w:r>
    </w:p>
    <w:p>
      <w:pPr>
        <w:pStyle w:val="Heading1"/>
      </w:pPr>
      <w:r>
        <w:t>Problemática Identificada</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Aspecto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Situación Actual (con facturación Perú)</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Riesgo Asociado</w:t>
            </w:r>
          </w:p>
        </w:tc>
      </w:tr>
      <w:tr>
        <w:tc>
          <w:tcPr>
            <w:tcBorders>
              <w:top w:val="single" w:sz="4" w:color="808080"/>
              <w:left w:val="single" w:sz="4" w:color="808080"/>
              <w:bottom w:val="single" w:sz="4" w:color="808080"/>
              <w:right w:val="single" w:sz="4" w:color="808080"/>
            </w:tcBorders>
          </w:tcPr>
          <w:p>
            <w:r/>
            <w:r>
              <w:rPr>
                <w:b/>
                <w:sz w:val="20"/>
              </w:rPr>
              <w:t>Esfuerzo Back</w:t>
            </w:r>
          </w:p>
        </w:tc>
        <w:tc>
          <w:tcPr>
            <w:tcBorders>
              <w:top w:val="single" w:sz="4" w:color="808080"/>
              <w:left w:val="single" w:sz="4" w:color="808080"/>
              <w:bottom w:val="single" w:sz="4" w:color="808080"/>
              <w:right w:val="single" w:sz="4" w:color="808080"/>
            </w:tcBorders>
          </w:tcPr>
          <w:p>
            <w:r/>
            <w:r>
              <w:rPr>
                <w:sz w:val="20"/>
              </w:rPr>
              <w:t>Servicios, controladores y adaptadores SUNAT en ProquifaDotNet.Finanzas y ProquifaDotNet.Timbrado (FpA, Factura, NC).</w:t>
            </w:r>
          </w:p>
        </w:tc>
        <w:tc>
          <w:tcPr>
            <w:tcBorders>
              <w:top w:val="single" w:sz="4" w:color="808080"/>
              <w:left w:val="single" w:sz="4" w:color="808080"/>
              <w:bottom w:val="single" w:sz="4" w:color="808080"/>
              <w:right w:val="single" w:sz="4" w:color="808080"/>
            </w:tcBorders>
          </w:tcPr>
          <w:p>
            <w:r/>
            <w:r>
              <w:rPr>
                <w:sz w:val="20"/>
              </w:rPr>
              <w:t>Alto costo sin retorno proporcional al bajo volumen de operaciones.</w:t>
            </w:r>
          </w:p>
        </w:tc>
      </w:tr>
      <w:tr>
        <w:tc>
          <w:tcPr>
            <w:shd w:val="clear" w:color="auto" w:fill="F2F2F2"/>
            <w:tcBorders>
              <w:top w:val="single" w:sz="4" w:color="808080"/>
              <w:left w:val="single" w:sz="4" w:color="808080"/>
              <w:bottom w:val="single" w:sz="4" w:color="808080"/>
              <w:right w:val="single" w:sz="4" w:color="808080"/>
            </w:tcBorders>
          </w:tcPr>
          <w:p>
            <w:r/>
            <w:r>
              <w:rPr>
                <w:b/>
                <w:sz w:val="20"/>
              </w:rPr>
              <w:t>Complejidad Timbrado</w:t>
            </w:r>
          </w:p>
        </w:tc>
        <w:tc>
          <w:tcPr>
            <w:shd w:val="clear" w:color="auto" w:fill="F2F2F2"/>
            <w:tcBorders>
              <w:top w:val="single" w:sz="4" w:color="808080"/>
              <w:left w:val="single" w:sz="4" w:color="808080"/>
              <w:bottom w:val="single" w:sz="4" w:color="808080"/>
              <w:right w:val="single" w:sz="4" w:color="808080"/>
            </w:tcBorders>
          </w:tcPr>
          <w:p>
            <w:r/>
            <w:r>
              <w:rPr>
                <w:sz w:val="20"/>
              </w:rPr>
              <w:t>Adaptador SUNAT/OSE, cliente HTTP UBL 2.1, endpoints por documento, retención IGV y detracción.</w:t>
            </w:r>
          </w:p>
        </w:tc>
        <w:tc>
          <w:tcPr>
            <w:shd w:val="clear" w:color="auto" w:fill="F2F2F2"/>
            <w:tcBorders>
              <w:top w:val="single" w:sz="4" w:color="808080"/>
              <w:left w:val="single" w:sz="4" w:color="808080"/>
              <w:bottom w:val="single" w:sz="4" w:color="808080"/>
              <w:right w:val="single" w:sz="4" w:color="808080"/>
            </w:tcBorders>
          </w:tcPr>
          <w:p>
            <w:r/>
            <w:r>
              <w:rPr>
                <w:sz w:val="20"/>
              </w:rPr>
              <w:t>Brechas técnicas no resueltas (B1-B5). Riesgo de incumplimiento normativo.</w:t>
            </w:r>
          </w:p>
        </w:tc>
      </w:tr>
      <w:tr>
        <w:tc>
          <w:tcPr>
            <w:tcBorders>
              <w:top w:val="single" w:sz="4" w:color="808080"/>
              <w:left w:val="single" w:sz="4" w:color="808080"/>
              <w:bottom w:val="single" w:sz="4" w:color="808080"/>
              <w:right w:val="single" w:sz="4" w:color="808080"/>
            </w:tcBorders>
          </w:tcPr>
          <w:p>
            <w:r/>
            <w:r>
              <w:rPr>
                <w:b/>
                <w:sz w:val="20"/>
              </w:rPr>
              <w:t>Doble persistencia</w:t>
            </w:r>
          </w:p>
        </w:tc>
        <w:tc>
          <w:tcPr>
            <w:tcBorders>
              <w:top w:val="single" w:sz="4" w:color="808080"/>
              <w:left w:val="single" w:sz="4" w:color="808080"/>
              <w:bottom w:val="single" w:sz="4" w:color="808080"/>
              <w:right w:val="single" w:sz="4" w:color="808080"/>
            </w:tcBorders>
          </w:tcPr>
          <w:p>
            <w:r/>
            <w:r>
              <w:rPr>
                <w:sz w:val="20"/>
              </w:rPr>
              <w:t>Los documentos fiscales se registrarían en BD ProquifaDotNet y en el sistema externo de timbrado.</w:t>
            </w:r>
          </w:p>
        </w:tc>
        <w:tc>
          <w:tcPr>
            <w:tcBorders>
              <w:top w:val="single" w:sz="4" w:color="808080"/>
              <w:left w:val="single" w:sz="4" w:color="808080"/>
              <w:bottom w:val="single" w:sz="4" w:color="808080"/>
              <w:right w:val="single" w:sz="4" w:color="808080"/>
            </w:tcBorders>
          </w:tcPr>
          <w:p>
            <w:r/>
            <w:r>
              <w:rPr>
                <w:sz w:val="20"/>
              </w:rPr>
              <w:t>Descuadre entre sistemas, folios y montos. Trazabilidad fiscal fragmentada.</w:t>
            </w:r>
          </w:p>
        </w:tc>
      </w:tr>
      <w:tr>
        <w:tc>
          <w:tcPr>
            <w:shd w:val="clear" w:color="auto" w:fill="F2F2F2"/>
            <w:tcBorders>
              <w:top w:val="single" w:sz="4" w:color="808080"/>
              <w:left w:val="single" w:sz="4" w:color="808080"/>
              <w:bottom w:val="single" w:sz="4" w:color="808080"/>
              <w:right w:val="single" w:sz="4" w:color="808080"/>
            </w:tcBorders>
          </w:tcPr>
          <w:p>
            <w:r/>
            <w:r>
              <w:rPr>
                <w:b/>
                <w:sz w:val="20"/>
              </w:rPr>
              <w:t>Scaffold EF Core</w:t>
            </w:r>
          </w:p>
        </w:tc>
        <w:tc>
          <w:tcPr>
            <w:shd w:val="clear" w:color="auto" w:fill="F2F2F2"/>
            <w:tcBorders>
              <w:top w:val="single" w:sz="4" w:color="808080"/>
              <w:left w:val="single" w:sz="4" w:color="808080"/>
              <w:bottom w:val="single" w:sz="4" w:color="808080"/>
              <w:right w:val="single" w:sz="4" w:color="808080"/>
            </w:tcBorders>
          </w:tcPr>
          <w:p>
            <w:r/>
            <w:r>
              <w:rPr>
                <w:sz w:val="20"/>
              </w:rPr>
              <w:t>Nuevas entidades para NC Perú (catálogo 09), series F001 GOLPERU, tabla CFDIGenerada con partición por región.</w:t>
            </w:r>
          </w:p>
        </w:tc>
        <w:tc>
          <w:tcPr>
            <w:shd w:val="clear" w:color="auto" w:fill="F2F2F2"/>
            <w:tcBorders>
              <w:top w:val="single" w:sz="4" w:color="808080"/>
              <w:left w:val="single" w:sz="4" w:color="808080"/>
              <w:bottom w:val="single" w:sz="4" w:color="808080"/>
              <w:right w:val="single" w:sz="4" w:color="808080"/>
            </w:tcBorders>
          </w:tcPr>
          <w:p>
            <w:r/>
            <w:r>
              <w:rPr>
                <w:sz w:val="20"/>
              </w:rPr>
              <w:t>Complejidad de migraciones y mantenimiento del contexto EF Core.</w:t>
            </w:r>
          </w:p>
        </w:tc>
      </w:tr>
      <w:tr>
        <w:tc>
          <w:tcPr>
            <w:tcBorders>
              <w:top w:val="single" w:sz="4" w:color="808080"/>
              <w:left w:val="single" w:sz="4" w:color="808080"/>
              <w:bottom w:val="single" w:sz="4" w:color="808080"/>
              <w:right w:val="single" w:sz="4" w:color="808080"/>
            </w:tcBorders>
          </w:tcPr>
          <w:p>
            <w:r/>
            <w:r>
              <w:rPr>
                <w:b/>
                <w:sz w:val="20"/>
              </w:rPr>
              <w:t>Mantenimiento catálogos SUNAT</w:t>
            </w:r>
          </w:p>
        </w:tc>
        <w:tc>
          <w:tcPr>
            <w:tcBorders>
              <w:top w:val="single" w:sz="4" w:color="808080"/>
              <w:left w:val="single" w:sz="4" w:color="808080"/>
              <w:bottom w:val="single" w:sz="4" w:color="808080"/>
              <w:right w:val="single" w:sz="4" w:color="808080"/>
            </w:tcBorders>
          </w:tcPr>
          <w:p>
            <w:r/>
            <w:r>
              <w:rPr>
                <w:sz w:val="20"/>
              </w:rPr>
              <w:t>Catálogos 09, 51 y configuraciones OSE requieren actualización periódica en BD.</w:t>
            </w:r>
          </w:p>
        </w:tc>
        <w:tc>
          <w:tcPr>
            <w:tcBorders>
              <w:top w:val="single" w:sz="4" w:color="808080"/>
              <w:left w:val="single" w:sz="4" w:color="808080"/>
              <w:bottom w:val="single" w:sz="4" w:color="808080"/>
              <w:right w:val="single" w:sz="4" w:color="808080"/>
            </w:tcBorders>
          </w:tcPr>
          <w:p>
            <w:r/>
            <w:r>
              <w:rPr>
                <w:sz w:val="20"/>
              </w:rPr>
              <w:t>Costo de sostenimiento innecesariamente elevado para volumen marginal.</w:t>
            </w:r>
          </w:p>
        </w:tc>
      </w:tr>
      <w:tr>
        <w:tc>
          <w:tcPr>
            <w:shd w:val="clear" w:color="auto" w:fill="F2F2F2"/>
            <w:tcBorders>
              <w:top w:val="single" w:sz="4" w:color="808080"/>
              <w:left w:val="single" w:sz="4" w:color="808080"/>
              <w:bottom w:val="single" w:sz="4" w:color="808080"/>
              <w:right w:val="single" w:sz="4" w:color="808080"/>
            </w:tcBorders>
          </w:tcPr>
          <w:p>
            <w:r/>
            <w:r>
              <w:rPr>
                <w:b/>
                <w:sz w:val="20"/>
              </w:rPr>
              <w:t>Estado de Cuenta consolidado</w:t>
            </w:r>
          </w:p>
        </w:tc>
        <w:tc>
          <w:tcPr>
            <w:shd w:val="clear" w:color="auto" w:fill="F2F2F2"/>
            <w:tcBorders>
              <w:top w:val="single" w:sz="4" w:color="808080"/>
              <w:left w:val="single" w:sz="4" w:color="808080"/>
              <w:bottom w:val="single" w:sz="4" w:color="808080"/>
              <w:right w:val="single" w:sz="4" w:color="808080"/>
            </w:tcBorders>
          </w:tcPr>
          <w:p>
            <w:r/>
            <w:r>
              <w:rPr>
                <w:sz w:val="20"/>
              </w:rPr>
              <w:t>Los reportes financieros de Perú no reflejarían los documentos fiscales reales si el timbrado se hace externamente.</w:t>
            </w:r>
          </w:p>
        </w:tc>
        <w:tc>
          <w:tcPr>
            <w:shd w:val="clear" w:color="auto" w:fill="F2F2F2"/>
            <w:tcBorders>
              <w:top w:val="single" w:sz="4" w:color="808080"/>
              <w:left w:val="single" w:sz="4" w:color="808080"/>
              <w:bottom w:val="single" w:sz="4" w:color="808080"/>
              <w:right w:val="single" w:sz="4" w:color="808080"/>
            </w:tcBorders>
          </w:tcPr>
          <w:p>
            <w:r/>
            <w:r>
              <w:rPr>
                <w:sz w:val="20"/>
              </w:rPr>
              <w:t>Pérdida de trazabilidad fiscal consolidada dentro del sistema.</w:t>
            </w:r>
          </w:p>
        </w:tc>
      </w:tr>
    </w:tbl>
    <w:p>
      <w:pPr/>
    </w:p>
    <w:p>
      <w:pPr>
        <w:pStyle w:val="Heading1"/>
      </w:pPr>
      <w:r>
        <w:t>Evaluación Comparativa de Enfoques</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Criterio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Desarrollar Facturación Perú (Back+BD)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No Desarrollar (Enfoque Elegido)</w:t>
            </w:r>
          </w:p>
        </w:tc>
      </w:tr>
      <w:tr>
        <w:tc>
          <w:tcPr>
            <w:tcBorders>
              <w:top w:val="single" w:sz="4" w:color="808080"/>
              <w:left w:val="single" w:sz="4" w:color="808080"/>
              <w:bottom w:val="single" w:sz="4" w:color="808080"/>
              <w:right w:val="single" w:sz="4" w:color="808080"/>
            </w:tcBorders>
          </w:tcPr>
          <w:p>
            <w:r/>
            <w:r>
              <w:rPr>
                <w:b/>
                <w:sz w:val="20"/>
              </w:rPr>
              <w:t>Esfuerzo Back</w:t>
            </w:r>
          </w:p>
        </w:tc>
        <w:tc>
          <w:tcPr>
            <w:tcBorders>
              <w:top w:val="single" w:sz="4" w:color="808080"/>
              <w:left w:val="single" w:sz="4" w:color="808080"/>
              <w:bottom w:val="single" w:sz="4" w:color="808080"/>
              <w:right w:val="single" w:sz="4" w:color="808080"/>
            </w:tcBorders>
          </w:tcPr>
          <w:p>
            <w:r/>
            <w:r>
              <w:rPr>
                <w:sz w:val="20"/>
              </w:rPr>
              <w:t>Alto (4 controladores + adaptador SUNAT + servicios de folio + consumidor RabbitMQ).</w:t>
            </w:r>
          </w:p>
        </w:tc>
        <w:tc>
          <w:tcPr>
            <w:tcBorders>
              <w:top w:val="single" w:sz="4" w:color="808080"/>
              <w:left w:val="single" w:sz="4" w:color="808080"/>
              <w:bottom w:val="single" w:sz="4" w:color="808080"/>
              <w:right w:val="single" w:sz="4" w:color="808080"/>
            </w:tcBorders>
          </w:tcPr>
          <w:p>
            <w:r/>
            <w:r>
              <w:rPr>
                <w:sz w:val="20"/>
              </w:rPr>
              <w:t>Bajo (filtros por región y validaciones en commands existentes).</w:t>
            </w:r>
          </w:p>
        </w:tc>
      </w:tr>
      <w:tr>
        <w:tc>
          <w:tcPr>
            <w:shd w:val="clear" w:color="auto" w:fill="F2F2F2"/>
            <w:tcBorders>
              <w:top w:val="single" w:sz="4" w:color="808080"/>
              <w:left w:val="single" w:sz="4" w:color="808080"/>
              <w:bottom w:val="single" w:sz="4" w:color="808080"/>
              <w:right w:val="single" w:sz="4" w:color="808080"/>
            </w:tcBorders>
          </w:tcPr>
          <w:p>
            <w:r/>
            <w:r>
              <w:rPr>
                <w:b/>
                <w:sz w:val="20"/>
              </w:rPr>
              <w:t>Esfuerzo BD</w:t>
            </w:r>
          </w:p>
        </w:tc>
        <w:tc>
          <w:tcPr>
            <w:shd w:val="clear" w:color="auto" w:fill="F2F2F2"/>
            <w:tcBorders>
              <w:top w:val="single" w:sz="4" w:color="808080"/>
              <w:left w:val="single" w:sz="4" w:color="808080"/>
              <w:bottom w:val="single" w:sz="4" w:color="808080"/>
              <w:right w:val="single" w:sz="4" w:color="808080"/>
            </w:tcBorders>
          </w:tcPr>
          <w:p>
            <w:r/>
            <w:r>
              <w:rPr>
                <w:sz w:val="20"/>
              </w:rPr>
              <w:t>Alto (scaffold nuevas entidades, series por empresa emisora, catálogos SUNAT).</w:t>
            </w:r>
          </w:p>
        </w:tc>
        <w:tc>
          <w:tcPr>
            <w:shd w:val="clear" w:color="auto" w:fill="F2F2F2"/>
            <w:tcBorders>
              <w:top w:val="single" w:sz="4" w:color="808080"/>
              <w:left w:val="single" w:sz="4" w:color="808080"/>
              <w:bottom w:val="single" w:sz="4" w:color="808080"/>
              <w:right w:val="single" w:sz="4" w:color="808080"/>
            </w:tcBorders>
          </w:tcPr>
          <w:p>
            <w:r/>
            <w:r>
              <w:rPr>
                <w:sz w:val="20"/>
              </w:rPr>
              <w:t>Bajo (solo se conservan tablas base capturables).</w:t>
            </w:r>
          </w:p>
        </w:tc>
      </w:tr>
      <w:tr>
        <w:tc>
          <w:tcPr>
            <w:tcBorders>
              <w:top w:val="single" w:sz="4" w:color="808080"/>
              <w:left w:val="single" w:sz="4" w:color="808080"/>
              <w:bottom w:val="single" w:sz="4" w:color="808080"/>
              <w:right w:val="single" w:sz="4" w:color="808080"/>
            </w:tcBorders>
          </w:tcPr>
          <w:p>
            <w:r/>
            <w:r>
              <w:rPr>
                <w:b/>
                <w:sz w:val="20"/>
              </w:rPr>
              <w:t>Integración Timbrado</w:t>
            </w:r>
          </w:p>
        </w:tc>
        <w:tc>
          <w:tcPr>
            <w:tcBorders>
              <w:top w:val="single" w:sz="4" w:color="808080"/>
              <w:left w:val="single" w:sz="4" w:color="808080"/>
              <w:bottom w:val="single" w:sz="4" w:color="808080"/>
              <w:right w:val="single" w:sz="4" w:color="808080"/>
            </w:tcBorders>
          </w:tcPr>
          <w:p>
            <w:r/>
            <w:r>
              <w:rPr>
                <w:sz w:val="20"/>
              </w:rPr>
              <w:t>Requiere adaptador SUNAT/OSE nuevo (brecha B5) además del actual TurboPac.</w:t>
            </w:r>
          </w:p>
        </w:tc>
        <w:tc>
          <w:tcPr>
            <w:tcBorders>
              <w:top w:val="single" w:sz="4" w:color="808080"/>
              <w:left w:val="single" w:sz="4" w:color="808080"/>
              <w:bottom w:val="single" w:sz="4" w:color="808080"/>
              <w:right w:val="single" w:sz="4" w:color="808080"/>
            </w:tcBorders>
          </w:tcPr>
          <w:p>
            <w:r/>
            <w:r>
              <w:rPr>
                <w:sz w:val="20"/>
              </w:rPr>
              <w:t>No aplica; solo TurboPac México operativo.</w:t>
            </w:r>
          </w:p>
        </w:tc>
      </w:tr>
      <w:tr>
        <w:tc>
          <w:tcPr>
            <w:shd w:val="clear" w:color="auto" w:fill="F2F2F2"/>
            <w:tcBorders>
              <w:top w:val="single" w:sz="4" w:color="808080"/>
              <w:left w:val="single" w:sz="4" w:color="808080"/>
              <w:bottom w:val="single" w:sz="4" w:color="808080"/>
              <w:right w:val="single" w:sz="4" w:color="808080"/>
            </w:tcBorders>
          </w:tcPr>
          <w:p>
            <w:r/>
            <w:r>
              <w:rPr>
                <w:b/>
                <w:sz w:val="20"/>
              </w:rPr>
              <w:t>Cumplimiento SUNAT</w:t>
            </w:r>
          </w:p>
        </w:tc>
        <w:tc>
          <w:tcPr>
            <w:shd w:val="clear" w:color="auto" w:fill="F2F2F2"/>
            <w:tcBorders>
              <w:top w:val="single" w:sz="4" w:color="808080"/>
              <w:left w:val="single" w:sz="4" w:color="808080"/>
              <w:bottom w:val="single" w:sz="4" w:color="808080"/>
              <w:right w:val="single" w:sz="4" w:color="808080"/>
            </w:tcBorders>
          </w:tcPr>
          <w:p>
            <w:r/>
            <w:r>
              <w:rPr>
                <w:sz w:val="20"/>
              </w:rPr>
              <w:t>Requiere validación fiscal continua y actualización de esquemas UBL.</w:t>
            </w:r>
          </w:p>
        </w:tc>
        <w:tc>
          <w:tcPr>
            <w:shd w:val="clear" w:color="auto" w:fill="F2F2F2"/>
            <w:tcBorders>
              <w:top w:val="single" w:sz="4" w:color="808080"/>
              <w:left w:val="single" w:sz="4" w:color="808080"/>
              <w:bottom w:val="single" w:sz="4" w:color="808080"/>
              <w:right w:val="single" w:sz="4" w:color="808080"/>
            </w:tcBorders>
          </w:tcPr>
          <w:p>
            <w:r/>
            <w:r>
              <w:rPr>
                <w:sz w:val="20"/>
              </w:rPr>
              <w:t>Externalizado; sin impacto en el sistema.</w:t>
            </w:r>
          </w:p>
        </w:tc>
      </w:tr>
      <w:tr>
        <w:tc>
          <w:tcPr>
            <w:tcBorders>
              <w:top w:val="single" w:sz="4" w:color="808080"/>
              <w:left w:val="single" w:sz="4" w:color="808080"/>
              <w:bottom w:val="single" w:sz="4" w:color="808080"/>
              <w:right w:val="single" w:sz="4" w:color="808080"/>
            </w:tcBorders>
          </w:tcPr>
          <w:p>
            <w:r/>
            <w:r>
              <w:rPr>
                <w:b/>
                <w:sz w:val="20"/>
              </w:rPr>
              <w:t>Mantenimiento BD</w:t>
            </w:r>
          </w:p>
        </w:tc>
        <w:tc>
          <w:tcPr>
            <w:tcBorders>
              <w:top w:val="single" w:sz="4" w:color="808080"/>
              <w:left w:val="single" w:sz="4" w:color="808080"/>
              <w:bottom w:val="single" w:sz="4" w:color="808080"/>
              <w:right w:val="single" w:sz="4" w:color="808080"/>
            </w:tcBorders>
          </w:tcPr>
          <w:p>
            <w:r/>
            <w:r>
              <w:rPr>
                <w:sz w:val="20"/>
              </w:rPr>
              <w:t>Alto (índices, catálogos SUNAT, foliadores por empresa).</w:t>
            </w:r>
          </w:p>
        </w:tc>
        <w:tc>
          <w:tcPr>
            <w:tcBorders>
              <w:top w:val="single" w:sz="4" w:color="808080"/>
              <w:left w:val="single" w:sz="4" w:color="808080"/>
              <w:bottom w:val="single" w:sz="4" w:color="808080"/>
              <w:right w:val="single" w:sz="4" w:color="808080"/>
            </w:tcBorders>
          </w:tcPr>
          <w:p>
            <w:r/>
            <w:r>
              <w:rPr>
                <w:sz w:val="20"/>
              </w:rPr>
              <w:t>Nulo; sin objetos nuevos.</w:t>
            </w:r>
          </w:p>
        </w:tc>
      </w:tr>
      <w:tr>
        <w:tc>
          <w:tcPr>
            <w:shd w:val="clear" w:color="auto" w:fill="F2F2F2"/>
            <w:tcBorders>
              <w:top w:val="single" w:sz="4" w:color="808080"/>
              <w:left w:val="single" w:sz="4" w:color="808080"/>
              <w:bottom w:val="single" w:sz="4" w:color="808080"/>
              <w:right w:val="single" w:sz="4" w:color="808080"/>
            </w:tcBorders>
          </w:tcPr>
          <w:p>
            <w:r/>
            <w:r>
              <w:rPr>
                <w:b/>
                <w:sz w:val="20"/>
              </w:rPr>
              <w:t>Riesgo de Migración</w:t>
            </w:r>
          </w:p>
        </w:tc>
        <w:tc>
          <w:tcPr>
            <w:shd w:val="clear" w:color="auto" w:fill="F2F2F2"/>
            <w:tcBorders>
              <w:top w:val="single" w:sz="4" w:color="808080"/>
              <w:left w:val="single" w:sz="4" w:color="808080"/>
              <w:bottom w:val="single" w:sz="4" w:color="808080"/>
              <w:right w:val="single" w:sz="4" w:color="808080"/>
            </w:tcBorders>
          </w:tcPr>
          <w:p>
            <w:r/>
            <w:r>
              <w:rPr>
                <w:sz w:val="20"/>
              </w:rPr>
              <w:t>Alto (esquema EF Core amplio, retrocompatibilidad).</w:t>
            </w:r>
          </w:p>
        </w:tc>
        <w:tc>
          <w:tcPr>
            <w:shd w:val="clear" w:color="auto" w:fill="F2F2F2"/>
            <w:tcBorders>
              <w:top w:val="single" w:sz="4" w:color="808080"/>
              <w:left w:val="single" w:sz="4" w:color="808080"/>
              <w:bottom w:val="single" w:sz="4" w:color="808080"/>
              <w:right w:val="single" w:sz="4" w:color="808080"/>
            </w:tcBorders>
          </w:tcPr>
          <w:p>
            <w:r/>
            <w:r>
              <w:rPr>
                <w:sz w:val="20"/>
              </w:rPr>
              <w:t>Bajo (migraciones enfocadas a México).</w:t>
            </w:r>
          </w:p>
        </w:tc>
      </w:tr>
      <w:tr>
        <w:tc>
          <w:tcPr>
            <w:tcBorders>
              <w:top w:val="single" w:sz="4" w:color="808080"/>
              <w:left w:val="single" w:sz="4" w:color="808080"/>
              <w:bottom w:val="single" w:sz="4" w:color="808080"/>
              <w:right w:val="single" w:sz="4" w:color="808080"/>
            </w:tcBorders>
          </w:tcPr>
          <w:p>
            <w:r/>
            <w:r>
              <w:rPr>
                <w:b/>
                <w:sz w:val="20"/>
              </w:rPr>
              <w:t>Trazabilidad Fiscal</w:t>
            </w:r>
          </w:p>
        </w:tc>
        <w:tc>
          <w:tcPr>
            <w:tcBorders>
              <w:top w:val="single" w:sz="4" w:color="808080"/>
              <w:left w:val="single" w:sz="4" w:color="808080"/>
              <w:bottom w:val="single" w:sz="4" w:color="808080"/>
              <w:right w:val="single" w:sz="4" w:color="808080"/>
            </w:tcBorders>
          </w:tcPr>
          <w:p>
            <w:r/>
            <w:r>
              <w:rPr>
                <w:sz w:val="20"/>
              </w:rPr>
              <w:t>Completa (si se implementa al 100%).</w:t>
            </w:r>
          </w:p>
        </w:tc>
        <w:tc>
          <w:tcPr>
            <w:tcBorders>
              <w:top w:val="single" w:sz="4" w:color="808080"/>
              <w:left w:val="single" w:sz="4" w:color="808080"/>
              <w:bottom w:val="single" w:sz="4" w:color="808080"/>
              <w:right w:val="single" w:sz="4" w:color="808080"/>
            </w:tcBorders>
          </w:tcPr>
          <w:p>
            <w:r/>
            <w:r>
              <w:rPr>
                <w:sz w:val="20"/>
              </w:rPr>
              <w:t>Externa; se gestiona fuera del sistema.</w:t>
            </w:r>
          </w:p>
        </w:tc>
      </w:tr>
      <w:tr>
        <w:tc>
          <w:tcPr>
            <w:shd w:val="clear" w:color="auto" w:fill="F2F2F2"/>
            <w:tcBorders>
              <w:top w:val="single" w:sz="4" w:color="808080"/>
              <w:left w:val="single" w:sz="4" w:color="808080"/>
              <w:bottom w:val="single" w:sz="4" w:color="808080"/>
              <w:right w:val="single" w:sz="4" w:color="808080"/>
            </w:tcBorders>
          </w:tcPr>
          <w:p>
            <w:r/>
            <w:r>
              <w:rPr>
                <w:b/>
                <w:sz w:val="20"/>
              </w:rPr>
              <w:t>Escalabilidad</w:t>
            </w:r>
          </w:p>
        </w:tc>
        <w:tc>
          <w:tcPr>
            <w:shd w:val="clear" w:color="auto" w:fill="F2F2F2"/>
            <w:tcBorders>
              <w:top w:val="single" w:sz="4" w:color="808080"/>
              <w:left w:val="single" w:sz="4" w:color="808080"/>
              <w:bottom w:val="single" w:sz="4" w:color="808080"/>
              <w:right w:val="single" w:sz="4" w:color="808080"/>
            </w:tcBorders>
          </w:tcPr>
          <w:p>
            <w:r/>
            <w:r>
              <w:rPr>
                <w:sz w:val="20"/>
              </w:rPr>
              <w:t>Modelo bi-región con particiones lógicas.</w:t>
            </w:r>
          </w:p>
        </w:tc>
        <w:tc>
          <w:tcPr>
            <w:shd w:val="clear" w:color="auto" w:fill="F2F2F2"/>
            <w:tcBorders>
              <w:top w:val="single" w:sz="4" w:color="808080"/>
              <w:left w:val="single" w:sz="4" w:color="808080"/>
              <w:bottom w:val="single" w:sz="4" w:color="808080"/>
              <w:right w:val="single" w:sz="4" w:color="808080"/>
            </w:tcBorders>
          </w:tcPr>
          <w:p>
            <w:r/>
            <w:r>
              <w:rPr>
                <w:sz w:val="20"/>
              </w:rPr>
              <w:t>Modelo mono-región México con puntos de extensión reservados.</w:t>
            </w:r>
          </w:p>
        </w:tc>
      </w:tr>
    </w:tbl>
    <w:p>
      <w:pPr/>
    </w:p>
    <w:p>
      <w:pPr/>
      <w:r>
        <w:t>Decisión de Arquitectura: se opta definitivamente por NO desarrollar los componentes fiscales peruanos en Back ni en Base de Datos. Se externaliza el timbrado y se preserva únicamente la infraestructura comercial (Proforma → Cobro → Confirmación de Pedido) y la captura fiscal del Catálogo de Clientes sin efecto fiscal.</w:t>
      </w:r>
    </w:p>
    <w:p>
      <w:pPr>
        <w:pStyle w:val="Heading1"/>
      </w:pPr>
      <w:r>
        <w:t>Análisis Técnico Detallado</w:t>
      </w:r>
    </w:p>
    <w:p>
      <w:pPr>
        <w:pStyle w:val="Heading2"/>
      </w:pPr>
      <w:r>
        <w:t>Requisitos Cancelados (No se desarrollan para Perú)</w:t>
      </w:r>
    </w:p>
    <w:p>
      <w:pPr/>
      <w:r>
        <w:t>Nota clave: los servicios, entidades y tablas de los módulos mexicanos (RE-019, RE-021, RE-032, RE-034) se desarrollan con normalidad. Simplemente no se invierte esfuerzo en construir las versiones peruanas. No se retira código existente; solo se condiciona el acceso.</w:t>
      </w:r>
    </w:p>
    <w:tbl>
      <w:tblPr>
        <w:tblW w:w="5000" w:type="pct"/>
        <w:tblLook w:val="04A0"/>
      </w:tblPr>
      <w:tblGrid>
        <w:gridCol w:w="2250"/>
        <w:gridCol w:w="2250"/>
        <w:gridCol w:w="2250"/>
        <w:gridCol w:w="225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ID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Título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Back</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BD</w:t>
            </w:r>
          </w:p>
        </w:tc>
      </w:tr>
      <w:tr>
        <w:tc>
          <w:tcPr>
            <w:tcBorders>
              <w:top w:val="single" w:sz="4" w:color="808080"/>
              <w:left w:val="single" w:sz="4" w:color="808080"/>
              <w:bottom w:val="single" w:sz="4" w:color="808080"/>
              <w:right w:val="single" w:sz="4" w:color="808080"/>
            </w:tcBorders>
          </w:tcPr>
          <w:p>
            <w:r/>
            <w:r>
              <w:rPr>
                <w:sz w:val="20"/>
              </w:rPr>
              <w:t>RE-020</w:t>
            </w:r>
          </w:p>
        </w:tc>
        <w:tc>
          <w:tcPr>
            <w:tcBorders>
              <w:top w:val="single" w:sz="4" w:color="808080"/>
              <w:left w:val="single" w:sz="4" w:color="808080"/>
              <w:bottom w:val="single" w:sz="4" w:color="808080"/>
              <w:right w:val="single" w:sz="4" w:color="808080"/>
            </w:tcBorders>
          </w:tcPr>
          <w:p>
            <w:r/>
            <w:r>
              <w:rPr>
                <w:sz w:val="20"/>
              </w:rPr>
              <w:t>FpA Detalle Perú</w:t>
            </w:r>
          </w:p>
        </w:tc>
        <w:tc>
          <w:tcPr>
            <w:tcBorders>
              <w:top w:val="single" w:sz="4" w:color="808080"/>
              <w:left w:val="single" w:sz="4" w:color="808080"/>
              <w:bottom w:val="single" w:sz="4" w:color="808080"/>
              <w:right w:val="single" w:sz="4" w:color="808080"/>
            </w:tcBorders>
          </w:tcPr>
          <w:p>
            <w:r/>
            <w:r>
              <w:rPr>
                <w:sz w:val="20"/>
              </w:rPr>
              <w:t>No se construyen endpoints, controladores ni CQRS commands/queries para el flujo FpA Perú en ProquifaDotNet.Finanzas.</w:t>
            </w:r>
          </w:p>
        </w:tc>
        <w:tc>
          <w:tcPr>
            <w:tcBorders>
              <w:top w:val="single" w:sz="4" w:color="808080"/>
              <w:left w:val="single" w:sz="4" w:color="808080"/>
              <w:bottom w:val="single" w:sz="4" w:color="808080"/>
              <w:right w:val="single" w:sz="4" w:color="808080"/>
            </w:tcBorders>
          </w:tcPr>
          <w:p>
            <w:r/>
            <w:r>
              <w:rPr>
                <w:sz w:val="20"/>
              </w:rPr>
              <w:t>No se generan tablas para el flujo FpA Perú (series, correlativos, configuración SUNAT).</w:t>
            </w:r>
          </w:p>
        </w:tc>
      </w:tr>
      <w:tr>
        <w:tc>
          <w:tcPr>
            <w:shd w:val="clear" w:color="auto" w:fill="F2F2F2"/>
            <w:tcBorders>
              <w:top w:val="single" w:sz="4" w:color="808080"/>
              <w:left w:val="single" w:sz="4" w:color="808080"/>
              <w:bottom w:val="single" w:sz="4" w:color="808080"/>
              <w:right w:val="single" w:sz="4" w:color="808080"/>
            </w:tcBorders>
          </w:tcPr>
          <w:p>
            <w:r/>
            <w:r>
              <w:rPr>
                <w:sz w:val="20"/>
              </w:rPr>
              <w:t>RE-022</w:t>
            </w:r>
          </w:p>
        </w:tc>
        <w:tc>
          <w:tcPr>
            <w:shd w:val="clear" w:color="auto" w:fill="F2F2F2"/>
            <w:tcBorders>
              <w:top w:val="single" w:sz="4" w:color="808080"/>
              <w:left w:val="single" w:sz="4" w:color="808080"/>
              <w:bottom w:val="single" w:sz="4" w:color="808080"/>
              <w:right w:val="single" w:sz="4" w:color="808080"/>
            </w:tcBorders>
          </w:tcPr>
          <w:p>
            <w:r/>
            <w:r>
              <w:rPr>
                <w:sz w:val="20"/>
              </w:rPr>
              <w:t>Factura Perú (PDF CPE SUNAT)</w:t>
            </w:r>
          </w:p>
        </w:tc>
        <w:tc>
          <w:tcPr>
            <w:shd w:val="clear" w:color="auto" w:fill="F2F2F2"/>
            <w:tcBorders>
              <w:top w:val="single" w:sz="4" w:color="808080"/>
              <w:left w:val="single" w:sz="4" w:color="808080"/>
              <w:bottom w:val="single" w:sz="4" w:color="808080"/>
              <w:right w:val="single" w:sz="4" w:color="808080"/>
            </w:tcBorders>
          </w:tcPr>
          <w:p>
            <w:r/>
            <w:r>
              <w:rPr>
                <w:sz w:val="20"/>
              </w:rPr>
              <w:t>No se genera el adaptador SUNAT en ProquifaDotNet.Timbrado, ni el generador de PDF CPE en DocumentBuilder.</w:t>
            </w:r>
          </w:p>
        </w:tc>
        <w:tc>
          <w:tcPr>
            <w:shd w:val="clear" w:color="auto" w:fill="F2F2F2"/>
            <w:tcBorders>
              <w:top w:val="single" w:sz="4" w:color="808080"/>
              <w:left w:val="single" w:sz="4" w:color="808080"/>
              <w:bottom w:val="single" w:sz="4" w:color="808080"/>
              <w:right w:val="single" w:sz="4" w:color="808080"/>
            </w:tcBorders>
          </w:tcPr>
          <w:p>
            <w:r/>
            <w:r>
              <w:rPr>
                <w:sz w:val="20"/>
              </w:rPr>
              <w:t>Se retira la serie F001 GOLPERU del alcance R16 en EmpresaFolio (se conserva capturable pero no se consume).</w:t>
            </w:r>
          </w:p>
        </w:tc>
      </w:tr>
      <w:tr>
        <w:tc>
          <w:tcPr>
            <w:tcBorders>
              <w:top w:val="single" w:sz="4" w:color="808080"/>
              <w:left w:val="single" w:sz="4" w:color="808080"/>
              <w:bottom w:val="single" w:sz="4" w:color="808080"/>
              <w:right w:val="single" w:sz="4" w:color="808080"/>
            </w:tcBorders>
          </w:tcPr>
          <w:p>
            <w:r/>
            <w:r>
              <w:rPr>
                <w:sz w:val="20"/>
              </w:rPr>
              <w:t>RE-033</w:t>
            </w:r>
          </w:p>
        </w:tc>
        <w:tc>
          <w:tcPr>
            <w:tcBorders>
              <w:top w:val="single" w:sz="4" w:color="808080"/>
              <w:left w:val="single" w:sz="4" w:color="808080"/>
              <w:bottom w:val="single" w:sz="4" w:color="808080"/>
              <w:right w:val="single" w:sz="4" w:color="808080"/>
            </w:tcBorders>
          </w:tcPr>
          <w:p>
            <w:r/>
            <w:r>
              <w:rPr>
                <w:sz w:val="20"/>
              </w:rPr>
              <w:t>Notas de Crédito Perú</w:t>
            </w:r>
          </w:p>
        </w:tc>
        <w:tc>
          <w:tcPr>
            <w:tcBorders>
              <w:top w:val="single" w:sz="4" w:color="808080"/>
              <w:left w:val="single" w:sz="4" w:color="808080"/>
              <w:bottom w:val="single" w:sz="4" w:color="808080"/>
              <w:right w:val="single" w:sz="4" w:color="808080"/>
            </w:tcBorders>
          </w:tcPr>
          <w:p>
            <w:r/>
            <w:r>
              <w:rPr>
                <w:sz w:val="20"/>
              </w:rPr>
              <w:t>No se construye NotasCreditoPeruController, ni el servicio de motivo catálogo 09, ni el consumidor RabbitMQ SUNAT.</w:t>
            </w:r>
          </w:p>
        </w:tc>
        <w:tc>
          <w:tcPr>
            <w:tcBorders>
              <w:top w:val="single" w:sz="4" w:color="808080"/>
              <w:left w:val="single" w:sz="4" w:color="808080"/>
              <w:bottom w:val="single" w:sz="4" w:color="808080"/>
              <w:right w:val="single" w:sz="4" w:color="808080"/>
            </w:tcBorders>
          </w:tcPr>
          <w:p>
            <w:r/>
            <w:r>
              <w:rPr>
                <w:sz w:val="20"/>
              </w:rPr>
              <w:t>No se crean tablas para NC Perú, motivos catálogo 09 ni configuración de series NC.</w:t>
            </w:r>
          </w:p>
        </w:tc>
      </w:tr>
      <w:tr>
        <w:tc>
          <w:tcPr>
            <w:shd w:val="clear" w:color="auto" w:fill="F2F2F2"/>
            <w:tcBorders>
              <w:top w:val="single" w:sz="4" w:color="808080"/>
              <w:left w:val="single" w:sz="4" w:color="808080"/>
              <w:bottom w:val="single" w:sz="4" w:color="808080"/>
              <w:right w:val="single" w:sz="4" w:color="808080"/>
            </w:tcBorders>
          </w:tcPr>
          <w:p>
            <w:r/>
            <w:r>
              <w:rPr>
                <w:sz w:val="20"/>
              </w:rPr>
              <w:t>RE-035</w:t>
            </w:r>
          </w:p>
        </w:tc>
        <w:tc>
          <w:tcPr>
            <w:shd w:val="clear" w:color="auto" w:fill="F2F2F2"/>
            <w:tcBorders>
              <w:top w:val="single" w:sz="4" w:color="808080"/>
              <w:left w:val="single" w:sz="4" w:color="808080"/>
              <w:bottom w:val="single" w:sz="4" w:color="808080"/>
              <w:right w:val="single" w:sz="4" w:color="808080"/>
            </w:tcBorders>
          </w:tcPr>
          <w:p>
            <w:r/>
            <w:r>
              <w:rPr>
                <w:sz w:val="20"/>
              </w:rPr>
              <w:t>Diseño NDC Perú (PDF)</w:t>
            </w:r>
          </w:p>
        </w:tc>
        <w:tc>
          <w:tcPr>
            <w:shd w:val="clear" w:color="auto" w:fill="F2F2F2"/>
            <w:tcBorders>
              <w:top w:val="single" w:sz="4" w:color="808080"/>
              <w:left w:val="single" w:sz="4" w:color="808080"/>
              <w:bottom w:val="single" w:sz="4" w:color="808080"/>
              <w:right w:val="single" w:sz="4" w:color="808080"/>
            </w:tcBorders>
          </w:tcPr>
          <w:p>
            <w:r/>
            <w:r>
              <w:rPr>
                <w:sz w:val="20"/>
              </w:rPr>
              <w:t>No se genera el generador de PDF CPE tipo 07 UBL 2.1 en DocumentBuilder.</w:t>
            </w:r>
          </w:p>
        </w:tc>
        <w:tc>
          <w:tcPr>
            <w:shd w:val="clear" w:color="auto" w:fill="F2F2F2"/>
            <w:tcBorders>
              <w:top w:val="single" w:sz="4" w:color="808080"/>
              <w:left w:val="single" w:sz="4" w:color="808080"/>
              <w:bottom w:val="single" w:sz="4" w:color="808080"/>
              <w:right w:val="single" w:sz="4" w:color="808080"/>
            </w:tcBorders>
          </w:tcPr>
          <w:p>
            <w:r/>
            <w:r>
              <w:rPr>
                <w:sz w:val="20"/>
              </w:rPr>
              <w:t>No aplica.</w:t>
            </w:r>
          </w:p>
        </w:tc>
      </w:tr>
    </w:tbl>
    <w:p>
      <w:pPr/>
    </w:p>
    <w:p>
      <w:pPr>
        <w:pStyle w:val="Heading2"/>
      </w:pPr>
      <w:r>
        <w:t>Requisitos Simplificados (Flujo reducido para Perú)</w:t>
      </w:r>
    </w:p>
    <w:p>
      <w:pPr>
        <w:pStyle w:val="Heading3"/>
      </w:pPr>
      <w:r>
        <w:t>RE-027 — Validar Cobro: Paso 2 Perú</w:t>
      </w:r>
    </w:p>
    <w:p>
      <w:pPr/>
      <w:r>
        <w:rPr>
          <w:b/>
        </w:rPr>
        <w:t xml:space="preserve">Acción: </w:t>
      </w:r>
      <w:r>
        <w:t>Simplificar el servicio de asociación y el cálculo de saldo en Back.</w:t>
      </w:r>
    </w:p>
    <w:p>
      <w:pPr/>
      <w:r>
        <w:t>1. Retirar de AsociacionQuery la agregación de NCs vigentes por cliente cuando cliente.Region == "PERU".</w:t>
      </w:r>
    </w:p>
    <w:p>
      <w:pPr/>
      <w:r>
        <w:t>2. Ajustar SaldoAsociacionService.Calcular para Perú a la fórmula: saldo = adeudoProforma - cobrosAplicados (sin componente NC).</w:t>
      </w:r>
    </w:p>
    <w:p>
      <w:pPr/>
      <w:r>
        <w:t>3. Eliminar del DTO de respuesta las propiedades NotasCredito y SaldoRemanenteNC en el flujo Perú.</w:t>
      </w:r>
    </w:p>
    <w:p>
      <w:pPr/>
      <w:r>
        <w:t>4. Justificación: elimina consultas costosas al catálogo NC, reduce la complejidad ciclomática del servicio y previene errores futuros.</w:t>
      </w:r>
    </w:p>
    <w:p>
      <w:pPr>
        <w:pStyle w:val="Heading3"/>
      </w:pPr>
      <w:r>
        <w:t>RE-029 — Validar Cobro: Paso 3 Perú</w:t>
      </w:r>
    </w:p>
    <w:p>
      <w:pPr/>
      <w:r>
        <w:rPr>
          <w:b/>
        </w:rPr>
        <w:t xml:space="preserve">Acción: </w:t>
      </w:r>
      <w:r>
        <w:t>Simplificación drástica del pipeline transaccional Back.</w:t>
      </w:r>
    </w:p>
    <w:p>
      <w:pPr/>
      <w:r>
        <w:rPr>
          <w:b/>
        </w:rPr>
        <w:t>Eliminar:</w:t>
      </w:r>
    </w:p>
    <w:p>
      <w:pPr/>
      <w:r>
        <w:t>1. Consumo de IApiCallerStamping.StampInvoiceAsync desde el flujo Perú.</w:t>
      </w:r>
    </w:p>
    <w:p>
      <w:pPr/>
      <w:r>
        <w:t>2. Endpoint POST /api/v1/validar-cobro/peru/timbrar en ProquifaDotNet.Finanzas.</w:t>
      </w:r>
    </w:p>
    <w:p>
      <w:pPr/>
      <w:r>
        <w:t>3. Servicio FacturaPeruService (generación XML UBL 2.1) y sus dependencias.</w:t>
      </w:r>
    </w:p>
    <w:p>
      <w:pPr/>
      <w:r>
        <w:t>4. Servicio SunatXmlBuilder / Ubl21Serializer.</w:t>
      </w:r>
    </w:p>
    <w:p>
      <w:pPr/>
      <w:r>
        <w:t>5. Persistencia de XML CPE en CFDIGenerada para región Perú.</w:t>
      </w:r>
    </w:p>
    <w:p>
      <w:pPr/>
      <w:r>
        <w:t>6. Adaptador PDF CPE en DocumentBuilder.</w:t>
      </w:r>
    </w:p>
    <w:p>
      <w:pPr/>
      <w:r>
        <w:t>7. Cascada Finanzas → Timbrado → SAP para el canal SUNAT.</w:t>
      </w:r>
    </w:p>
    <w:p>
      <w:pPr/>
      <w:r>
        <w:rPr>
          <w:b/>
        </w:rPr>
        <w:t>Conservar:</w:t>
      </w:r>
    </w:p>
    <w:p>
      <w:pPr/>
      <w:r>
        <w:t>1. Endpoint POST /api/v1/validar-cobro/peru/enviar-confirmacion.</w:t>
      </w:r>
    </w:p>
    <w:p>
      <w:pPr/>
      <w:r>
        <w:t>2. Servicio de envío de correo con ConfirmacionPedido (PDF único adjunto).</w:t>
      </w:r>
    </w:p>
    <w:p>
      <w:pPr/>
      <w:r>
        <w:t>3. Servicio FechaEstimadaEntregaService (establecimiento de FEE).</w:t>
      </w:r>
    </w:p>
    <w:p>
      <w:pPr/>
      <w:r>
        <w:t>4. Persistencia del estado del paso 3 (tabla Paso3Estado).</w:t>
      </w:r>
    </w:p>
    <w:p>
      <w:pPr/>
      <w:r>
        <w:t>5. Auto-guardado del avance del wizard.</w:t>
      </w:r>
    </w:p>
    <w:p>
      <w:pPr>
        <w:pStyle w:val="Heading2"/>
      </w:pPr>
      <w:r>
        <w:t>Requisitos Ajustados (Condicionales por región)</w:t>
      </w:r>
    </w:p>
    <w:tbl>
      <w:tblPr>
        <w:tblW w:w="5000" w:type="pct"/>
        <w:tblLook w:val="04A0"/>
      </w:tblPr>
      <w:tblGrid>
        <w:gridCol w:w="2250"/>
        <w:gridCol w:w="2250"/>
        <w:gridCol w:w="2250"/>
        <w:gridCol w:w="225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ID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Título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Back</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BD</w:t>
            </w:r>
          </w:p>
        </w:tc>
      </w:tr>
      <w:tr>
        <w:tc>
          <w:tcPr>
            <w:tcBorders>
              <w:top w:val="single" w:sz="4" w:color="808080"/>
              <w:left w:val="single" w:sz="4" w:color="808080"/>
              <w:bottom w:val="single" w:sz="4" w:color="808080"/>
              <w:right w:val="single" w:sz="4" w:color="808080"/>
            </w:tcBorders>
          </w:tcPr>
          <w:p>
            <w:r/>
            <w:r>
              <w:rPr>
                <w:sz w:val="20"/>
              </w:rPr>
              <w:t>RE-015</w:t>
            </w:r>
          </w:p>
        </w:tc>
        <w:tc>
          <w:tcPr>
            <w:tcBorders>
              <w:top w:val="single" w:sz="4" w:color="808080"/>
              <w:left w:val="single" w:sz="4" w:color="808080"/>
              <w:bottom w:val="single" w:sz="4" w:color="808080"/>
              <w:right w:val="single" w:sz="4" w:color="808080"/>
            </w:tcBorders>
          </w:tcPr>
          <w:p>
            <w:r/>
            <w:r>
              <w:rPr>
                <w:sz w:val="20"/>
              </w:rPr>
              <w:t>Tramitación Prepago sin controlados con FpA</w:t>
            </w:r>
          </w:p>
        </w:tc>
        <w:tc>
          <w:tcPr>
            <w:tcBorders>
              <w:top w:val="single" w:sz="4" w:color="808080"/>
              <w:left w:val="single" w:sz="4" w:color="808080"/>
              <w:bottom w:val="single" w:sz="4" w:color="808080"/>
              <w:right w:val="single" w:sz="4" w:color="808080"/>
            </w:tcBorders>
          </w:tcPr>
          <w:p>
            <w:r/>
            <w:r>
              <w:rPr>
                <w:sz w:val="20"/>
              </w:rPr>
              <w:t>Validar en TramitarPedidoCommand.Handler: si cliente.Region == "PERU", se ignora la bandera FpA=true y se registra como Prepago sin FpA.</w:t>
            </w:r>
          </w:p>
        </w:tc>
        <w:tc>
          <w:tcPr>
            <w:tcBorders>
              <w:top w:val="single" w:sz="4" w:color="808080"/>
              <w:left w:val="single" w:sz="4" w:color="808080"/>
              <w:bottom w:val="single" w:sz="4" w:color="808080"/>
              <w:right w:val="single" w:sz="4" w:color="808080"/>
            </w:tcBorders>
          </w:tcPr>
          <w:p>
            <w:r/>
            <w:r>
              <w:rPr>
                <w:sz w:val="20"/>
              </w:rPr>
              <w:t>No aplica; sin cambios de esquema.</w:t>
            </w:r>
          </w:p>
        </w:tc>
      </w:tr>
      <w:tr>
        <w:tc>
          <w:tcPr>
            <w:shd w:val="clear" w:color="auto" w:fill="F2F2F2"/>
            <w:tcBorders>
              <w:top w:val="single" w:sz="4" w:color="808080"/>
              <w:left w:val="single" w:sz="4" w:color="808080"/>
              <w:bottom w:val="single" w:sz="4" w:color="808080"/>
              <w:right w:val="single" w:sz="4" w:color="808080"/>
            </w:tcBorders>
          </w:tcPr>
          <w:p>
            <w:r/>
            <w:r>
              <w:rPr>
                <w:sz w:val="20"/>
              </w:rPr>
              <w:t>RE-018</w:t>
            </w:r>
          </w:p>
        </w:tc>
        <w:tc>
          <w:tcPr>
            <w:shd w:val="clear" w:color="auto" w:fill="F2F2F2"/>
            <w:tcBorders>
              <w:top w:val="single" w:sz="4" w:color="808080"/>
              <w:left w:val="single" w:sz="4" w:color="808080"/>
              <w:bottom w:val="single" w:sz="4" w:color="808080"/>
              <w:right w:val="single" w:sz="4" w:color="808080"/>
            </w:tcBorders>
          </w:tcPr>
          <w:p>
            <w:r/>
            <w:r>
              <w:rPr>
                <w:sz w:val="20"/>
              </w:rPr>
              <w:t>Factura por Adelantado: pantalla inicial</w:t>
            </w:r>
          </w:p>
        </w:tc>
        <w:tc>
          <w:tcPr>
            <w:shd w:val="clear" w:color="auto" w:fill="F2F2F2"/>
            <w:tcBorders>
              <w:top w:val="single" w:sz="4" w:color="808080"/>
              <w:left w:val="single" w:sz="4" w:color="808080"/>
              <w:bottom w:val="single" w:sz="4" w:color="808080"/>
              <w:right w:val="single" w:sz="4" w:color="808080"/>
            </w:tcBorders>
          </w:tcPr>
          <w:p>
            <w:r/>
            <w:r>
              <w:rPr>
                <w:sz w:val="20"/>
              </w:rPr>
              <w:t>Filtrar en FpaListadoQuery.Handler: WHERE cliente.Region &lt;&gt; "PERU". Los clientes Perú no aparecen en el listado.</w:t>
            </w:r>
          </w:p>
        </w:tc>
        <w:tc>
          <w:tcPr>
            <w:shd w:val="clear" w:color="auto" w:fill="F2F2F2"/>
            <w:tcBorders>
              <w:top w:val="single" w:sz="4" w:color="808080"/>
              <w:left w:val="single" w:sz="4" w:color="808080"/>
              <w:bottom w:val="single" w:sz="4" w:color="808080"/>
              <w:right w:val="single" w:sz="4" w:color="808080"/>
            </w:tcBorders>
          </w:tcPr>
          <w:p>
            <w:r/>
            <w:r>
              <w:rPr>
                <w:sz w:val="20"/>
              </w:rPr>
              <w:t>El índice existente sobre Cliente.Region no requiere cambios.</w:t>
            </w:r>
          </w:p>
        </w:tc>
      </w:tr>
      <w:tr>
        <w:tc>
          <w:tcPr>
            <w:tcBorders>
              <w:top w:val="single" w:sz="4" w:color="808080"/>
              <w:left w:val="single" w:sz="4" w:color="808080"/>
              <w:bottom w:val="single" w:sz="4" w:color="808080"/>
              <w:right w:val="single" w:sz="4" w:color="808080"/>
            </w:tcBorders>
          </w:tcPr>
          <w:p>
            <w:r/>
            <w:r>
              <w:rPr>
                <w:sz w:val="20"/>
              </w:rPr>
              <w:t>RE-023</w:t>
            </w:r>
          </w:p>
        </w:tc>
        <w:tc>
          <w:tcPr>
            <w:tcBorders>
              <w:top w:val="single" w:sz="4" w:color="808080"/>
              <w:left w:val="single" w:sz="4" w:color="808080"/>
              <w:bottom w:val="single" w:sz="4" w:color="808080"/>
              <w:right w:val="single" w:sz="4" w:color="808080"/>
            </w:tcBorders>
          </w:tcPr>
          <w:p>
            <w:r/>
            <w:r>
              <w:rPr>
                <w:sz w:val="20"/>
              </w:rPr>
              <w:t>Validar Cobro: pantalla principal</w:t>
            </w:r>
          </w:p>
        </w:tc>
        <w:tc>
          <w:tcPr>
            <w:tcBorders>
              <w:top w:val="single" w:sz="4" w:color="808080"/>
              <w:left w:val="single" w:sz="4" w:color="808080"/>
              <w:bottom w:val="single" w:sz="4" w:color="808080"/>
              <w:right w:val="single" w:sz="4" w:color="808080"/>
            </w:tcBorders>
          </w:tcPr>
          <w:p>
            <w:r/>
            <w:r>
              <w:rPr>
                <w:sz w:val="20"/>
              </w:rPr>
              <w:t>Regionalizar el mensaje de tooltip vía ValidarCobroTooltipService, cacheado en memoria por región del usuario.</w:t>
            </w:r>
          </w:p>
        </w:tc>
        <w:tc>
          <w:tcPr>
            <w:tcBorders>
              <w:top w:val="single" w:sz="4" w:color="808080"/>
              <w:left w:val="single" w:sz="4" w:color="808080"/>
              <w:bottom w:val="single" w:sz="4" w:color="808080"/>
              <w:right w:val="single" w:sz="4" w:color="808080"/>
            </w:tcBorders>
          </w:tcPr>
          <w:p>
            <w:r/>
            <w:r>
              <w:rPr>
                <w:sz w:val="20"/>
              </w:rPr>
              <w:t>No aplica.</w:t>
            </w:r>
          </w:p>
        </w:tc>
      </w:tr>
    </w:tbl>
    <w:p>
      <w:pPr/>
    </w:p>
    <w:p>
      <w:pPr>
        <w:pStyle w:val="Heading2"/>
      </w:pPr>
      <w:r>
        <w:t>Requisitos Conservados (Sin cambios funcionales)</w:t>
      </w:r>
    </w:p>
    <w:tbl>
      <w:tblPr>
        <w:tblW w:w="5000" w:type="pct"/>
        <w:tblLook w:val="04A0"/>
      </w:tblPr>
      <w:tblGrid>
        <w:gridCol w:w="2250"/>
        <w:gridCol w:w="2250"/>
        <w:gridCol w:w="2250"/>
        <w:gridCol w:w="225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ID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Título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Back</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BD</w:t>
            </w:r>
          </w:p>
        </w:tc>
      </w:tr>
      <w:tr>
        <w:tc>
          <w:tcPr>
            <w:tcBorders>
              <w:top w:val="single" w:sz="4" w:color="808080"/>
              <w:left w:val="single" w:sz="4" w:color="808080"/>
              <w:bottom w:val="single" w:sz="4" w:color="808080"/>
              <w:right w:val="single" w:sz="4" w:color="808080"/>
            </w:tcBorders>
          </w:tcPr>
          <w:p>
            <w:r/>
            <w:r>
              <w:rPr>
                <w:sz w:val="20"/>
              </w:rPr>
              <w:t>RE-004</w:t>
            </w:r>
          </w:p>
        </w:tc>
        <w:tc>
          <w:tcPr>
            <w:tcBorders>
              <w:top w:val="single" w:sz="4" w:color="808080"/>
              <w:left w:val="single" w:sz="4" w:color="808080"/>
              <w:bottom w:val="single" w:sz="4" w:color="808080"/>
              <w:right w:val="single" w:sz="4" w:color="808080"/>
            </w:tcBorders>
          </w:tcPr>
          <w:p>
            <w:r/>
            <w:r>
              <w:rPr>
                <w:sz w:val="20"/>
              </w:rPr>
              <w:t>Sección Entrega y Facturación</w:t>
            </w:r>
          </w:p>
        </w:tc>
        <w:tc>
          <w:tcPr>
            <w:tcBorders>
              <w:top w:val="single" w:sz="4" w:color="808080"/>
              <w:left w:val="single" w:sz="4" w:color="808080"/>
              <w:bottom w:val="single" w:sz="4" w:color="808080"/>
              <w:right w:val="single" w:sz="4" w:color="808080"/>
            </w:tcBorders>
          </w:tcPr>
          <w:p>
            <w:r/>
            <w:r>
              <w:rPr>
                <w:sz w:val="20"/>
              </w:rPr>
              <w:t>Se conservan los validadores de RUC (Módulo 11), Forma Societaria y Régimen Tributario.</w:t>
            </w:r>
          </w:p>
        </w:tc>
        <w:tc>
          <w:tcPr>
            <w:tcBorders>
              <w:top w:val="single" w:sz="4" w:color="808080"/>
              <w:left w:val="single" w:sz="4" w:color="808080"/>
              <w:bottom w:val="single" w:sz="4" w:color="808080"/>
              <w:right w:val="single" w:sz="4" w:color="808080"/>
            </w:tcBorders>
          </w:tcPr>
          <w:p>
            <w:r/>
            <w:r>
              <w:rPr>
                <w:sz w:val="20"/>
              </w:rPr>
              <w:t>Tablas Cliente, CatalogoRegimenPeru y CatalogoTipoSociedadPeru sin cambios; se agrega bandera visual de "Sin efecto fiscal en R16".</w:t>
            </w:r>
          </w:p>
        </w:tc>
      </w:tr>
      <w:tr>
        <w:tc>
          <w:tcPr>
            <w:shd w:val="clear" w:color="auto" w:fill="F2F2F2"/>
            <w:tcBorders>
              <w:top w:val="single" w:sz="4" w:color="808080"/>
              <w:left w:val="single" w:sz="4" w:color="808080"/>
              <w:bottom w:val="single" w:sz="4" w:color="808080"/>
              <w:right w:val="single" w:sz="4" w:color="808080"/>
            </w:tcBorders>
          </w:tcPr>
          <w:p>
            <w:r/>
            <w:r>
              <w:rPr>
                <w:sz w:val="20"/>
              </w:rPr>
              <w:t>RE-017</w:t>
            </w:r>
          </w:p>
        </w:tc>
        <w:tc>
          <w:tcPr>
            <w:shd w:val="clear" w:color="auto" w:fill="F2F2F2"/>
            <w:tcBorders>
              <w:top w:val="single" w:sz="4" w:color="808080"/>
              <w:left w:val="single" w:sz="4" w:color="808080"/>
              <w:bottom w:val="single" w:sz="4" w:color="808080"/>
              <w:right w:val="single" w:sz="4" w:color="808080"/>
            </w:tcBorders>
          </w:tcPr>
          <w:p>
            <w:r/>
            <w:r>
              <w:rPr>
                <w:sz w:val="20"/>
              </w:rPr>
              <w:t>Proforma Perú (Diseño y PDF)</w:t>
            </w:r>
          </w:p>
        </w:tc>
        <w:tc>
          <w:tcPr>
            <w:shd w:val="clear" w:color="auto" w:fill="F2F2F2"/>
            <w:tcBorders>
              <w:top w:val="single" w:sz="4" w:color="808080"/>
              <w:left w:val="single" w:sz="4" w:color="808080"/>
              <w:bottom w:val="single" w:sz="4" w:color="808080"/>
              <w:right w:val="single" w:sz="4" w:color="808080"/>
            </w:tcBorders>
          </w:tcPr>
          <w:p>
            <w:r/>
            <w:r>
              <w:rPr>
                <w:sz w:val="20"/>
              </w:rPr>
              <w:t>Se conserva ProformaService.GenerarPeru completo, incluyendo disclaimer SUNAT (B4).</w:t>
            </w:r>
          </w:p>
        </w:tc>
        <w:tc>
          <w:tcPr>
            <w:shd w:val="clear" w:color="auto" w:fill="F2F2F2"/>
            <w:tcBorders>
              <w:top w:val="single" w:sz="4" w:color="808080"/>
              <w:left w:val="single" w:sz="4" w:color="808080"/>
              <w:bottom w:val="single" w:sz="4" w:color="808080"/>
              <w:right w:val="single" w:sz="4" w:color="808080"/>
            </w:tcBorders>
          </w:tcPr>
          <w:p>
            <w:r/>
            <w:r>
              <w:rPr>
                <w:sz w:val="20"/>
              </w:rPr>
              <w:t>Tablas tpProformaPedido y tpProformaPartidaPedido (scaffold Finanzas) sin cambios.</w:t>
            </w:r>
          </w:p>
        </w:tc>
      </w:tr>
      <w:tr>
        <w:tc>
          <w:tcPr>
            <w:tcBorders>
              <w:top w:val="single" w:sz="4" w:color="808080"/>
              <w:left w:val="single" w:sz="4" w:color="808080"/>
              <w:bottom w:val="single" w:sz="4" w:color="808080"/>
              <w:right w:val="single" w:sz="4" w:color="808080"/>
            </w:tcBorders>
          </w:tcPr>
          <w:p>
            <w:r/>
            <w:r>
              <w:rPr>
                <w:sz w:val="20"/>
              </w:rPr>
              <w:t>RE-025</w:t>
            </w:r>
          </w:p>
        </w:tc>
        <w:tc>
          <w:tcPr>
            <w:tcBorders>
              <w:top w:val="single" w:sz="4" w:color="808080"/>
              <w:left w:val="single" w:sz="4" w:color="808080"/>
              <w:bottom w:val="single" w:sz="4" w:color="808080"/>
              <w:right w:val="single" w:sz="4" w:color="808080"/>
            </w:tcBorders>
          </w:tcPr>
          <w:p>
            <w:r/>
            <w:r>
              <w:rPr>
                <w:sz w:val="20"/>
              </w:rPr>
              <w:t>Validar Cobro: Paso 1 Perú</w:t>
            </w:r>
          </w:p>
        </w:tc>
        <w:tc>
          <w:tcPr>
            <w:tcBorders>
              <w:top w:val="single" w:sz="4" w:color="808080"/>
              <w:left w:val="single" w:sz="4" w:color="808080"/>
              <w:bottom w:val="single" w:sz="4" w:color="808080"/>
              <w:right w:val="single" w:sz="4" w:color="808080"/>
            </w:tcBorders>
          </w:tcPr>
          <w:p>
            <w:r/>
            <w:r>
              <w:rPr>
                <w:sz w:val="20"/>
              </w:rPr>
              <w:t>Se conserva CapturaCobroCommand completo, mapeando el catálogo interno PROQUIFA de formas de pago.</w:t>
            </w:r>
          </w:p>
        </w:tc>
        <w:tc>
          <w:tcPr>
            <w:tcBorders>
              <w:top w:val="single" w:sz="4" w:color="808080"/>
              <w:left w:val="single" w:sz="4" w:color="808080"/>
              <w:bottom w:val="single" w:sz="4" w:color="808080"/>
              <w:right w:val="single" w:sz="4" w:color="808080"/>
            </w:tcBorders>
          </w:tcPr>
          <w:p>
            <w:r/>
            <w:r>
              <w:rPr>
                <w:sz w:val="20"/>
              </w:rPr>
              <w:t>Tablas Cobro y CobroDocumento sin cambios.</w:t>
            </w:r>
          </w:p>
        </w:tc>
      </w:tr>
    </w:tbl>
    <w:p>
      <w:pPr/>
    </w:p>
    <w:p>
      <w:pPr>
        <w:pStyle w:val="Heading2"/>
      </w:pPr>
      <w:r>
        <w:t>Limpieza de Referencias Cruzadas (Transversal)</w:t>
      </w:r>
    </w:p>
    <w:p>
      <w:pPr/>
      <w:r>
        <w:t>Se deben depurar comentarios de código, XML docs y textos de configuración en los servicios core de México para evitar ambigüedades:</w:t>
      </w:r>
    </w:p>
    <w:p>
      <w:pPr/>
      <w:r>
        <w:t>• RE-028 (Paso 3 México): eliminar comentarios que mencionan la reutilización del servicio para Perú.</w:t>
      </w:r>
    </w:p>
    <w:p>
      <w:pPr/>
      <w:r>
        <w:t>• RE-030 (CDP México): retirar en PaymentComplementService referencias a "documento equivalente SUNAT".</w:t>
      </w:r>
    </w:p>
    <w:p>
      <w:pPr/>
      <w:r>
        <w:t>• RE-032 / RE-034 (NC México): retirar ramas condicionales if (Region == "PERU") que no se ejecutan.</w:t>
      </w:r>
    </w:p>
    <w:p>
      <w:pPr/>
      <w:r>
        <w:t>• Endpoints-Finanzas.md y Endpoints-Timbrado.md: retirar operaciones marcadas como reservadas para SUNAT.</w:t>
      </w:r>
    </w:p>
    <w:p>
      <w:pPr/>
      <w:r>
        <w:t>• ER-Finanzas.md y ER-Timbrado.md: retirar entidades marcadas como pendientes para el canal SUNAT.</w:t>
      </w:r>
    </w:p>
    <w:p>
      <w:pPr>
        <w:pStyle w:val="Heading1"/>
      </w:pPr>
      <w:r>
        <w:t>Impacto por Solución Back</w:t>
      </w:r>
    </w:p>
    <w:p>
      <w:pPr>
        <w:pStyle w:val="Heading2"/>
      </w:pPr>
      <w:r>
        <w:t>ProquifaDotNet.Finanzas (.NET Core 10)</w:t>
      </w:r>
    </w:p>
    <w:tbl>
      <w:tblPr>
        <w:tblW w:w="5000" w:type="pct"/>
        <w:tblLook w:val="04A0"/>
      </w:tblPr>
      <w:tblGrid>
        <w:gridCol w:w="2250"/>
        <w:gridCol w:w="2250"/>
        <w:gridCol w:w="2250"/>
        <w:gridCol w:w="225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Capa / Módulo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Componente</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Domain</w:t>
            </w:r>
          </w:p>
        </w:tc>
        <w:tc>
          <w:tcPr>
            <w:tcBorders>
              <w:top w:val="single" w:sz="4" w:color="808080"/>
              <w:left w:val="single" w:sz="4" w:color="808080"/>
              <w:bottom w:val="single" w:sz="4" w:color="808080"/>
              <w:right w:val="single" w:sz="4" w:color="808080"/>
            </w:tcBorders>
          </w:tcPr>
          <w:p>
            <w:r/>
            <w:r>
              <w:rPr>
                <w:sz w:val="20"/>
              </w:rPr>
              <w:t>Entidades FacturaPeru, NotaCreditoPeru, ConfiguracionSunat, MotivoCatalogo09</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crean.</w:t>
            </w:r>
          </w:p>
        </w:tc>
      </w:tr>
      <w:tr>
        <w:tc>
          <w:tcPr>
            <w:shd w:val="clear" w:color="auto" w:fill="F2F2F2"/>
            <w:tcBorders>
              <w:top w:val="single" w:sz="4" w:color="808080"/>
              <w:left w:val="single" w:sz="4" w:color="808080"/>
              <w:bottom w:val="single" w:sz="4" w:color="808080"/>
              <w:right w:val="single" w:sz="4" w:color="808080"/>
            </w:tcBorders>
          </w:tcPr>
          <w:p>
            <w:r/>
            <w:r>
              <w:rPr>
                <w:sz w:val="20"/>
              </w:rPr>
              <w:t>Application</w:t>
            </w:r>
          </w:p>
        </w:tc>
        <w:tc>
          <w:tcPr>
            <w:shd w:val="clear" w:color="auto" w:fill="F2F2F2"/>
            <w:tcBorders>
              <w:top w:val="single" w:sz="4" w:color="808080"/>
              <w:left w:val="single" w:sz="4" w:color="808080"/>
              <w:bottom w:val="single" w:sz="4" w:color="808080"/>
              <w:right w:val="single" w:sz="4" w:color="808080"/>
            </w:tcBorders>
          </w:tcPr>
          <w:p>
            <w:r/>
            <w:r>
              <w:rPr>
                <w:sz w:val="20"/>
              </w:rPr>
              <w:t>FacturaPeruService, NotaCreditoPeruService, SunatXmlBuilder, Catalogo09MotivoService</w:t>
            </w:r>
          </w:p>
        </w:tc>
        <w:tc>
          <w:tcPr>
            <w:shd w:val="clear" w:color="auto" w:fill="F2F2F2"/>
            <w:tcBorders>
              <w:top w:val="single" w:sz="4" w:color="808080"/>
              <w:left w:val="single" w:sz="4" w:color="808080"/>
              <w:bottom w:val="single" w:sz="4" w:color="808080"/>
              <w:right w:val="single" w:sz="4" w:color="808080"/>
            </w:tcBorders>
          </w:tcPr>
          <w:p>
            <w:r/>
            <w:r>
              <w:rPr>
                <w:sz w:val="20"/>
              </w:rPr>
              <w:t>Cancelado</w:t>
            </w:r>
          </w:p>
        </w:tc>
        <w:tc>
          <w:tcPr>
            <w:shd w:val="clear" w:color="auto" w:fill="F2F2F2"/>
            <w:tcBorders>
              <w:top w:val="single" w:sz="4" w:color="808080"/>
              <w:left w:val="single" w:sz="4" w:color="808080"/>
              <w:bottom w:val="single" w:sz="4" w:color="808080"/>
              <w:right w:val="single" w:sz="4" w:color="808080"/>
            </w:tcBorders>
          </w:tcPr>
          <w:p>
            <w:r/>
            <w:r>
              <w:rPr>
                <w:sz w:val="20"/>
              </w:rPr>
              <w:t>No se implementan.</w:t>
            </w:r>
          </w:p>
        </w:tc>
      </w:tr>
      <w:tr>
        <w:tc>
          <w:tcPr>
            <w:tcBorders>
              <w:top w:val="single" w:sz="4" w:color="808080"/>
              <w:left w:val="single" w:sz="4" w:color="808080"/>
              <w:bottom w:val="single" w:sz="4" w:color="808080"/>
              <w:right w:val="single" w:sz="4" w:color="808080"/>
            </w:tcBorders>
          </w:tcPr>
          <w:p>
            <w:r/>
            <w:r>
              <w:rPr>
                <w:sz w:val="20"/>
              </w:rPr>
              <w:t>Infrastructure</w:t>
            </w:r>
          </w:p>
        </w:tc>
        <w:tc>
          <w:tcPr>
            <w:tcBorders>
              <w:top w:val="single" w:sz="4" w:color="808080"/>
              <w:left w:val="single" w:sz="4" w:color="808080"/>
              <w:bottom w:val="single" w:sz="4" w:color="808080"/>
              <w:right w:val="single" w:sz="4" w:color="808080"/>
            </w:tcBorders>
          </w:tcPr>
          <w:p>
            <w:r/>
            <w:r>
              <w:rPr>
                <w:sz w:val="20"/>
              </w:rPr>
              <w:t>Adaptador SUNAT/OSE (cliente HTTP UBL 2.1), configuración OSE, serialización UBL 2.1</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Se descarta la implementación.</w:t>
            </w:r>
          </w:p>
        </w:tc>
      </w:tr>
      <w:tr>
        <w:tc>
          <w:tcPr>
            <w:shd w:val="clear" w:color="auto" w:fill="F2F2F2"/>
            <w:tcBorders>
              <w:top w:val="single" w:sz="4" w:color="808080"/>
              <w:left w:val="single" w:sz="4" w:color="808080"/>
              <w:bottom w:val="single" w:sz="4" w:color="808080"/>
              <w:right w:val="single" w:sz="4" w:color="808080"/>
            </w:tcBorders>
          </w:tcPr>
          <w:p>
            <w:r/>
            <w:r>
              <w:rPr>
                <w:sz w:val="20"/>
              </w:rPr>
              <w:t>API</w:t>
            </w:r>
          </w:p>
        </w:tc>
        <w:tc>
          <w:tcPr>
            <w:shd w:val="clear" w:color="auto" w:fill="F2F2F2"/>
            <w:tcBorders>
              <w:top w:val="single" w:sz="4" w:color="808080"/>
              <w:left w:val="single" w:sz="4" w:color="808080"/>
              <w:bottom w:val="single" w:sz="4" w:color="808080"/>
              <w:right w:val="single" w:sz="4" w:color="808080"/>
            </w:tcBorders>
          </w:tcPr>
          <w:p>
            <w:r/>
            <w:r>
              <w:rPr>
                <w:sz w:val="20"/>
              </w:rPr>
              <w:t>FacturaPeruController, NotasCreditoPeruController</w:t>
            </w:r>
          </w:p>
        </w:tc>
        <w:tc>
          <w:tcPr>
            <w:shd w:val="clear" w:color="auto" w:fill="F2F2F2"/>
            <w:tcBorders>
              <w:top w:val="single" w:sz="4" w:color="808080"/>
              <w:left w:val="single" w:sz="4" w:color="808080"/>
              <w:bottom w:val="single" w:sz="4" w:color="808080"/>
              <w:right w:val="single" w:sz="4" w:color="808080"/>
            </w:tcBorders>
          </w:tcPr>
          <w:p>
            <w:r/>
            <w:r>
              <w:rPr>
                <w:sz w:val="20"/>
              </w:rPr>
              <w:t>Cancelado</w:t>
            </w:r>
          </w:p>
        </w:tc>
        <w:tc>
          <w:tcPr>
            <w:shd w:val="clear" w:color="auto" w:fill="F2F2F2"/>
            <w:tcBorders>
              <w:top w:val="single" w:sz="4" w:color="808080"/>
              <w:left w:val="single" w:sz="4" w:color="808080"/>
              <w:bottom w:val="single" w:sz="4" w:color="808080"/>
              <w:right w:val="single" w:sz="4" w:color="808080"/>
            </w:tcBorders>
          </w:tcPr>
          <w:p>
            <w:r/>
            <w:r>
              <w:rPr>
                <w:sz w:val="20"/>
              </w:rPr>
              <w:t>No se construyen los endpoints REST.</w:t>
            </w:r>
          </w:p>
        </w:tc>
      </w:tr>
      <w:tr>
        <w:tc>
          <w:tcPr>
            <w:tcBorders>
              <w:top w:val="single" w:sz="4" w:color="808080"/>
              <w:left w:val="single" w:sz="4" w:color="808080"/>
              <w:bottom w:val="single" w:sz="4" w:color="808080"/>
              <w:right w:val="single" w:sz="4" w:color="808080"/>
            </w:tcBorders>
          </w:tcPr>
          <w:p>
            <w:r/>
            <w:r>
              <w:rPr>
                <w:sz w:val="20"/>
              </w:rPr>
              <w:t>Worker.Finanzas</w:t>
            </w:r>
          </w:p>
        </w:tc>
        <w:tc>
          <w:tcPr>
            <w:tcBorders>
              <w:top w:val="single" w:sz="4" w:color="808080"/>
              <w:left w:val="single" w:sz="4" w:color="808080"/>
              <w:bottom w:val="single" w:sz="4" w:color="808080"/>
              <w:right w:val="single" w:sz="4" w:color="808080"/>
            </w:tcBorders>
          </w:tcPr>
          <w:p>
            <w:r/>
            <w:r>
              <w:rPr>
                <w:sz w:val="20"/>
              </w:rPr>
              <w:t>Consumidor RabbitMQ para el canal de timbrado SUNAT</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Solo se mantiene activo el consumidor TurboPac México.</w:t>
            </w:r>
          </w:p>
        </w:tc>
      </w:tr>
      <w:tr>
        <w:tc>
          <w:tcPr>
            <w:shd w:val="clear" w:color="auto" w:fill="F2F2F2"/>
            <w:tcBorders>
              <w:top w:val="single" w:sz="4" w:color="808080"/>
              <w:left w:val="single" w:sz="4" w:color="808080"/>
              <w:bottom w:val="single" w:sz="4" w:color="808080"/>
              <w:right w:val="single" w:sz="4" w:color="808080"/>
            </w:tcBorders>
          </w:tcPr>
          <w:p>
            <w:r/>
            <w:r>
              <w:rPr>
                <w:sz w:val="20"/>
              </w:rPr>
              <w:t>CQRS</w:t>
            </w:r>
          </w:p>
        </w:tc>
        <w:tc>
          <w:tcPr>
            <w:shd w:val="clear" w:color="auto" w:fill="F2F2F2"/>
            <w:tcBorders>
              <w:top w:val="single" w:sz="4" w:color="808080"/>
              <w:left w:val="single" w:sz="4" w:color="808080"/>
              <w:bottom w:val="single" w:sz="4" w:color="808080"/>
              <w:right w:val="single" w:sz="4" w:color="808080"/>
            </w:tcBorders>
          </w:tcPr>
          <w:p>
            <w:r/>
            <w:r>
              <w:rPr>
                <w:sz w:val="20"/>
              </w:rPr>
              <w:t>Commands y Queries de FpA, Factura y NC Perú</w:t>
            </w:r>
          </w:p>
        </w:tc>
        <w:tc>
          <w:tcPr>
            <w:shd w:val="clear" w:color="auto" w:fill="F2F2F2"/>
            <w:tcBorders>
              <w:top w:val="single" w:sz="4" w:color="808080"/>
              <w:left w:val="single" w:sz="4" w:color="808080"/>
              <w:bottom w:val="single" w:sz="4" w:color="808080"/>
              <w:right w:val="single" w:sz="4" w:color="808080"/>
            </w:tcBorders>
          </w:tcPr>
          <w:p>
            <w:r/>
            <w:r>
              <w:rPr>
                <w:sz w:val="20"/>
              </w:rPr>
              <w:t>Cancelado</w:t>
            </w:r>
          </w:p>
        </w:tc>
        <w:tc>
          <w:tcPr>
            <w:shd w:val="clear" w:color="auto" w:fill="F2F2F2"/>
            <w:tcBorders>
              <w:top w:val="single" w:sz="4" w:color="808080"/>
              <w:left w:val="single" w:sz="4" w:color="808080"/>
              <w:bottom w:val="single" w:sz="4" w:color="808080"/>
              <w:right w:val="single" w:sz="4" w:color="808080"/>
            </w:tcBorders>
          </w:tcPr>
          <w:p>
            <w:r/>
            <w:r>
              <w:rPr>
                <w:sz w:val="20"/>
              </w:rPr>
              <w:t>No se implementan.</w:t>
            </w:r>
          </w:p>
        </w:tc>
      </w:tr>
      <w:tr>
        <w:tc>
          <w:tcPr>
            <w:tcBorders>
              <w:top w:val="single" w:sz="4" w:color="808080"/>
              <w:left w:val="single" w:sz="4" w:color="808080"/>
              <w:bottom w:val="single" w:sz="4" w:color="808080"/>
              <w:right w:val="single" w:sz="4" w:color="808080"/>
            </w:tcBorders>
          </w:tcPr>
          <w:p>
            <w:r/>
            <w:r>
              <w:rPr>
                <w:sz w:val="20"/>
              </w:rPr>
              <w:t>EF Core Scaffold</w:t>
            </w:r>
          </w:p>
        </w:tc>
        <w:tc>
          <w:tcPr>
            <w:tcBorders>
              <w:top w:val="single" w:sz="4" w:color="808080"/>
              <w:left w:val="single" w:sz="4" w:color="808080"/>
              <w:bottom w:val="single" w:sz="4" w:color="808080"/>
              <w:right w:val="single" w:sz="4" w:color="808080"/>
            </w:tcBorders>
          </w:tcPr>
          <w:p>
            <w:r/>
            <w:r>
              <w:rPr>
                <w:sz w:val="20"/>
              </w:rPr>
              <w:t>Entidades SUNAT (Factura Perú, NC Perú, catálogos 09/51)</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generan.</w:t>
            </w:r>
          </w:p>
        </w:tc>
      </w:tr>
      <w:tr>
        <w:tc>
          <w:tcPr>
            <w:shd w:val="clear" w:color="auto" w:fill="F2F2F2"/>
            <w:tcBorders>
              <w:top w:val="single" w:sz="4" w:color="808080"/>
              <w:left w:val="single" w:sz="4" w:color="808080"/>
              <w:bottom w:val="single" w:sz="4" w:color="808080"/>
              <w:right w:val="single" w:sz="4" w:color="808080"/>
            </w:tcBorders>
          </w:tcPr>
          <w:p>
            <w:r/>
            <w:r>
              <w:rPr>
                <w:sz w:val="20"/>
              </w:rPr>
              <w:t>Endpoints Cobros/Proforma</w:t>
            </w:r>
          </w:p>
        </w:tc>
        <w:tc>
          <w:tcPr>
            <w:shd w:val="clear" w:color="auto" w:fill="F2F2F2"/>
            <w:tcBorders>
              <w:top w:val="single" w:sz="4" w:color="808080"/>
              <w:left w:val="single" w:sz="4" w:color="808080"/>
              <w:bottom w:val="single" w:sz="4" w:color="808080"/>
              <w:right w:val="single" w:sz="4" w:color="808080"/>
            </w:tcBorders>
          </w:tcPr>
          <w:p>
            <w:r/>
            <w:r>
              <w:rPr>
                <w:sz w:val="20"/>
              </w:rPr>
              <w:t>ProformaController, CobroController, ValidarCobroController</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Sin cambios (soportan Perú simplificado).</w:t>
            </w:r>
          </w:p>
        </w:tc>
      </w:tr>
    </w:tbl>
    <w:p>
      <w:pPr/>
    </w:p>
    <w:p>
      <w:pPr>
        <w:pStyle w:val="Heading2"/>
      </w:pPr>
      <w:r>
        <w:t>ProquifaDotNet.Timbrado (.NET Core 10)</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Componente</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StampingController (4 endpoints: invoice / payment-complement / credit-note / cancel)</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Solo México (TurboPac / SAT). Se retira toda referencia a SUNAT.</w:t>
            </w:r>
          </w:p>
        </w:tc>
      </w:tr>
      <w:tr>
        <w:tc>
          <w:tcPr>
            <w:shd w:val="clear" w:color="auto" w:fill="F2F2F2"/>
            <w:tcBorders>
              <w:top w:val="single" w:sz="4" w:color="808080"/>
              <w:left w:val="single" w:sz="4" w:color="808080"/>
              <w:bottom w:val="single" w:sz="4" w:color="808080"/>
              <w:right w:val="single" w:sz="4" w:color="808080"/>
            </w:tcBorders>
          </w:tcPr>
          <w:p>
            <w:r/>
            <w:r>
              <w:rPr>
                <w:sz w:val="20"/>
              </w:rPr>
              <w:t>SapStampingClient</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Sin rama SUNAT; solo canal SAT vía SAP.</w:t>
            </w:r>
          </w:p>
        </w:tc>
      </w:tr>
      <w:tr>
        <w:tc>
          <w:tcPr>
            <w:tcBorders>
              <w:top w:val="single" w:sz="4" w:color="808080"/>
              <w:left w:val="single" w:sz="4" w:color="808080"/>
              <w:bottom w:val="single" w:sz="4" w:color="808080"/>
              <w:right w:val="single" w:sz="4" w:color="808080"/>
            </w:tcBorders>
          </w:tcPr>
          <w:p>
            <w:r/>
            <w:r>
              <w:rPr>
                <w:sz w:val="20"/>
              </w:rPr>
              <w:t>AppSetting (configuración SUNAT/OSE)</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registran configuraciones de OSE.</w:t>
            </w:r>
          </w:p>
        </w:tc>
      </w:tr>
      <w:tr>
        <w:tc>
          <w:tcPr>
            <w:shd w:val="clear" w:color="auto" w:fill="F2F2F2"/>
            <w:tcBorders>
              <w:top w:val="single" w:sz="4" w:color="808080"/>
              <w:left w:val="single" w:sz="4" w:color="808080"/>
              <w:bottom w:val="single" w:sz="4" w:color="808080"/>
              <w:right w:val="single" w:sz="4" w:color="808080"/>
            </w:tcBorders>
          </w:tcPr>
          <w:p>
            <w:r/>
            <w:r>
              <w:rPr>
                <w:sz w:val="20"/>
              </w:rPr>
              <w:t>StampingLog</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Solo México registra en R16 (Action = Stamp/Cancel canal SAT).</w:t>
            </w:r>
          </w:p>
        </w:tc>
      </w:tr>
      <w:tr>
        <w:tc>
          <w:tcPr>
            <w:tcBorders>
              <w:top w:val="single" w:sz="4" w:color="808080"/>
              <w:left w:val="single" w:sz="4" w:color="808080"/>
              <w:bottom w:val="single" w:sz="4" w:color="808080"/>
              <w:right w:val="single" w:sz="4" w:color="808080"/>
            </w:tcBorders>
          </w:tcPr>
          <w:p>
            <w:r/>
            <w:r>
              <w:rPr>
                <w:sz w:val="20"/>
              </w:rPr>
              <w:t>DTOs (StampInvoiceRequestDto, StampCreditNoteRequestDto)</w:t>
            </w:r>
          </w:p>
        </w:tc>
        <w:tc>
          <w:tcPr>
            <w:tcBorders>
              <w:top w:val="single" w:sz="4" w:color="808080"/>
              <w:left w:val="single" w:sz="4" w:color="808080"/>
              <w:bottom w:val="single" w:sz="4" w:color="808080"/>
              <w:right w:val="single" w:sz="4" w:color="808080"/>
            </w:tcBorders>
          </w:tcPr>
          <w:p>
            <w:r/>
            <w:r>
              <w:rPr>
                <w:sz w:val="20"/>
              </w:rPr>
              <w:t>Ajuste</w:t>
            </w:r>
          </w:p>
        </w:tc>
        <w:tc>
          <w:tcPr>
            <w:tcBorders>
              <w:top w:val="single" w:sz="4" w:color="808080"/>
              <w:left w:val="single" w:sz="4" w:color="808080"/>
              <w:bottom w:val="single" w:sz="4" w:color="808080"/>
              <w:right w:val="single" w:sz="4" w:color="808080"/>
            </w:tcBorders>
          </w:tcPr>
          <w:p>
            <w:r/>
            <w:r>
              <w:rPr>
                <w:sz w:val="20"/>
              </w:rPr>
              <w:t>Se retira el discriminador de región y los campos SUNAT.</w:t>
            </w:r>
          </w:p>
        </w:tc>
      </w:tr>
      <w:tr>
        <w:tc>
          <w:tcPr>
            <w:shd w:val="clear" w:color="auto" w:fill="F2F2F2"/>
            <w:tcBorders>
              <w:top w:val="single" w:sz="4" w:color="808080"/>
              <w:left w:val="single" w:sz="4" w:color="808080"/>
              <w:bottom w:val="single" w:sz="4" w:color="808080"/>
              <w:right w:val="single" w:sz="4" w:color="808080"/>
            </w:tcBorders>
          </w:tcPr>
          <w:p>
            <w:r/>
            <w:r>
              <w:rPr>
                <w:sz w:val="20"/>
              </w:rPr>
              <w:t>Validadores por tipo</w:t>
            </w:r>
          </w:p>
        </w:tc>
        <w:tc>
          <w:tcPr>
            <w:shd w:val="clear" w:color="auto" w:fill="F2F2F2"/>
            <w:tcBorders>
              <w:top w:val="single" w:sz="4" w:color="808080"/>
              <w:left w:val="single" w:sz="4" w:color="808080"/>
              <w:bottom w:val="single" w:sz="4" w:color="808080"/>
              <w:right w:val="single" w:sz="4" w:color="808080"/>
            </w:tcBorders>
          </w:tcPr>
          <w:p>
            <w:r/>
            <w:r>
              <w:rPr>
                <w:sz w:val="20"/>
              </w:rPr>
              <w:t>Ajuste</w:t>
            </w:r>
          </w:p>
        </w:tc>
        <w:tc>
          <w:tcPr>
            <w:shd w:val="clear" w:color="auto" w:fill="F2F2F2"/>
            <w:tcBorders>
              <w:top w:val="single" w:sz="4" w:color="808080"/>
              <w:left w:val="single" w:sz="4" w:color="808080"/>
              <w:bottom w:val="single" w:sz="4" w:color="808080"/>
              <w:right w:val="single" w:sz="4" w:color="808080"/>
            </w:tcBorders>
          </w:tcPr>
          <w:p>
            <w:r/>
            <w:r>
              <w:rPr>
                <w:sz w:val="20"/>
              </w:rPr>
              <w:t>Se retira la rama SUNAT del pipeline de validación.</w:t>
            </w:r>
          </w:p>
        </w:tc>
      </w:tr>
      <w:tr>
        <w:tc>
          <w:tcPr>
            <w:tcBorders>
              <w:top w:val="single" w:sz="4" w:color="808080"/>
              <w:left w:val="single" w:sz="4" w:color="808080"/>
              <w:bottom w:val="single" w:sz="4" w:color="808080"/>
              <w:right w:val="single" w:sz="4" w:color="808080"/>
            </w:tcBorders>
          </w:tcPr>
          <w:p>
            <w:r/>
            <w:r>
              <w:rPr>
                <w:sz w:val="20"/>
              </w:rPr>
              <w:t>Worker.Timbrado</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Solo cola TurboPac. No se agrega cola SUNAT.</w:t>
            </w:r>
          </w:p>
        </w:tc>
      </w:tr>
    </w:tbl>
    <w:p>
      <w:pPr/>
    </w:p>
    <w:p>
      <w:pPr>
        <w:pStyle w:val="Heading2"/>
      </w:pPr>
      <w:r>
        <w:t>ProquifaDotNet.LegacySync (.NET Core 10)</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Componente</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PedidoCreditoSyncJob</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Ya excluye Perú por diseño (RE-010/011/012).</w:t>
            </w:r>
          </w:p>
        </w:tc>
      </w:tr>
      <w:tr>
        <w:tc>
          <w:tcPr>
            <w:shd w:val="clear" w:color="auto" w:fill="F2F2F2"/>
            <w:tcBorders>
              <w:top w:val="single" w:sz="4" w:color="808080"/>
              <w:left w:val="single" w:sz="4" w:color="808080"/>
              <w:bottom w:val="single" w:sz="4" w:color="808080"/>
              <w:right w:val="single" w:sz="4" w:color="808080"/>
            </w:tcBorders>
          </w:tcPr>
          <w:p>
            <w:r/>
            <w:r>
              <w:rPr>
                <w:sz w:val="20"/>
              </w:rPr>
              <w:t>PayloadBuilder</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Corte Perú en el servicio, sin cambios.</w:t>
            </w:r>
          </w:p>
        </w:tc>
      </w:tr>
      <w:tr>
        <w:tc>
          <w:tcPr>
            <w:tcBorders>
              <w:top w:val="single" w:sz="4" w:color="808080"/>
              <w:left w:val="single" w:sz="4" w:color="808080"/>
              <w:bottom w:val="single" w:sz="4" w:color="808080"/>
              <w:right w:val="single" w:sz="4" w:color="808080"/>
            </w:tcBorders>
          </w:tcPr>
          <w:p>
            <w:r/>
            <w:r>
              <w:rPr>
                <w:sz w:val="20"/>
              </w:rPr>
              <w:t>SyncControl</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Sin cambios.</w:t>
            </w:r>
          </w:p>
        </w:tc>
      </w:tr>
      <w:tr>
        <w:tc>
          <w:tcPr>
            <w:shd w:val="clear" w:color="auto" w:fill="F2F2F2"/>
            <w:tcBorders>
              <w:top w:val="single" w:sz="4" w:color="808080"/>
              <w:left w:val="single" w:sz="4" w:color="808080"/>
              <w:bottom w:val="single" w:sz="4" w:color="808080"/>
              <w:right w:val="single" w:sz="4" w:color="808080"/>
            </w:tcBorders>
          </w:tcPr>
          <w:p>
            <w:r/>
            <w:r>
              <w:rPr>
                <w:sz w:val="20"/>
              </w:rPr>
              <w:t>Facturación Perú → Legacy</w:t>
            </w:r>
          </w:p>
        </w:tc>
        <w:tc>
          <w:tcPr>
            <w:shd w:val="clear" w:color="auto" w:fill="F2F2F2"/>
            <w:tcBorders>
              <w:top w:val="single" w:sz="4" w:color="808080"/>
              <w:left w:val="single" w:sz="4" w:color="808080"/>
              <w:bottom w:val="single" w:sz="4" w:color="808080"/>
              <w:right w:val="single" w:sz="4" w:color="808080"/>
            </w:tcBorders>
          </w:tcPr>
          <w:p>
            <w:r/>
            <w:r>
              <w:rPr>
                <w:sz w:val="20"/>
              </w:rPr>
              <w:t>No aplica</w:t>
            </w:r>
          </w:p>
        </w:tc>
        <w:tc>
          <w:tcPr>
            <w:shd w:val="clear" w:color="auto" w:fill="F2F2F2"/>
            <w:tcBorders>
              <w:top w:val="single" w:sz="4" w:color="808080"/>
              <w:left w:val="single" w:sz="4" w:color="808080"/>
              <w:bottom w:val="single" w:sz="4" w:color="808080"/>
              <w:right w:val="single" w:sz="4" w:color="808080"/>
            </w:tcBorders>
          </w:tcPr>
          <w:p>
            <w:r/>
            <w:r>
              <w:rPr>
                <w:sz w:val="20"/>
              </w:rPr>
              <w:t>Perú nunca transfirió a Legacy.</w:t>
            </w:r>
          </w:p>
        </w:tc>
      </w:tr>
    </w:tbl>
    <w:p>
      <w:pPr/>
    </w:p>
    <w:p>
      <w:pPr>
        <w:pStyle w:val="Heading2"/>
      </w:pPr>
      <w:r>
        <w:t>ProquifaDotNet (.NET Framework 4.8 — Venta Interna)</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Componente</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TramitarPedidoController</w:t>
            </w:r>
          </w:p>
        </w:tc>
        <w:tc>
          <w:tcPr>
            <w:tcBorders>
              <w:top w:val="single" w:sz="4" w:color="808080"/>
              <w:left w:val="single" w:sz="4" w:color="808080"/>
              <w:bottom w:val="single" w:sz="4" w:color="808080"/>
              <w:right w:val="single" w:sz="4" w:color="808080"/>
            </w:tcBorders>
          </w:tcPr>
          <w:p>
            <w:r/>
            <w:r>
              <w:rPr>
                <w:sz w:val="20"/>
              </w:rPr>
              <w:t>Ajuste</w:t>
            </w:r>
          </w:p>
        </w:tc>
        <w:tc>
          <w:tcPr>
            <w:tcBorders>
              <w:top w:val="single" w:sz="4" w:color="808080"/>
              <w:left w:val="single" w:sz="4" w:color="808080"/>
              <w:bottom w:val="single" w:sz="4" w:color="808080"/>
              <w:right w:val="single" w:sz="4" w:color="808080"/>
            </w:tcBorders>
          </w:tcPr>
          <w:p>
            <w:r/>
            <w:r>
              <w:rPr>
                <w:sz w:val="20"/>
              </w:rPr>
              <w:t>Bloqueo condicional de FpA cuando región = PERU (RE-015).</w:t>
            </w:r>
          </w:p>
        </w:tc>
      </w:tr>
      <w:tr>
        <w:tc>
          <w:tcPr>
            <w:shd w:val="clear" w:color="auto" w:fill="F2F2F2"/>
            <w:tcBorders>
              <w:top w:val="single" w:sz="4" w:color="808080"/>
              <w:left w:val="single" w:sz="4" w:color="808080"/>
              <w:bottom w:val="single" w:sz="4" w:color="808080"/>
              <w:right w:val="single" w:sz="4" w:color="808080"/>
            </w:tcBorders>
          </w:tcPr>
          <w:p>
            <w:r/>
            <w:r>
              <w:rPr>
                <w:sz w:val="20"/>
              </w:rPr>
              <w:t>ValidarCobroController</w:t>
            </w:r>
          </w:p>
        </w:tc>
        <w:tc>
          <w:tcPr>
            <w:shd w:val="clear" w:color="auto" w:fill="F2F2F2"/>
            <w:tcBorders>
              <w:top w:val="single" w:sz="4" w:color="808080"/>
              <w:left w:val="single" w:sz="4" w:color="808080"/>
              <w:bottom w:val="single" w:sz="4" w:color="808080"/>
              <w:right w:val="single" w:sz="4" w:color="808080"/>
            </w:tcBorders>
          </w:tcPr>
          <w:p>
            <w:r/>
            <w:r>
              <w:rPr>
                <w:sz w:val="20"/>
              </w:rPr>
              <w:t>Ajuste</w:t>
            </w:r>
          </w:p>
        </w:tc>
        <w:tc>
          <w:tcPr>
            <w:shd w:val="clear" w:color="auto" w:fill="F2F2F2"/>
            <w:tcBorders>
              <w:top w:val="single" w:sz="4" w:color="808080"/>
              <w:left w:val="single" w:sz="4" w:color="808080"/>
              <w:bottom w:val="single" w:sz="4" w:color="808080"/>
              <w:right w:val="single" w:sz="4" w:color="808080"/>
            </w:tcBorders>
          </w:tcPr>
          <w:p>
            <w:r/>
            <w:r>
              <w:rPr>
                <w:sz w:val="20"/>
              </w:rPr>
              <w:t>Ruteo condicional por región para dirigir al servicio simplificado del Paso 3 Perú.</w:t>
            </w:r>
          </w:p>
        </w:tc>
      </w:tr>
      <w:tr>
        <w:tc>
          <w:tcPr>
            <w:tcBorders>
              <w:top w:val="single" w:sz="4" w:color="808080"/>
              <w:left w:val="single" w:sz="4" w:color="808080"/>
              <w:bottom w:val="single" w:sz="4" w:color="808080"/>
              <w:right w:val="single" w:sz="4" w:color="808080"/>
            </w:tcBorders>
          </w:tcPr>
          <w:p>
            <w:r/>
            <w:r>
              <w:rPr>
                <w:sz w:val="20"/>
              </w:rPr>
              <w:t>BitacoraCambios (integración)</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Sin cambios; sirve para México y Perú.</w:t>
            </w:r>
          </w:p>
        </w:tc>
      </w:tr>
      <w:tr>
        <w:tc>
          <w:tcPr>
            <w:shd w:val="clear" w:color="auto" w:fill="F2F2F2"/>
            <w:tcBorders>
              <w:top w:val="single" w:sz="4" w:color="808080"/>
              <w:left w:val="single" w:sz="4" w:color="808080"/>
              <w:bottom w:val="single" w:sz="4" w:color="808080"/>
              <w:right w:val="single" w:sz="4" w:color="808080"/>
            </w:tcBorders>
          </w:tcPr>
          <w:p>
            <w:r/>
            <w:r>
              <w:rPr>
                <w:sz w:val="20"/>
              </w:rPr>
              <w:t>APIs consumidas por Finanzas (tpPedido, ClienteCartera)</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Sin cambios.</w:t>
            </w:r>
          </w:p>
        </w:tc>
      </w:tr>
      <w:tr>
        <w:tc>
          <w:tcPr>
            <w:tcBorders>
              <w:top w:val="single" w:sz="4" w:color="808080"/>
              <w:left w:val="single" w:sz="4" w:color="808080"/>
              <w:bottom w:val="single" w:sz="4" w:color="808080"/>
              <w:right w:val="single" w:sz="4" w:color="808080"/>
            </w:tcBorders>
          </w:tcPr>
          <w:p>
            <w:r/>
            <w:r>
              <w:rPr>
                <w:sz w:val="20"/>
              </w:rPr>
              <w:t>FoliadorProformaService (global)</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Foliador PRF compartido entre regiones.</w:t>
            </w:r>
          </w:p>
        </w:tc>
      </w:tr>
    </w:tbl>
    <w:p>
      <w:pPr/>
    </w:p>
    <w:p>
      <w:pPr>
        <w:pStyle w:val="Heading1"/>
      </w:pPr>
      <w:r>
        <w:t>Impacto por Módulo Base de Datos</w:t>
      </w:r>
    </w:p>
    <w:p>
      <w:pPr>
        <w:pStyle w:val="Heading2"/>
      </w:pPr>
      <w:r>
        <w:t>BD ProquifaDotNet</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Objeto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Tabla CFDIGenerada</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Solo se registran CFDIs México (canal SAT).</w:t>
            </w:r>
          </w:p>
        </w:tc>
      </w:tr>
      <w:tr>
        <w:tc>
          <w:tcPr>
            <w:shd w:val="clear" w:color="auto" w:fill="F2F2F2"/>
            <w:tcBorders>
              <w:top w:val="single" w:sz="4" w:color="808080"/>
              <w:left w:val="single" w:sz="4" w:color="808080"/>
              <w:bottom w:val="single" w:sz="4" w:color="808080"/>
              <w:right w:val="single" w:sz="4" w:color="808080"/>
            </w:tcBorders>
          </w:tcPr>
          <w:p>
            <w:r/>
            <w:r>
              <w:rPr>
                <w:sz w:val="20"/>
              </w:rPr>
              <w:t>Tabla EmpresaFolio</w:t>
            </w:r>
          </w:p>
        </w:tc>
        <w:tc>
          <w:tcPr>
            <w:shd w:val="clear" w:color="auto" w:fill="F2F2F2"/>
            <w:tcBorders>
              <w:top w:val="single" w:sz="4" w:color="808080"/>
              <w:left w:val="single" w:sz="4" w:color="808080"/>
              <w:bottom w:val="single" w:sz="4" w:color="808080"/>
              <w:right w:val="single" w:sz="4" w:color="808080"/>
            </w:tcBorders>
          </w:tcPr>
          <w:p>
            <w:r/>
            <w:r>
              <w:rPr>
                <w:sz w:val="20"/>
              </w:rPr>
              <w:t>Ajuste</w:t>
            </w:r>
          </w:p>
        </w:tc>
        <w:tc>
          <w:tcPr>
            <w:shd w:val="clear" w:color="auto" w:fill="F2F2F2"/>
            <w:tcBorders>
              <w:top w:val="single" w:sz="4" w:color="808080"/>
              <w:left w:val="single" w:sz="4" w:color="808080"/>
              <w:bottom w:val="single" w:sz="4" w:color="808080"/>
              <w:right w:val="single" w:sz="4" w:color="808080"/>
            </w:tcBorders>
          </w:tcPr>
          <w:p>
            <w:r/>
            <w:r>
              <w:rPr>
                <w:sz w:val="20"/>
              </w:rPr>
              <w:t>La serie F001 GOLPERU se retira del alcance R16 (no se consume). Series P, P2 y por empresa México se conservan.</w:t>
            </w:r>
          </w:p>
        </w:tc>
      </w:tr>
      <w:tr>
        <w:tc>
          <w:tcPr>
            <w:tcBorders>
              <w:top w:val="single" w:sz="4" w:color="808080"/>
              <w:left w:val="single" w:sz="4" w:color="808080"/>
              <w:bottom w:val="single" w:sz="4" w:color="808080"/>
              <w:right w:val="single" w:sz="4" w:color="808080"/>
            </w:tcBorders>
          </w:tcPr>
          <w:p>
            <w:r/>
            <w:r>
              <w:rPr>
                <w:sz w:val="20"/>
              </w:rPr>
              <w:t>Series P (CP) y P2 (NC)</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Solo México.</w:t>
            </w:r>
          </w:p>
        </w:tc>
      </w:tr>
      <w:tr>
        <w:tc>
          <w:tcPr>
            <w:shd w:val="clear" w:color="auto" w:fill="F2F2F2"/>
            <w:tcBorders>
              <w:top w:val="single" w:sz="4" w:color="808080"/>
              <w:left w:val="single" w:sz="4" w:color="808080"/>
              <w:bottom w:val="single" w:sz="4" w:color="808080"/>
              <w:right w:val="single" w:sz="4" w:color="808080"/>
            </w:tcBorders>
          </w:tcPr>
          <w:p>
            <w:r/>
            <w:r>
              <w:rPr>
                <w:sz w:val="20"/>
              </w:rPr>
              <w:t>Tablas tpProformaPedido / tpProformaPartidaPedido</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Scaffold Finanzas sin cambios.</w:t>
            </w:r>
          </w:p>
        </w:tc>
      </w:tr>
      <w:tr>
        <w:tc>
          <w:tcPr>
            <w:tcBorders>
              <w:top w:val="single" w:sz="4" w:color="808080"/>
              <w:left w:val="single" w:sz="4" w:color="808080"/>
              <w:bottom w:val="single" w:sz="4" w:color="808080"/>
              <w:right w:val="single" w:sz="4" w:color="808080"/>
            </w:tcBorders>
          </w:tcPr>
          <w:p>
            <w:r/>
            <w:r>
              <w:rPr>
                <w:sz w:val="20"/>
              </w:rPr>
              <w:t>Tablas de NC Perú (motivos catálogo 09, referencia serie-correlativo)</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crean.</w:t>
            </w:r>
          </w:p>
        </w:tc>
      </w:tr>
      <w:tr>
        <w:tc>
          <w:tcPr>
            <w:shd w:val="clear" w:color="auto" w:fill="F2F2F2"/>
            <w:tcBorders>
              <w:top w:val="single" w:sz="4" w:color="808080"/>
              <w:left w:val="single" w:sz="4" w:color="808080"/>
              <w:bottom w:val="single" w:sz="4" w:color="808080"/>
              <w:right w:val="single" w:sz="4" w:color="808080"/>
            </w:tcBorders>
          </w:tcPr>
          <w:p>
            <w:r/>
            <w:r>
              <w:rPr>
                <w:sz w:val="20"/>
              </w:rPr>
              <w:t>Tablas de FpA Perú (configuración, series, correlativos SUNAT)</w:t>
            </w:r>
          </w:p>
        </w:tc>
        <w:tc>
          <w:tcPr>
            <w:shd w:val="clear" w:color="auto" w:fill="F2F2F2"/>
            <w:tcBorders>
              <w:top w:val="single" w:sz="4" w:color="808080"/>
              <w:left w:val="single" w:sz="4" w:color="808080"/>
              <w:bottom w:val="single" w:sz="4" w:color="808080"/>
              <w:right w:val="single" w:sz="4" w:color="808080"/>
            </w:tcBorders>
          </w:tcPr>
          <w:p>
            <w:r/>
            <w:r>
              <w:rPr>
                <w:sz w:val="20"/>
              </w:rPr>
              <w:t>Cancelado</w:t>
            </w:r>
          </w:p>
        </w:tc>
        <w:tc>
          <w:tcPr>
            <w:shd w:val="clear" w:color="auto" w:fill="F2F2F2"/>
            <w:tcBorders>
              <w:top w:val="single" w:sz="4" w:color="808080"/>
              <w:left w:val="single" w:sz="4" w:color="808080"/>
              <w:bottom w:val="single" w:sz="4" w:color="808080"/>
              <w:right w:val="single" w:sz="4" w:color="808080"/>
            </w:tcBorders>
          </w:tcPr>
          <w:p>
            <w:r/>
            <w:r>
              <w:rPr>
                <w:sz w:val="20"/>
              </w:rPr>
              <w:t>No se crean.</w:t>
            </w:r>
          </w:p>
        </w:tc>
      </w:tr>
      <w:tr>
        <w:tc>
          <w:tcPr>
            <w:tcBorders>
              <w:top w:val="single" w:sz="4" w:color="808080"/>
              <w:left w:val="single" w:sz="4" w:color="808080"/>
              <w:bottom w:val="single" w:sz="4" w:color="808080"/>
              <w:right w:val="single" w:sz="4" w:color="808080"/>
            </w:tcBorders>
          </w:tcPr>
          <w:p>
            <w:r/>
            <w:r>
              <w:rPr>
                <w:sz w:val="20"/>
              </w:rPr>
              <w:t>Catálogos SUNAT (09 motivos NC, 51 tipo de operación)</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crean.</w:t>
            </w:r>
          </w:p>
        </w:tc>
      </w:tr>
      <w:tr>
        <w:tc>
          <w:tcPr>
            <w:shd w:val="clear" w:color="auto" w:fill="F2F2F2"/>
            <w:tcBorders>
              <w:top w:val="single" w:sz="4" w:color="808080"/>
              <w:left w:val="single" w:sz="4" w:color="808080"/>
              <w:bottom w:val="single" w:sz="4" w:color="808080"/>
              <w:right w:val="single" w:sz="4" w:color="808080"/>
            </w:tcBorders>
          </w:tcPr>
          <w:p>
            <w:r/>
            <w:r>
              <w:rPr>
                <w:sz w:val="20"/>
              </w:rPr>
              <w:t>Cliente (campo Region = PERU)</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Se conserva capturable para futura reactivación.</w:t>
            </w:r>
          </w:p>
        </w:tc>
      </w:tr>
      <w:tr>
        <w:tc>
          <w:tcPr>
            <w:tcBorders>
              <w:top w:val="single" w:sz="4" w:color="808080"/>
              <w:left w:val="single" w:sz="4" w:color="808080"/>
              <w:bottom w:val="single" w:sz="4" w:color="808080"/>
              <w:right w:val="single" w:sz="4" w:color="808080"/>
            </w:tcBorders>
          </w:tcPr>
          <w:p>
            <w:r/>
            <w:r>
              <w:rPr>
                <w:sz w:val="20"/>
              </w:rPr>
              <w:t>Sección Cobros Perú (Detracción, Retención IGV, Condición de Pago, Tipo Comprobante)</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Se conservan capturables sin efecto fiscal en R16.</w:t>
            </w:r>
          </w:p>
        </w:tc>
      </w:tr>
      <w:tr>
        <w:tc>
          <w:tcPr>
            <w:shd w:val="clear" w:color="auto" w:fill="F2F2F2"/>
            <w:tcBorders>
              <w:top w:val="single" w:sz="4" w:color="808080"/>
              <w:left w:val="single" w:sz="4" w:color="808080"/>
              <w:bottom w:val="single" w:sz="4" w:color="808080"/>
              <w:right w:val="single" w:sz="4" w:color="808080"/>
            </w:tcBorders>
          </w:tcPr>
          <w:p>
            <w:r/>
            <w:r>
              <w:rPr>
                <w:sz w:val="20"/>
              </w:rPr>
              <w:t>Sección Entrega y Facturación Perú (RUC, Régimen, Forma Societaria)</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Sin cambios.</w:t>
            </w:r>
          </w:p>
        </w:tc>
      </w:tr>
    </w:tbl>
    <w:p>
      <w:pPr/>
    </w:p>
    <w:p>
      <w:pPr>
        <w:pStyle w:val="Heading2"/>
      </w:pPr>
      <w:r>
        <w:t>BD ProquifaDotNetTimbrado</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Objeto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Tabla AppSetting</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Solo entradas TurboPac México. No se agregan endpoints SUNAT.</w:t>
            </w:r>
          </w:p>
        </w:tc>
      </w:tr>
      <w:tr>
        <w:tc>
          <w:tcPr>
            <w:shd w:val="clear" w:color="auto" w:fill="F2F2F2"/>
            <w:tcBorders>
              <w:top w:val="single" w:sz="4" w:color="808080"/>
              <w:left w:val="single" w:sz="4" w:color="808080"/>
              <w:bottom w:val="single" w:sz="4" w:color="808080"/>
              <w:right w:val="single" w:sz="4" w:color="808080"/>
            </w:tcBorders>
          </w:tcPr>
          <w:p>
            <w:r/>
            <w:r>
              <w:rPr>
                <w:sz w:val="20"/>
              </w:rPr>
              <w:t>Tabla StampingLog</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Solo México registra en R16.</w:t>
            </w:r>
          </w:p>
        </w:tc>
      </w:tr>
      <w:tr>
        <w:tc>
          <w:tcPr>
            <w:tcBorders>
              <w:top w:val="single" w:sz="4" w:color="808080"/>
              <w:left w:val="single" w:sz="4" w:color="808080"/>
              <w:bottom w:val="single" w:sz="4" w:color="808080"/>
              <w:right w:val="single" w:sz="4" w:color="808080"/>
            </w:tcBorders>
          </w:tcPr>
          <w:p>
            <w:r/>
            <w:r>
              <w:rPr>
                <w:sz w:val="20"/>
              </w:rPr>
              <w:t>Configuraciones OSE (endpoints, credenciales, certificados)</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registran en R16.</w:t>
            </w:r>
          </w:p>
        </w:tc>
      </w:tr>
    </w:tbl>
    <w:p>
      <w:pPr/>
    </w:p>
    <w:p>
      <w:pPr>
        <w:pStyle w:val="Heading2"/>
      </w:pPr>
      <w:r>
        <w:t>BD PConnectProquifaDotNet (LegacySync)</w:t>
      </w:r>
    </w:p>
    <w:p>
      <w:pPr/>
      <w:r>
        <w:t>Sin impacto. Perú no transfiere a Legacy por diseño (RE-010/011/012). El SyncControl y los jobs de LegacySync no requieren ajustes.</w:t>
      </w:r>
    </w:p>
    <w:p>
      <w:pPr>
        <w:pStyle w:val="Heading2"/>
      </w:pPr>
      <w:r>
        <w:t>Scaffold EF Core (Finanzas)</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Entidad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Impacto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Cambio</w:t>
            </w:r>
          </w:p>
        </w:tc>
      </w:tr>
      <w:tr>
        <w:tc>
          <w:tcPr>
            <w:tcBorders>
              <w:top w:val="single" w:sz="4" w:color="808080"/>
              <w:left w:val="single" w:sz="4" w:color="808080"/>
              <w:bottom w:val="single" w:sz="4" w:color="808080"/>
              <w:right w:val="single" w:sz="4" w:color="808080"/>
            </w:tcBorders>
          </w:tcPr>
          <w:p>
            <w:r/>
            <w:r>
              <w:rPr>
                <w:sz w:val="20"/>
              </w:rPr>
              <w:t>FacturaPeru, NotaCreditoPeru, CatalogoSunat09, CatalogoSunat51</w:t>
            </w:r>
          </w:p>
        </w:tc>
        <w:tc>
          <w:tcPr>
            <w:tcBorders>
              <w:top w:val="single" w:sz="4" w:color="808080"/>
              <w:left w:val="single" w:sz="4" w:color="808080"/>
              <w:bottom w:val="single" w:sz="4" w:color="808080"/>
              <w:right w:val="single" w:sz="4" w:color="808080"/>
            </w:tcBorders>
          </w:tcPr>
          <w:p>
            <w:r/>
            <w:r>
              <w:rPr>
                <w:sz w:val="20"/>
              </w:rPr>
              <w:t>Cancelado</w:t>
            </w:r>
          </w:p>
        </w:tc>
        <w:tc>
          <w:tcPr>
            <w:tcBorders>
              <w:top w:val="single" w:sz="4" w:color="808080"/>
              <w:left w:val="single" w:sz="4" w:color="808080"/>
              <w:bottom w:val="single" w:sz="4" w:color="808080"/>
              <w:right w:val="single" w:sz="4" w:color="808080"/>
            </w:tcBorders>
          </w:tcPr>
          <w:p>
            <w:r/>
            <w:r>
              <w:rPr>
                <w:sz w:val="20"/>
              </w:rPr>
              <w:t>No se generan al ejecutar dotnet ef dbcontext scaffold.</w:t>
            </w:r>
          </w:p>
        </w:tc>
      </w:tr>
      <w:tr>
        <w:tc>
          <w:tcPr>
            <w:shd w:val="clear" w:color="auto" w:fill="F2F2F2"/>
            <w:tcBorders>
              <w:top w:val="single" w:sz="4" w:color="808080"/>
              <w:left w:val="single" w:sz="4" w:color="808080"/>
              <w:bottom w:val="single" w:sz="4" w:color="808080"/>
              <w:right w:val="single" w:sz="4" w:color="808080"/>
            </w:tcBorders>
          </w:tcPr>
          <w:p>
            <w:r/>
            <w:r>
              <w:rPr>
                <w:sz w:val="20"/>
              </w:rPr>
              <w:t>EmpresaFolio</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Se genera sin filtro; la serie F001 GOLPERU queda inactiva.</w:t>
            </w:r>
          </w:p>
        </w:tc>
      </w:tr>
      <w:tr>
        <w:tc>
          <w:tcPr>
            <w:tcBorders>
              <w:top w:val="single" w:sz="4" w:color="808080"/>
              <w:left w:val="single" w:sz="4" w:color="808080"/>
              <w:bottom w:val="single" w:sz="4" w:color="808080"/>
              <w:right w:val="single" w:sz="4" w:color="808080"/>
            </w:tcBorders>
          </w:tcPr>
          <w:p>
            <w:r/>
            <w:r>
              <w:rPr>
                <w:sz w:val="20"/>
              </w:rPr>
              <w:t>Cobro, Proforma, Cliente, ClienteCartera</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Sin cambios.</w:t>
            </w:r>
          </w:p>
        </w:tc>
      </w:tr>
      <w:tr>
        <w:tc>
          <w:tcPr>
            <w:shd w:val="clear" w:color="auto" w:fill="F2F2F2"/>
            <w:tcBorders>
              <w:top w:val="single" w:sz="4" w:color="808080"/>
              <w:left w:val="single" w:sz="4" w:color="808080"/>
              <w:bottom w:val="single" w:sz="4" w:color="808080"/>
              <w:right w:val="single" w:sz="4" w:color="808080"/>
            </w:tcBorders>
          </w:tcPr>
          <w:p>
            <w:r/>
            <w:r>
              <w:rPr>
                <w:sz w:val="20"/>
              </w:rPr>
              <w:t>tpProformaPedido, tpProformaPartidaPedido</w:t>
            </w:r>
          </w:p>
        </w:tc>
        <w:tc>
          <w:tcPr>
            <w:shd w:val="clear" w:color="auto" w:fill="F2F2F2"/>
            <w:tcBorders>
              <w:top w:val="single" w:sz="4" w:color="808080"/>
              <w:left w:val="single" w:sz="4" w:color="808080"/>
              <w:bottom w:val="single" w:sz="4" w:color="808080"/>
              <w:right w:val="single" w:sz="4" w:color="808080"/>
            </w:tcBorders>
          </w:tcPr>
          <w:p>
            <w:r/>
            <w:r>
              <w:rPr>
                <w:sz w:val="20"/>
              </w:rPr>
              <w:t>Conservar</w:t>
            </w:r>
          </w:p>
        </w:tc>
        <w:tc>
          <w:tcPr>
            <w:shd w:val="clear" w:color="auto" w:fill="F2F2F2"/>
            <w:tcBorders>
              <w:top w:val="single" w:sz="4" w:color="808080"/>
              <w:left w:val="single" w:sz="4" w:color="808080"/>
              <w:bottom w:val="single" w:sz="4" w:color="808080"/>
              <w:right w:val="single" w:sz="4" w:color="808080"/>
            </w:tcBorders>
          </w:tcPr>
          <w:p>
            <w:r/>
            <w:r>
              <w:rPr>
                <w:sz w:val="20"/>
              </w:rPr>
              <w:t>Scaffold sin cambios (jul 8 2026).</w:t>
            </w:r>
          </w:p>
        </w:tc>
      </w:tr>
      <w:tr>
        <w:tc>
          <w:tcPr>
            <w:tcBorders>
              <w:top w:val="single" w:sz="4" w:color="808080"/>
              <w:left w:val="single" w:sz="4" w:color="808080"/>
              <w:bottom w:val="single" w:sz="4" w:color="808080"/>
              <w:right w:val="single" w:sz="4" w:color="808080"/>
            </w:tcBorders>
          </w:tcPr>
          <w:p>
            <w:r/>
            <w:r>
              <w:rPr>
                <w:sz w:val="20"/>
              </w:rPr>
              <w:t>CFDIGenerada</w:t>
            </w:r>
          </w:p>
        </w:tc>
        <w:tc>
          <w:tcPr>
            <w:tcBorders>
              <w:top w:val="single" w:sz="4" w:color="808080"/>
              <w:left w:val="single" w:sz="4" w:color="808080"/>
              <w:bottom w:val="single" w:sz="4" w:color="808080"/>
              <w:right w:val="single" w:sz="4" w:color="808080"/>
            </w:tcBorders>
          </w:tcPr>
          <w:p>
            <w:r/>
            <w:r>
              <w:rPr>
                <w:sz w:val="20"/>
              </w:rPr>
              <w:t>Conservar</w:t>
            </w:r>
          </w:p>
        </w:tc>
        <w:tc>
          <w:tcPr>
            <w:tcBorders>
              <w:top w:val="single" w:sz="4" w:color="808080"/>
              <w:left w:val="single" w:sz="4" w:color="808080"/>
              <w:bottom w:val="single" w:sz="4" w:color="808080"/>
              <w:right w:val="single" w:sz="4" w:color="808080"/>
            </w:tcBorders>
          </w:tcPr>
          <w:p>
            <w:r/>
            <w:r>
              <w:rPr>
                <w:sz w:val="20"/>
              </w:rPr>
              <w:t>Sin cambios; solo se persisten CFDIs México.</w:t>
            </w:r>
          </w:p>
        </w:tc>
      </w:tr>
    </w:tbl>
    <w:p>
      <w:pPr/>
    </w:p>
    <w:p>
      <w:pPr>
        <w:pStyle w:val="Heading1"/>
      </w:pPr>
      <w:r>
        <w:t>Flujo Final de Perú vs México (Arquitectura Back)</w:t>
      </w:r>
    </w:p>
    <w:p>
      <w:pPr>
        <w:pStyle w:val="Heading2"/>
      </w:pPr>
      <w:r>
        <w:t>Flujo Técnico México (Completo)</w:t>
      </w:r>
    </w:p>
    <w:p>
      <w:pPr/>
      <w:r>
        <w:rPr>
          <w:rFonts w:ascii="Consolas" w:hAnsi="Consolas"/>
          <w:sz w:val="18"/>
        </w:rPr>
        <w:t>Arquitectura Back — Región México</w:t>
      </w:r>
    </w:p>
    <w:p>
      <w:pPr/>
      <w:r>
        <w:rPr>
          <w:rFonts w:ascii="Consolas" w:hAnsi="Consolas"/>
          <w:sz w:val="18"/>
        </w:rPr>
        <w:t xml:space="preserve"> </w:t>
      </w:r>
    </w:p>
    <w:p>
      <w:pPr/>
      <w:r>
        <w:rPr>
          <w:rFonts w:ascii="Consolas" w:hAnsi="Consolas"/>
          <w:sz w:val="18"/>
        </w:rPr>
        <w:t>ProquifaDotNet.API (Venta Interna)</w:t>
      </w:r>
    </w:p>
    <w:p>
      <w:pPr/>
      <w:r>
        <w:rPr>
          <w:rFonts w:ascii="Consolas" w:hAnsi="Consolas"/>
          <w:sz w:val="18"/>
        </w:rPr>
        <w:t xml:space="preserve">  ├─ TramitarPedidoController</w:t>
      </w:r>
    </w:p>
    <w:p>
      <w:pPr/>
      <w:r>
        <w:rPr>
          <w:rFonts w:ascii="Consolas" w:hAnsi="Consolas"/>
          <w:sz w:val="18"/>
        </w:rPr>
        <w:t xml:space="preserve">  │   ├─ Crédito (Sin/Con FpA) → LegacySync → PConnectProquifaDotNet</w:t>
      </w:r>
    </w:p>
    <w:p>
      <w:pPr/>
      <w:r>
        <w:rPr>
          <w:rFonts w:ascii="Consolas" w:hAnsi="Consolas"/>
          <w:sz w:val="18"/>
        </w:rPr>
        <w:t xml:space="preserve">  │   └─ Prepago</w:t>
      </w:r>
    </w:p>
    <w:p>
      <w:pPr/>
      <w:r>
        <w:rPr>
          <w:rFonts w:ascii="Consolas" w:hAnsi="Consolas"/>
          <w:sz w:val="18"/>
        </w:rPr>
        <w:t xml:space="preserve">  │       ├─ Con FpA → FpAService → StampingApi (TurboPac) → LegacySync</w:t>
      </w:r>
    </w:p>
    <w:p>
      <w:pPr/>
      <w:r>
        <w:rPr>
          <w:rFonts w:ascii="Consolas" w:hAnsi="Consolas"/>
          <w:sz w:val="18"/>
        </w:rPr>
        <w:t xml:space="preserve">  │       └─ Sin FpA → ProformaService → ValidarCobroFlow</w:t>
      </w:r>
    </w:p>
    <w:p>
      <w:pPr/>
      <w:r>
        <w:rPr>
          <w:rFonts w:ascii="Consolas" w:hAnsi="Consolas"/>
          <w:sz w:val="18"/>
        </w:rPr>
        <w:t xml:space="preserve"> </w:t>
      </w:r>
    </w:p>
    <w:p>
      <w:pPr/>
      <w:r>
        <w:rPr>
          <w:rFonts w:ascii="Consolas" w:hAnsi="Consolas"/>
          <w:sz w:val="18"/>
        </w:rPr>
        <w:t>ProquifaDotNet.Finanzas.API (Validar Cobro)</w:t>
      </w:r>
    </w:p>
    <w:p>
      <w:pPr/>
      <w:r>
        <w:rPr>
          <w:rFonts w:ascii="Consolas" w:hAnsi="Consolas"/>
          <w:sz w:val="18"/>
        </w:rPr>
        <w:t xml:space="preserve">  ├─ Paso 1: CapturaCobroCommand → BD ProquifaDotNet (Cobro)</w:t>
      </w:r>
    </w:p>
    <w:p>
      <w:pPr/>
      <w:r>
        <w:rPr>
          <w:rFonts w:ascii="Consolas" w:hAnsi="Consolas"/>
          <w:sz w:val="18"/>
        </w:rPr>
        <w:t xml:space="preserve">  ├─ Paso 2: AsociacionCommand + NCsQuery → BD ProquifaDotNet</w:t>
      </w:r>
    </w:p>
    <w:p>
      <w:pPr/>
      <w:r>
        <w:rPr>
          <w:rFonts w:ascii="Consolas" w:hAnsi="Consolas"/>
          <w:sz w:val="18"/>
        </w:rPr>
        <w:t xml:space="preserve">  └─ Paso 3</w:t>
      </w:r>
    </w:p>
    <w:p>
      <w:pPr/>
      <w:r>
        <w:rPr>
          <w:rFonts w:ascii="Consolas" w:hAnsi="Consolas"/>
          <w:sz w:val="18"/>
        </w:rPr>
        <w:t xml:space="preserve">      ├─ FacturaService → IApiCallerStamping.StampInvoiceAsync (Timbrado.API)</w:t>
      </w:r>
    </w:p>
    <w:p>
      <w:pPr/>
      <w:r>
        <w:rPr>
          <w:rFonts w:ascii="Consolas" w:hAnsi="Consolas"/>
          <w:sz w:val="18"/>
        </w:rPr>
        <w:t xml:space="preserve">      ├─ ComplementoPagoService → IApiCallerStamping.StampPaymentComplementAsync</w:t>
      </w:r>
    </w:p>
    <w:p>
      <w:pPr/>
      <w:r>
        <w:rPr>
          <w:rFonts w:ascii="Consolas" w:hAnsi="Consolas"/>
          <w:sz w:val="18"/>
        </w:rPr>
        <w:t xml:space="preserve">      ├─ LegacySync (Pedido, Pagos, Facturas)</w:t>
      </w:r>
    </w:p>
    <w:p>
      <w:pPr/>
      <w:r>
        <w:rPr>
          <w:rFonts w:ascii="Consolas" w:hAnsi="Consolas"/>
          <w:sz w:val="18"/>
        </w:rPr>
        <w:t xml:space="preserve">      └─ DocumentBuilder (PDF CFDI 4.0)</w:t>
      </w:r>
    </w:p>
    <w:p>
      <w:pPr/>
      <w:r>
        <w:rPr>
          <w:rFonts w:ascii="Consolas" w:hAnsi="Consolas"/>
          <w:sz w:val="18"/>
        </w:rPr>
        <w:t xml:space="preserve"> </w:t>
      </w:r>
    </w:p>
    <w:p>
      <w:pPr/>
      <w:r>
        <w:rPr>
          <w:rFonts w:ascii="Consolas" w:hAnsi="Consolas"/>
          <w:sz w:val="18"/>
        </w:rPr>
        <w:t>ProquifaDotNet.Timbrado.API</w:t>
      </w:r>
    </w:p>
    <w:p>
      <w:pPr/>
      <w:r>
        <w:rPr>
          <w:rFonts w:ascii="Consolas" w:hAnsi="Consolas"/>
          <w:sz w:val="18"/>
        </w:rPr>
        <w:t xml:space="preserve">  ├─ StampingController → SapStampingClient → SAP TurboPac</w:t>
      </w:r>
    </w:p>
    <w:p>
      <w:pPr/>
      <w:r>
        <w:rPr>
          <w:rFonts w:ascii="Consolas" w:hAnsi="Consolas"/>
          <w:sz w:val="18"/>
        </w:rPr>
        <w:t xml:space="preserve">  └─ StampingLog (BD ProquifaDotNetTimbrado)</w:t>
      </w:r>
    </w:p>
    <w:p>
      <w:pPr/>
      <w:r>
        <w:rPr>
          <w:rFonts w:ascii="Consolas" w:hAnsi="Consolas"/>
          <w:sz w:val="18"/>
        </w:rPr>
        <w:t xml:space="preserve"> </w:t>
      </w:r>
    </w:p>
    <w:p>
      <w:pPr/>
      <w:r>
        <w:rPr>
          <w:rFonts w:ascii="Consolas" w:hAnsi="Consolas"/>
          <w:sz w:val="18"/>
        </w:rPr>
        <w:t>ProquifaDotNet.Finanzas.API (NC México)</w:t>
      </w:r>
    </w:p>
    <w:p>
      <w:pPr/>
      <w:r>
        <w:rPr>
          <w:rFonts w:ascii="Consolas" w:hAnsi="Consolas"/>
          <w:sz w:val="18"/>
        </w:rPr>
        <w:t xml:space="preserve">  └─ NotasCreditoService → StampingApi (TurboPac) → PDF CFDI E</w:t>
      </w:r>
    </w:p>
    <w:p>
      <w:pPr>
        <w:pStyle w:val="Heading2"/>
      </w:pPr>
      <w:r>
        <w:t>Flujo Técnico Perú (Simplificado)</w:t>
      </w:r>
    </w:p>
    <w:p>
      <w:pPr/>
      <w:r>
        <w:rPr>
          <w:rFonts w:ascii="Consolas" w:hAnsi="Consolas"/>
          <w:sz w:val="18"/>
        </w:rPr>
        <w:t>Arquitectura Back — Región Perú (Simplificado)</w:t>
      </w:r>
    </w:p>
    <w:p>
      <w:pPr/>
      <w:r>
        <w:rPr>
          <w:rFonts w:ascii="Consolas" w:hAnsi="Consolas"/>
          <w:sz w:val="18"/>
        </w:rPr>
        <w:t xml:space="preserve"> </w:t>
      </w:r>
    </w:p>
    <w:p>
      <w:pPr/>
      <w:r>
        <w:rPr>
          <w:rFonts w:ascii="Consolas" w:hAnsi="Consolas"/>
          <w:sz w:val="18"/>
        </w:rPr>
        <w:t>ProquifaDotNet.API (Venta Interna)</w:t>
      </w:r>
    </w:p>
    <w:p>
      <w:pPr/>
      <w:r>
        <w:rPr>
          <w:rFonts w:ascii="Consolas" w:hAnsi="Consolas"/>
          <w:sz w:val="18"/>
        </w:rPr>
        <w:t xml:space="preserve">  ├─ TramitarPedidoController (FpA bloqueada para Perú)</w:t>
      </w:r>
    </w:p>
    <w:p>
      <w:pPr/>
      <w:r>
        <w:rPr>
          <w:rFonts w:ascii="Consolas" w:hAnsi="Consolas"/>
          <w:sz w:val="18"/>
        </w:rPr>
        <w:t xml:space="preserve">  │   └─ Prepago Sin FpA → ProformaService (Perú, RE-017) → ValidarCobroFlow</w:t>
      </w:r>
    </w:p>
    <w:p>
      <w:pPr/>
      <w:r>
        <w:rPr>
          <w:rFonts w:ascii="Consolas" w:hAnsi="Consolas"/>
          <w:sz w:val="18"/>
        </w:rPr>
        <w:t xml:space="preserve"> </w:t>
      </w:r>
    </w:p>
    <w:p>
      <w:pPr/>
      <w:r>
        <w:rPr>
          <w:rFonts w:ascii="Consolas" w:hAnsi="Consolas"/>
          <w:sz w:val="18"/>
        </w:rPr>
        <w:t>ProquifaDotNet.Finanzas.API (Validar Cobro Perú)</w:t>
      </w:r>
    </w:p>
    <w:p>
      <w:pPr/>
      <w:r>
        <w:rPr>
          <w:rFonts w:ascii="Consolas" w:hAnsi="Consolas"/>
          <w:sz w:val="18"/>
        </w:rPr>
        <w:t xml:space="preserve">  ├─ Paso 1: CapturaCobroCommand → BD ProquifaDotNet (Cobro)</w:t>
      </w:r>
    </w:p>
    <w:p>
      <w:pPr/>
      <w:r>
        <w:rPr>
          <w:rFonts w:ascii="Consolas" w:hAnsi="Consolas"/>
          <w:sz w:val="18"/>
        </w:rPr>
        <w:t xml:space="preserve">  ├─ Paso 2: AsociacionSimplificadaService → BD (sin NCs, sin catálogos SUNAT)</w:t>
      </w:r>
    </w:p>
    <w:p>
      <w:pPr/>
      <w:r>
        <w:rPr>
          <w:rFonts w:ascii="Consolas" w:hAnsi="Consolas"/>
          <w:sz w:val="18"/>
        </w:rPr>
        <w:t xml:space="preserve">  └─ Paso 3</w:t>
      </w:r>
    </w:p>
    <w:p>
      <w:pPr/>
      <w:r>
        <w:rPr>
          <w:rFonts w:ascii="Consolas" w:hAnsi="Consolas"/>
          <w:sz w:val="18"/>
        </w:rPr>
        <w:t xml:space="preserve">      ├─ SIN Timbrado (Finanzas NO consume IApiCallerStamping)</w:t>
      </w:r>
    </w:p>
    <w:p>
      <w:pPr/>
      <w:r>
        <w:rPr>
          <w:rFonts w:ascii="Consolas" w:hAnsi="Consolas"/>
          <w:sz w:val="18"/>
        </w:rPr>
        <w:t xml:space="preserve">      ├─ SIN LegacySync (Perú no transfiere)</w:t>
      </w:r>
    </w:p>
    <w:p>
      <w:pPr/>
      <w:r>
        <w:rPr>
          <w:rFonts w:ascii="Consolas" w:hAnsi="Consolas"/>
          <w:sz w:val="18"/>
        </w:rPr>
        <w:t xml:space="preserve">      ├─ ConfirmacionPedidoService → Correo (PDF único adjunto)</w:t>
      </w:r>
    </w:p>
    <w:p>
      <w:pPr/>
      <w:r>
        <w:rPr>
          <w:rFonts w:ascii="Consolas" w:hAnsi="Consolas"/>
          <w:sz w:val="18"/>
        </w:rPr>
        <w:t xml:space="preserve">      └─ FechaEstimadaEntregaService → BD</w:t>
      </w:r>
    </w:p>
    <w:p>
      <w:pPr/>
      <w:r>
        <w:rPr>
          <w:rFonts w:ascii="Consolas" w:hAnsi="Consolas"/>
          <w:sz w:val="18"/>
        </w:rPr>
        <w:t xml:space="preserve"> </w:t>
      </w:r>
    </w:p>
    <w:p>
      <w:pPr/>
      <w:r>
        <w:rPr>
          <w:rFonts w:ascii="Consolas" w:hAnsi="Consolas"/>
          <w:sz w:val="18"/>
        </w:rPr>
        <w:t>ProquifaDotNet.Timbrado.API — NO CONSUMIDO por Perú</w:t>
      </w:r>
    </w:p>
    <w:p>
      <w:pPr/>
      <w:r>
        <w:rPr>
          <w:rFonts w:ascii="Consolas" w:hAnsi="Consolas"/>
          <w:sz w:val="18"/>
        </w:rPr>
        <w:t xml:space="preserve"> </w:t>
      </w:r>
    </w:p>
    <w:p>
      <w:pPr/>
      <w:r>
        <w:rPr>
          <w:rFonts w:ascii="Consolas" w:hAnsi="Consolas"/>
          <w:sz w:val="18"/>
        </w:rPr>
        <w:t>ProquifaDotNet.Finanzas.API (NC Perú)</w:t>
      </w:r>
    </w:p>
    <w:p>
      <w:pPr/>
      <w:r>
        <w:rPr>
          <w:rFonts w:ascii="Consolas" w:hAnsi="Consolas"/>
          <w:sz w:val="18"/>
        </w:rPr>
        <w:t xml:space="preserve">  └─ NO EXISTE (Módulo NC Perú cancelado en R16)</w:t>
      </w:r>
    </w:p>
    <w:p>
      <w:pPr>
        <w:pStyle w:val="Heading2"/>
      </w:pPr>
      <w:r>
        <w:t>Aclaración sobre Prepago con Controlados en Perú (Back)</w:t>
      </w:r>
    </w:p>
    <w:p>
      <w:pPr/>
      <w:r>
        <w:t>El pedido con productos controlados de Perú avanza en el Back sin las capas duras de validación que rigen para México. En términos técnicos: TramitarPedidoCommand no aplica la validación bloqueante de RE-011 (Bloqueo FpA con controlados) cuando cliente.Region == "PERU"; el flujo se delega al control operativo del usuario. Las diferencias normativas se desglosan en la siguiente matriz:</w:t>
      </w:r>
    </w:p>
    <w:tbl>
      <w:tblPr>
        <w:tblW w:w="5000" w:type="pct"/>
        <w:tblLook w:val="04A0"/>
      </w:tblPr>
      <w:tblGrid>
        <w:gridCol w:w="3000"/>
        <w:gridCol w:w="3000"/>
        <w:gridCol w:w="30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Aspecto Regulatorio / Técnico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Comportamiento México (Back)</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Comportamiento Perú (Back)</w:t>
            </w:r>
          </w:p>
        </w:tc>
      </w:tr>
      <w:tr>
        <w:tc>
          <w:tcPr>
            <w:tcBorders>
              <w:top w:val="single" w:sz="4" w:color="808080"/>
              <w:left w:val="single" w:sz="4" w:color="808080"/>
              <w:bottom w:val="single" w:sz="4" w:color="808080"/>
              <w:right w:val="single" w:sz="4" w:color="808080"/>
            </w:tcBorders>
          </w:tcPr>
          <w:p>
            <w:r/>
            <w:r>
              <w:rPr>
                <w:sz w:val="20"/>
              </w:rPr>
              <w:t>Validación Regulatoria (RE-009)</w:t>
            </w:r>
          </w:p>
        </w:tc>
        <w:tc>
          <w:tcPr>
            <w:tcBorders>
              <w:top w:val="single" w:sz="4" w:color="808080"/>
              <w:left w:val="single" w:sz="4" w:color="808080"/>
              <w:bottom w:val="single" w:sz="4" w:color="808080"/>
              <w:right w:val="single" w:sz="4" w:color="808080"/>
            </w:tcBorders>
          </w:tcPr>
          <w:p>
            <w:r/>
            <w:r>
              <w:rPr>
                <w:sz w:val="20"/>
              </w:rPr>
              <w:t>PretramitarPedidoCommand valida vigencia de Licencia Sanitaria y Aviso; bloquea el avance.</w:t>
            </w:r>
          </w:p>
        </w:tc>
        <w:tc>
          <w:tcPr>
            <w:tcBorders>
              <w:top w:val="single" w:sz="4" w:color="808080"/>
              <w:left w:val="single" w:sz="4" w:color="808080"/>
              <w:bottom w:val="single" w:sz="4" w:color="808080"/>
              <w:right w:val="single" w:sz="4" w:color="808080"/>
            </w:tcBorders>
          </w:tcPr>
          <w:p>
            <w:r/>
            <w:r>
              <w:rPr>
                <w:sz w:val="20"/>
              </w:rPr>
              <w:t>No se implementa lógica de bloqueo en Back (fuera de alcance técnico).</w:t>
            </w:r>
          </w:p>
        </w:tc>
      </w:tr>
      <w:tr>
        <w:tc>
          <w:tcPr>
            <w:shd w:val="clear" w:color="auto" w:fill="F2F2F2"/>
            <w:tcBorders>
              <w:top w:val="single" w:sz="4" w:color="808080"/>
              <w:left w:val="single" w:sz="4" w:color="808080"/>
              <w:bottom w:val="single" w:sz="4" w:color="808080"/>
              <w:right w:val="single" w:sz="4" w:color="808080"/>
            </w:tcBorders>
          </w:tcPr>
          <w:p>
            <w:r/>
            <w:r>
              <w:rPr>
                <w:sz w:val="20"/>
              </w:rPr>
              <w:t>Restricción FpA con controlados (RE-011)</w:t>
            </w:r>
          </w:p>
        </w:tc>
        <w:tc>
          <w:tcPr>
            <w:shd w:val="clear" w:color="auto" w:fill="F2F2F2"/>
            <w:tcBorders>
              <w:top w:val="single" w:sz="4" w:color="808080"/>
              <w:left w:val="single" w:sz="4" w:color="808080"/>
              <w:bottom w:val="single" w:sz="4" w:color="808080"/>
              <w:right w:val="single" w:sz="4" w:color="808080"/>
            </w:tcBorders>
          </w:tcPr>
          <w:p>
            <w:r/>
            <w:r>
              <w:rPr>
                <w:sz w:val="20"/>
              </w:rPr>
              <w:t>FpaValidator lanza excepción si el pedido tiene sustancias controladas.</w:t>
            </w:r>
          </w:p>
        </w:tc>
        <w:tc>
          <w:tcPr>
            <w:shd w:val="clear" w:color="auto" w:fill="F2F2F2"/>
            <w:tcBorders>
              <w:top w:val="single" w:sz="4" w:color="808080"/>
              <w:left w:val="single" w:sz="4" w:color="808080"/>
              <w:bottom w:val="single" w:sz="4" w:color="808080"/>
              <w:right w:val="single" w:sz="4" w:color="808080"/>
            </w:tcBorders>
          </w:tcPr>
          <w:p>
            <w:r/>
            <w:r>
              <w:rPr>
                <w:sz w:val="20"/>
              </w:rPr>
              <w:t>No aplica restricción; la validación no se ejecuta para clientes Perú.</w:t>
            </w:r>
          </w:p>
        </w:tc>
      </w:tr>
      <w:tr>
        <w:tc>
          <w:tcPr>
            <w:tcBorders>
              <w:top w:val="single" w:sz="4" w:color="808080"/>
              <w:left w:val="single" w:sz="4" w:color="808080"/>
              <w:bottom w:val="single" w:sz="4" w:color="808080"/>
              <w:right w:val="single" w:sz="4" w:color="808080"/>
            </w:tcBorders>
          </w:tcPr>
          <w:p>
            <w:r/>
            <w:r>
              <w:rPr>
                <w:sz w:val="20"/>
              </w:rPr>
              <w:t>Restricción Entrega con Remisión</w:t>
            </w:r>
          </w:p>
        </w:tc>
        <w:tc>
          <w:tcPr>
            <w:tcBorders>
              <w:top w:val="single" w:sz="4" w:color="808080"/>
              <w:left w:val="single" w:sz="4" w:color="808080"/>
              <w:bottom w:val="single" w:sz="4" w:color="808080"/>
              <w:right w:val="single" w:sz="4" w:color="808080"/>
            </w:tcBorders>
          </w:tcPr>
          <w:p>
            <w:r/>
            <w:r>
              <w:rPr>
                <w:sz w:val="20"/>
              </w:rPr>
              <w:t>Prohibida por normatividad SAT; validada en Back.</w:t>
            </w:r>
          </w:p>
        </w:tc>
        <w:tc>
          <w:tcPr>
            <w:tcBorders>
              <w:top w:val="single" w:sz="4" w:color="808080"/>
              <w:left w:val="single" w:sz="4" w:color="808080"/>
              <w:bottom w:val="single" w:sz="4" w:color="808080"/>
              <w:right w:val="single" w:sz="4" w:color="808080"/>
            </w:tcBorders>
          </w:tcPr>
          <w:p>
            <w:r/>
            <w:r>
              <w:rPr>
                <w:sz w:val="20"/>
              </w:rPr>
              <w:t>No aplica restricción dentro del sistema.</w:t>
            </w:r>
          </w:p>
        </w:tc>
      </w:tr>
      <w:tr>
        <w:tc>
          <w:tcPr>
            <w:shd w:val="clear" w:color="auto" w:fill="F2F2F2"/>
            <w:tcBorders>
              <w:top w:val="single" w:sz="4" w:color="808080"/>
              <w:left w:val="single" w:sz="4" w:color="808080"/>
              <w:bottom w:val="single" w:sz="4" w:color="808080"/>
              <w:right w:val="single" w:sz="4" w:color="808080"/>
            </w:tcBorders>
          </w:tcPr>
          <w:p>
            <w:r/>
            <w:r>
              <w:rPr>
                <w:sz w:val="20"/>
              </w:rPr>
              <w:t>Tipo de Comprobante Emitido</w:t>
            </w:r>
          </w:p>
        </w:tc>
        <w:tc>
          <w:tcPr>
            <w:shd w:val="clear" w:color="auto" w:fill="F2F2F2"/>
            <w:tcBorders>
              <w:top w:val="single" w:sz="4" w:color="808080"/>
              <w:left w:val="single" w:sz="4" w:color="808080"/>
              <w:bottom w:val="single" w:sz="4" w:color="808080"/>
              <w:right w:val="single" w:sz="4" w:color="808080"/>
            </w:tcBorders>
          </w:tcPr>
          <w:p>
            <w:r/>
            <w:r>
              <w:rPr>
                <w:sz w:val="20"/>
              </w:rPr>
              <w:t>FacturaAnticipoService con Tipo de Relación 07 SAT.</w:t>
            </w:r>
          </w:p>
        </w:tc>
        <w:tc>
          <w:tcPr>
            <w:shd w:val="clear" w:color="auto" w:fill="F2F2F2"/>
            <w:tcBorders>
              <w:top w:val="single" w:sz="4" w:color="808080"/>
              <w:left w:val="single" w:sz="4" w:color="808080"/>
              <w:bottom w:val="single" w:sz="4" w:color="808080"/>
              <w:right w:val="single" w:sz="4" w:color="808080"/>
            </w:tcBorders>
          </w:tcPr>
          <w:p>
            <w:r/>
            <w:r>
              <w:rPr>
                <w:sz w:val="20"/>
              </w:rPr>
              <w:t>ProformaService (no genera factura comercial dentro del sistema).</w:t>
            </w:r>
          </w:p>
        </w:tc>
      </w:tr>
      <w:tr>
        <w:tc>
          <w:tcPr>
            <w:tcBorders>
              <w:top w:val="single" w:sz="4" w:color="808080"/>
              <w:left w:val="single" w:sz="4" w:color="808080"/>
              <w:bottom w:val="single" w:sz="4" w:color="808080"/>
              <w:right w:val="single" w:sz="4" w:color="808080"/>
            </w:tcBorders>
          </w:tcPr>
          <w:p>
            <w:r/>
            <w:r>
              <w:rPr>
                <w:sz w:val="20"/>
              </w:rPr>
              <w:t>Fundamento Legal / Operativo</w:t>
            </w:r>
          </w:p>
        </w:tc>
        <w:tc>
          <w:tcPr>
            <w:tcBorders>
              <w:top w:val="single" w:sz="4" w:color="808080"/>
              <w:left w:val="single" w:sz="4" w:color="808080"/>
              <w:bottom w:val="single" w:sz="4" w:color="808080"/>
              <w:right w:val="single" w:sz="4" w:color="808080"/>
            </w:tcBorders>
          </w:tcPr>
          <w:p>
            <w:r/>
            <w:r>
              <w:rPr>
                <w:sz w:val="20"/>
              </w:rPr>
              <w:t>El CFDI de venta de primera mano obliga a declarar el número de pedimento; al ser por adelantado, no existe.</w:t>
            </w:r>
          </w:p>
        </w:tc>
        <w:tc>
          <w:tcPr>
            <w:tcBorders>
              <w:top w:val="single" w:sz="4" w:color="808080"/>
              <w:left w:val="single" w:sz="4" w:color="808080"/>
              <w:bottom w:val="single" w:sz="4" w:color="808080"/>
              <w:right w:val="single" w:sz="4" w:color="808080"/>
            </w:tcBorders>
          </w:tcPr>
          <w:p>
            <w:r/>
            <w:r>
              <w:rPr>
                <w:sz w:val="20"/>
              </w:rPr>
              <w:t>La Ley del IGV faculta la facturación anticipada; en R16 se documenta con Proforma comercial.</w:t>
            </w:r>
          </w:p>
        </w:tc>
      </w:tr>
    </w:tbl>
    <w:p>
      <w:pPr/>
    </w:p>
    <w:p>
      <w:pPr>
        <w:pStyle w:val="Heading1"/>
      </w:pPr>
      <w:r>
        <w:t>Resumen Consolidado de Requisitos y Esfuerzo</w:t>
      </w:r>
    </w:p>
    <w:p>
      <w:pPr>
        <w:pStyle w:val="Heading2"/>
      </w:pPr>
      <w:r>
        <w:t>Tabla Numérica por Categoría de Impacto</w:t>
      </w:r>
    </w:p>
    <w:tbl>
      <w:tblPr>
        <w:tblW w:w="5000" w:type="pct"/>
        <w:tblLook w:val="04A0"/>
      </w:tblPr>
      <w:tblGrid>
        <w:gridCol w:w="1800"/>
        <w:gridCol w:w="1800"/>
        <w:gridCol w:w="1800"/>
        <w:gridCol w:w="1800"/>
        <w:gridCol w:w="18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Categoría de Acción</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Req. Afect.</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IDs de Requisito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Acción Real Ejecutada en Back+BD</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Esfuerzo vs Planeado</w:t>
            </w:r>
          </w:p>
        </w:tc>
      </w:tr>
      <w:tr>
        <w:tc>
          <w:tcPr>
            <w:tcBorders>
              <w:top w:val="single" w:sz="4" w:color="808080"/>
              <w:left w:val="single" w:sz="4" w:color="808080"/>
              <w:bottom w:val="single" w:sz="4" w:color="808080"/>
              <w:right w:val="single" w:sz="4" w:color="808080"/>
            </w:tcBorders>
          </w:tcPr>
          <w:p>
            <w:r/>
            <w:r>
              <w:rPr>
                <w:sz w:val="20"/>
              </w:rPr>
              <w:t>Cancelación de Desarrollo (Perú)</w:t>
            </w:r>
          </w:p>
        </w:tc>
        <w:tc>
          <w:tcPr>
            <w:tcBorders>
              <w:top w:val="single" w:sz="4" w:color="808080"/>
              <w:left w:val="single" w:sz="4" w:color="808080"/>
              <w:bottom w:val="single" w:sz="4" w:color="808080"/>
              <w:right w:val="single" w:sz="4" w:color="808080"/>
            </w:tcBorders>
          </w:tcPr>
          <w:p>
            <w:r/>
            <w:r>
              <w:rPr>
                <w:sz w:val="20"/>
              </w:rPr>
              <w:t>4</w:t>
            </w:r>
          </w:p>
        </w:tc>
        <w:tc>
          <w:tcPr>
            <w:tcBorders>
              <w:top w:val="single" w:sz="4" w:color="808080"/>
              <w:left w:val="single" w:sz="4" w:color="808080"/>
              <w:bottom w:val="single" w:sz="4" w:color="808080"/>
              <w:right w:val="single" w:sz="4" w:color="808080"/>
            </w:tcBorders>
          </w:tcPr>
          <w:p>
            <w:r/>
            <w:r>
              <w:rPr>
                <w:sz w:val="20"/>
              </w:rPr>
              <w:t>RE-020, RE-022, RE-033, RE-035</w:t>
            </w:r>
          </w:p>
        </w:tc>
        <w:tc>
          <w:tcPr>
            <w:tcBorders>
              <w:top w:val="single" w:sz="4" w:color="808080"/>
              <w:left w:val="single" w:sz="4" w:color="808080"/>
              <w:bottom w:val="single" w:sz="4" w:color="808080"/>
              <w:right w:val="single" w:sz="4" w:color="808080"/>
            </w:tcBorders>
          </w:tcPr>
          <w:p>
            <w:r/>
            <w:r>
              <w:rPr>
                <w:sz w:val="20"/>
              </w:rPr>
              <w:t>No se generan controladores, servicios, adaptadores SUNAT ni entidades/tablas SUNAT.</w:t>
            </w:r>
          </w:p>
        </w:tc>
        <w:tc>
          <w:tcPr>
            <w:tcBorders>
              <w:top w:val="single" w:sz="4" w:color="808080"/>
              <w:left w:val="single" w:sz="4" w:color="808080"/>
              <w:bottom w:val="single" w:sz="4" w:color="808080"/>
              <w:right w:val="single" w:sz="4" w:color="808080"/>
            </w:tcBorders>
          </w:tcPr>
          <w:p>
            <w:r/>
            <w:r>
              <w:rPr>
                <w:sz w:val="20"/>
              </w:rPr>
              <w:t>-100%</w:t>
            </w:r>
          </w:p>
        </w:tc>
      </w:tr>
      <w:tr>
        <w:tc>
          <w:tcPr>
            <w:shd w:val="clear" w:color="auto" w:fill="F2F2F2"/>
            <w:tcBorders>
              <w:top w:val="single" w:sz="4" w:color="808080"/>
              <w:left w:val="single" w:sz="4" w:color="808080"/>
              <w:bottom w:val="single" w:sz="4" w:color="808080"/>
              <w:right w:val="single" w:sz="4" w:color="808080"/>
            </w:tcBorders>
          </w:tcPr>
          <w:p>
            <w:r/>
            <w:r>
              <w:rPr>
                <w:sz w:val="20"/>
              </w:rPr>
              <w:t>Simplificación de Flujo Back</w:t>
            </w:r>
          </w:p>
        </w:tc>
        <w:tc>
          <w:tcPr>
            <w:shd w:val="clear" w:color="auto" w:fill="F2F2F2"/>
            <w:tcBorders>
              <w:top w:val="single" w:sz="4" w:color="808080"/>
              <w:left w:val="single" w:sz="4" w:color="808080"/>
              <w:bottom w:val="single" w:sz="4" w:color="808080"/>
              <w:right w:val="single" w:sz="4" w:color="808080"/>
            </w:tcBorders>
          </w:tcPr>
          <w:p>
            <w:r/>
            <w:r>
              <w:rPr>
                <w:sz w:val="20"/>
              </w:rPr>
              <w:t>2</w:t>
            </w:r>
          </w:p>
        </w:tc>
        <w:tc>
          <w:tcPr>
            <w:shd w:val="clear" w:color="auto" w:fill="F2F2F2"/>
            <w:tcBorders>
              <w:top w:val="single" w:sz="4" w:color="808080"/>
              <w:left w:val="single" w:sz="4" w:color="808080"/>
              <w:bottom w:val="single" w:sz="4" w:color="808080"/>
              <w:right w:val="single" w:sz="4" w:color="808080"/>
            </w:tcBorders>
          </w:tcPr>
          <w:p>
            <w:r/>
            <w:r>
              <w:rPr>
                <w:sz w:val="20"/>
              </w:rPr>
              <w:t>RE-027, RE-029</w:t>
            </w:r>
          </w:p>
        </w:tc>
        <w:tc>
          <w:tcPr>
            <w:shd w:val="clear" w:color="auto" w:fill="F2F2F2"/>
            <w:tcBorders>
              <w:top w:val="single" w:sz="4" w:color="808080"/>
              <w:left w:val="single" w:sz="4" w:color="808080"/>
              <w:bottom w:val="single" w:sz="4" w:color="808080"/>
              <w:right w:val="single" w:sz="4" w:color="808080"/>
            </w:tcBorders>
          </w:tcPr>
          <w:p>
            <w:r/>
            <w:r>
              <w:rPr>
                <w:sz w:val="20"/>
              </w:rPr>
              <w:t>Ramificación condicional en servicios de Validar Cobro; se retira la cascada de timbrado y NCs.</w:t>
            </w:r>
          </w:p>
        </w:tc>
        <w:tc>
          <w:tcPr>
            <w:shd w:val="clear" w:color="auto" w:fill="F2F2F2"/>
            <w:tcBorders>
              <w:top w:val="single" w:sz="4" w:color="808080"/>
              <w:left w:val="single" w:sz="4" w:color="808080"/>
              <w:bottom w:val="single" w:sz="4" w:color="808080"/>
              <w:right w:val="single" w:sz="4" w:color="808080"/>
            </w:tcBorders>
          </w:tcPr>
          <w:p>
            <w:r/>
            <w:r>
              <w:rPr>
                <w:sz w:val="20"/>
              </w:rPr>
              <w:t>-80%</w:t>
            </w:r>
          </w:p>
        </w:tc>
      </w:tr>
      <w:tr>
        <w:tc>
          <w:tcPr>
            <w:tcBorders>
              <w:top w:val="single" w:sz="4" w:color="808080"/>
              <w:left w:val="single" w:sz="4" w:color="808080"/>
              <w:bottom w:val="single" w:sz="4" w:color="808080"/>
              <w:right w:val="single" w:sz="4" w:color="808080"/>
            </w:tcBorders>
          </w:tcPr>
          <w:p>
            <w:r/>
            <w:r>
              <w:rPr>
                <w:sz w:val="20"/>
              </w:rPr>
              <w:t>Ajuste de Filtros por Región</w:t>
            </w:r>
          </w:p>
        </w:tc>
        <w:tc>
          <w:tcPr>
            <w:tcBorders>
              <w:top w:val="single" w:sz="4" w:color="808080"/>
              <w:left w:val="single" w:sz="4" w:color="808080"/>
              <w:bottom w:val="single" w:sz="4" w:color="808080"/>
              <w:right w:val="single" w:sz="4" w:color="808080"/>
            </w:tcBorders>
          </w:tcPr>
          <w:p>
            <w:r/>
            <w:r>
              <w:rPr>
                <w:sz w:val="20"/>
              </w:rPr>
              <w:t>3</w:t>
            </w:r>
          </w:p>
        </w:tc>
        <w:tc>
          <w:tcPr>
            <w:tcBorders>
              <w:top w:val="single" w:sz="4" w:color="808080"/>
              <w:left w:val="single" w:sz="4" w:color="808080"/>
              <w:bottom w:val="single" w:sz="4" w:color="808080"/>
              <w:right w:val="single" w:sz="4" w:color="808080"/>
            </w:tcBorders>
          </w:tcPr>
          <w:p>
            <w:r/>
            <w:r>
              <w:rPr>
                <w:sz w:val="20"/>
              </w:rPr>
              <w:t>RE-015, RE-018, RE-023</w:t>
            </w:r>
          </w:p>
        </w:tc>
        <w:tc>
          <w:tcPr>
            <w:tcBorders>
              <w:top w:val="single" w:sz="4" w:color="808080"/>
              <w:left w:val="single" w:sz="4" w:color="808080"/>
              <w:bottom w:val="single" w:sz="4" w:color="808080"/>
              <w:right w:val="single" w:sz="4" w:color="808080"/>
            </w:tcBorders>
          </w:tcPr>
          <w:p>
            <w:r/>
            <w:r>
              <w:rPr>
                <w:sz w:val="20"/>
              </w:rPr>
              <w:t>Filtros en repositorios/queries y validación de commands existentes.</w:t>
            </w:r>
          </w:p>
        </w:tc>
        <w:tc>
          <w:tcPr>
            <w:tcBorders>
              <w:top w:val="single" w:sz="4" w:color="808080"/>
              <w:left w:val="single" w:sz="4" w:color="808080"/>
              <w:bottom w:val="single" w:sz="4" w:color="808080"/>
              <w:right w:val="single" w:sz="4" w:color="808080"/>
            </w:tcBorders>
          </w:tcPr>
          <w:p>
            <w:r/>
            <w:r>
              <w:rPr>
                <w:sz w:val="20"/>
              </w:rPr>
              <w:t>-20%</w:t>
            </w:r>
          </w:p>
        </w:tc>
      </w:tr>
      <w:tr>
        <w:tc>
          <w:tcPr>
            <w:shd w:val="clear" w:color="auto" w:fill="F2F2F2"/>
            <w:tcBorders>
              <w:top w:val="single" w:sz="4" w:color="808080"/>
              <w:left w:val="single" w:sz="4" w:color="808080"/>
              <w:bottom w:val="single" w:sz="4" w:color="808080"/>
              <w:right w:val="single" w:sz="4" w:color="808080"/>
            </w:tcBorders>
          </w:tcPr>
          <w:p>
            <w:r/>
            <w:r>
              <w:rPr>
                <w:sz w:val="20"/>
              </w:rPr>
              <w:t>Conservación Absoluta</w:t>
            </w:r>
          </w:p>
        </w:tc>
        <w:tc>
          <w:tcPr>
            <w:shd w:val="clear" w:color="auto" w:fill="F2F2F2"/>
            <w:tcBorders>
              <w:top w:val="single" w:sz="4" w:color="808080"/>
              <w:left w:val="single" w:sz="4" w:color="808080"/>
              <w:bottom w:val="single" w:sz="4" w:color="808080"/>
              <w:right w:val="single" w:sz="4" w:color="808080"/>
            </w:tcBorders>
          </w:tcPr>
          <w:p>
            <w:r/>
            <w:r>
              <w:rPr>
                <w:sz w:val="20"/>
              </w:rPr>
              <w:t>3</w:t>
            </w:r>
          </w:p>
        </w:tc>
        <w:tc>
          <w:tcPr>
            <w:shd w:val="clear" w:color="auto" w:fill="F2F2F2"/>
            <w:tcBorders>
              <w:top w:val="single" w:sz="4" w:color="808080"/>
              <w:left w:val="single" w:sz="4" w:color="808080"/>
              <w:bottom w:val="single" w:sz="4" w:color="808080"/>
              <w:right w:val="single" w:sz="4" w:color="808080"/>
            </w:tcBorders>
          </w:tcPr>
          <w:p>
            <w:r/>
            <w:r>
              <w:rPr>
                <w:sz w:val="20"/>
              </w:rPr>
              <w:t>RE-004, RE-017, RE-025</w:t>
            </w:r>
          </w:p>
        </w:tc>
        <w:tc>
          <w:tcPr>
            <w:shd w:val="clear" w:color="auto" w:fill="F2F2F2"/>
            <w:tcBorders>
              <w:top w:val="single" w:sz="4" w:color="808080"/>
              <w:left w:val="single" w:sz="4" w:color="808080"/>
              <w:bottom w:val="single" w:sz="4" w:color="808080"/>
              <w:right w:val="single" w:sz="4" w:color="808080"/>
            </w:tcBorders>
          </w:tcPr>
          <w:p>
            <w:r/>
            <w:r>
              <w:rPr>
                <w:sz w:val="20"/>
              </w:rPr>
              <w:t>Sin cambios en servicios ni tablas.</w:t>
            </w:r>
          </w:p>
        </w:tc>
        <w:tc>
          <w:tcPr>
            <w:shd w:val="clear" w:color="auto" w:fill="F2F2F2"/>
            <w:tcBorders>
              <w:top w:val="single" w:sz="4" w:color="808080"/>
              <w:left w:val="single" w:sz="4" w:color="808080"/>
              <w:bottom w:val="single" w:sz="4" w:color="808080"/>
              <w:right w:val="single" w:sz="4" w:color="808080"/>
            </w:tcBorders>
          </w:tcPr>
          <w:p>
            <w:r/>
            <w:r>
              <w:rPr>
                <w:sz w:val="20"/>
              </w:rPr>
              <w:t>0%</w:t>
            </w:r>
          </w:p>
        </w:tc>
      </w:tr>
    </w:tbl>
    <w:p>
      <w:pPr/>
    </w:p>
    <w:p>
      <w:pPr/>
      <w:r>
        <w:rPr>
          <w:b/>
        </w:rPr>
        <w:t>Reducción neta global del esfuerzo estimado de Back+BD para la Región Perú: ~60%</w:t>
      </w:r>
    </w:p>
    <w:p>
      <w:pPr>
        <w:pStyle w:val="Heading2"/>
      </w:pPr>
      <w:r>
        <w:t>Resumen por Tipo de Requisito Original</w:t>
      </w:r>
    </w:p>
    <w:tbl>
      <w:tblPr>
        <w:tblW w:w="5000" w:type="pct"/>
        <w:tblLook w:val="04A0"/>
      </w:tblPr>
      <w:tblGrid>
        <w:gridCol w:w="1800"/>
        <w:gridCol w:w="1800"/>
        <w:gridCol w:w="1800"/>
        <w:gridCol w:w="1800"/>
        <w:gridCol w:w="18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Tipo de Requisito Original</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Total General</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Cancelados (Perú)</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Simplificados (Perú)</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Conservados Core</w:t>
            </w:r>
          </w:p>
        </w:tc>
      </w:tr>
      <w:tr>
        <w:tc>
          <w:tcPr>
            <w:tcBorders>
              <w:top w:val="single" w:sz="4" w:color="808080"/>
              <w:left w:val="single" w:sz="4" w:color="808080"/>
              <w:bottom w:val="single" w:sz="4" w:color="808080"/>
              <w:right w:val="single" w:sz="4" w:color="808080"/>
            </w:tcBorders>
          </w:tcPr>
          <w:p>
            <w:r/>
            <w:r>
              <w:rPr>
                <w:sz w:val="20"/>
              </w:rPr>
              <w:t>Factura por Adelantado</w:t>
            </w:r>
          </w:p>
        </w:tc>
        <w:tc>
          <w:tcPr>
            <w:tcBorders>
              <w:top w:val="single" w:sz="4" w:color="808080"/>
              <w:left w:val="single" w:sz="4" w:color="808080"/>
              <w:bottom w:val="single" w:sz="4" w:color="808080"/>
              <w:right w:val="single" w:sz="4" w:color="808080"/>
            </w:tcBorders>
          </w:tcPr>
          <w:p>
            <w:r/>
            <w:r>
              <w:rPr>
                <w:sz w:val="20"/>
              </w:rPr>
              <w:t>2 (RE-019/20)</w:t>
            </w:r>
          </w:p>
        </w:tc>
        <w:tc>
          <w:tcPr>
            <w:tcBorders>
              <w:top w:val="single" w:sz="4" w:color="808080"/>
              <w:left w:val="single" w:sz="4" w:color="808080"/>
              <w:bottom w:val="single" w:sz="4" w:color="808080"/>
              <w:right w:val="single" w:sz="4" w:color="808080"/>
            </w:tcBorders>
          </w:tcPr>
          <w:p>
            <w:r/>
            <w:r>
              <w:rPr>
                <w:sz w:val="20"/>
              </w:rPr>
              <w:t>1 (RE-020)</w:t>
            </w:r>
          </w:p>
        </w:tc>
        <w:tc>
          <w:tcPr>
            <w:tcBorders>
              <w:top w:val="single" w:sz="4" w:color="808080"/>
              <w:left w:val="single" w:sz="4" w:color="808080"/>
              <w:bottom w:val="single" w:sz="4" w:color="808080"/>
              <w:right w:val="single" w:sz="4" w:color="808080"/>
            </w:tcBorders>
          </w:tcPr>
          <w:p>
            <w:r/>
            <w:r>
              <w:rPr>
                <w:sz w:val="20"/>
              </w:rPr>
              <w:t>0</w:t>
            </w:r>
          </w:p>
        </w:tc>
        <w:tc>
          <w:tcPr>
            <w:tcBorders>
              <w:top w:val="single" w:sz="4" w:color="808080"/>
              <w:left w:val="single" w:sz="4" w:color="808080"/>
              <w:bottom w:val="single" w:sz="4" w:color="808080"/>
              <w:right w:val="single" w:sz="4" w:color="808080"/>
            </w:tcBorders>
          </w:tcPr>
          <w:p>
            <w:r/>
            <w:r>
              <w:rPr>
                <w:sz w:val="20"/>
              </w:rPr>
              <w:t>1 (RE-019 México)</w:t>
            </w:r>
          </w:p>
        </w:tc>
      </w:tr>
      <w:tr>
        <w:tc>
          <w:tcPr>
            <w:shd w:val="clear" w:color="auto" w:fill="F2F2F2"/>
            <w:tcBorders>
              <w:top w:val="single" w:sz="4" w:color="808080"/>
              <w:left w:val="single" w:sz="4" w:color="808080"/>
              <w:bottom w:val="single" w:sz="4" w:color="808080"/>
              <w:right w:val="single" w:sz="4" w:color="808080"/>
            </w:tcBorders>
          </w:tcPr>
          <w:p>
            <w:r/>
            <w:r>
              <w:rPr>
                <w:sz w:val="20"/>
              </w:rPr>
              <w:t>Factura Estructura PDF</w:t>
            </w:r>
          </w:p>
        </w:tc>
        <w:tc>
          <w:tcPr>
            <w:shd w:val="clear" w:color="auto" w:fill="F2F2F2"/>
            <w:tcBorders>
              <w:top w:val="single" w:sz="4" w:color="808080"/>
              <w:left w:val="single" w:sz="4" w:color="808080"/>
              <w:bottom w:val="single" w:sz="4" w:color="808080"/>
              <w:right w:val="single" w:sz="4" w:color="808080"/>
            </w:tcBorders>
          </w:tcPr>
          <w:p>
            <w:r/>
            <w:r>
              <w:rPr>
                <w:sz w:val="20"/>
              </w:rPr>
              <w:t>2 (RE-021/22)</w:t>
            </w:r>
          </w:p>
        </w:tc>
        <w:tc>
          <w:tcPr>
            <w:shd w:val="clear" w:color="auto" w:fill="F2F2F2"/>
            <w:tcBorders>
              <w:top w:val="single" w:sz="4" w:color="808080"/>
              <w:left w:val="single" w:sz="4" w:color="808080"/>
              <w:bottom w:val="single" w:sz="4" w:color="808080"/>
              <w:right w:val="single" w:sz="4" w:color="808080"/>
            </w:tcBorders>
          </w:tcPr>
          <w:p>
            <w:r/>
            <w:r>
              <w:rPr>
                <w:sz w:val="20"/>
              </w:rPr>
              <w:t>1 (RE-022)</w:t>
            </w:r>
          </w:p>
        </w:tc>
        <w:tc>
          <w:tcPr>
            <w:shd w:val="clear" w:color="auto" w:fill="F2F2F2"/>
            <w:tcBorders>
              <w:top w:val="single" w:sz="4" w:color="808080"/>
              <w:left w:val="single" w:sz="4" w:color="808080"/>
              <w:bottom w:val="single" w:sz="4" w:color="808080"/>
              <w:right w:val="single" w:sz="4" w:color="808080"/>
            </w:tcBorders>
          </w:tcPr>
          <w:p>
            <w:r/>
            <w:r>
              <w:rPr>
                <w:sz w:val="20"/>
              </w:rPr>
              <w:t>0</w:t>
            </w:r>
          </w:p>
        </w:tc>
        <w:tc>
          <w:tcPr>
            <w:shd w:val="clear" w:color="auto" w:fill="F2F2F2"/>
            <w:tcBorders>
              <w:top w:val="single" w:sz="4" w:color="808080"/>
              <w:left w:val="single" w:sz="4" w:color="808080"/>
              <w:bottom w:val="single" w:sz="4" w:color="808080"/>
              <w:right w:val="single" w:sz="4" w:color="808080"/>
            </w:tcBorders>
          </w:tcPr>
          <w:p>
            <w:r/>
            <w:r>
              <w:rPr>
                <w:sz w:val="20"/>
              </w:rPr>
              <w:t>1 (RE-021 México)</w:t>
            </w:r>
          </w:p>
        </w:tc>
      </w:tr>
      <w:tr>
        <w:tc>
          <w:tcPr>
            <w:tcBorders>
              <w:top w:val="single" w:sz="4" w:color="808080"/>
              <w:left w:val="single" w:sz="4" w:color="808080"/>
              <w:bottom w:val="single" w:sz="4" w:color="808080"/>
              <w:right w:val="single" w:sz="4" w:color="808080"/>
            </w:tcBorders>
          </w:tcPr>
          <w:p>
            <w:r/>
            <w:r>
              <w:rPr>
                <w:sz w:val="20"/>
              </w:rPr>
              <w:t>Validar Cobro Wizard</w:t>
            </w:r>
          </w:p>
        </w:tc>
        <w:tc>
          <w:tcPr>
            <w:tcBorders>
              <w:top w:val="single" w:sz="4" w:color="808080"/>
              <w:left w:val="single" w:sz="4" w:color="808080"/>
              <w:bottom w:val="single" w:sz="4" w:color="808080"/>
              <w:right w:val="single" w:sz="4" w:color="808080"/>
            </w:tcBorders>
          </w:tcPr>
          <w:p>
            <w:r/>
            <w:r>
              <w:rPr>
                <w:sz w:val="20"/>
              </w:rPr>
              <w:t>6 (RE-023 a 29)</w:t>
            </w:r>
          </w:p>
        </w:tc>
        <w:tc>
          <w:tcPr>
            <w:tcBorders>
              <w:top w:val="single" w:sz="4" w:color="808080"/>
              <w:left w:val="single" w:sz="4" w:color="808080"/>
              <w:bottom w:val="single" w:sz="4" w:color="808080"/>
              <w:right w:val="single" w:sz="4" w:color="808080"/>
            </w:tcBorders>
          </w:tcPr>
          <w:p>
            <w:r/>
            <w:r>
              <w:rPr>
                <w:sz w:val="20"/>
              </w:rPr>
              <w:t>0</w:t>
            </w:r>
          </w:p>
        </w:tc>
        <w:tc>
          <w:tcPr>
            <w:tcBorders>
              <w:top w:val="single" w:sz="4" w:color="808080"/>
              <w:left w:val="single" w:sz="4" w:color="808080"/>
              <w:bottom w:val="single" w:sz="4" w:color="808080"/>
              <w:right w:val="single" w:sz="4" w:color="808080"/>
            </w:tcBorders>
          </w:tcPr>
          <w:p>
            <w:r/>
            <w:r>
              <w:rPr>
                <w:sz w:val="20"/>
              </w:rPr>
              <w:t>2 (RE-027, RE-029)</w:t>
            </w:r>
          </w:p>
        </w:tc>
        <w:tc>
          <w:tcPr>
            <w:tcBorders>
              <w:top w:val="single" w:sz="4" w:color="808080"/>
              <w:left w:val="single" w:sz="4" w:color="808080"/>
              <w:bottom w:val="single" w:sz="4" w:color="808080"/>
              <w:right w:val="single" w:sz="4" w:color="808080"/>
            </w:tcBorders>
          </w:tcPr>
          <w:p>
            <w:r/>
            <w:r>
              <w:rPr>
                <w:sz w:val="20"/>
              </w:rPr>
              <w:t>4 (RE-023, 24, 25, 26)</w:t>
            </w:r>
          </w:p>
        </w:tc>
      </w:tr>
      <w:tr>
        <w:tc>
          <w:tcPr>
            <w:shd w:val="clear" w:color="auto" w:fill="F2F2F2"/>
            <w:tcBorders>
              <w:top w:val="single" w:sz="4" w:color="808080"/>
              <w:left w:val="single" w:sz="4" w:color="808080"/>
              <w:bottom w:val="single" w:sz="4" w:color="808080"/>
              <w:right w:val="single" w:sz="4" w:color="808080"/>
            </w:tcBorders>
          </w:tcPr>
          <w:p>
            <w:r/>
            <w:r>
              <w:rPr>
                <w:sz w:val="20"/>
              </w:rPr>
              <w:t>Notas de Crédito Engine</w:t>
            </w:r>
          </w:p>
        </w:tc>
        <w:tc>
          <w:tcPr>
            <w:shd w:val="clear" w:color="auto" w:fill="F2F2F2"/>
            <w:tcBorders>
              <w:top w:val="single" w:sz="4" w:color="808080"/>
              <w:left w:val="single" w:sz="4" w:color="808080"/>
              <w:bottom w:val="single" w:sz="4" w:color="808080"/>
              <w:right w:val="single" w:sz="4" w:color="808080"/>
            </w:tcBorders>
          </w:tcPr>
          <w:p>
            <w:r/>
            <w:r>
              <w:rPr>
                <w:sz w:val="20"/>
              </w:rPr>
              <w:t>4 (RE-032 a 35)</w:t>
            </w:r>
          </w:p>
        </w:tc>
        <w:tc>
          <w:tcPr>
            <w:shd w:val="clear" w:color="auto" w:fill="F2F2F2"/>
            <w:tcBorders>
              <w:top w:val="single" w:sz="4" w:color="808080"/>
              <w:left w:val="single" w:sz="4" w:color="808080"/>
              <w:bottom w:val="single" w:sz="4" w:color="808080"/>
              <w:right w:val="single" w:sz="4" w:color="808080"/>
            </w:tcBorders>
          </w:tcPr>
          <w:p>
            <w:r/>
            <w:r>
              <w:rPr>
                <w:sz w:val="20"/>
              </w:rPr>
              <w:t>2 (RE-033, RE-035)</w:t>
            </w:r>
          </w:p>
        </w:tc>
        <w:tc>
          <w:tcPr>
            <w:shd w:val="clear" w:color="auto" w:fill="F2F2F2"/>
            <w:tcBorders>
              <w:top w:val="single" w:sz="4" w:color="808080"/>
              <w:left w:val="single" w:sz="4" w:color="808080"/>
              <w:bottom w:val="single" w:sz="4" w:color="808080"/>
              <w:right w:val="single" w:sz="4" w:color="808080"/>
            </w:tcBorders>
          </w:tcPr>
          <w:p>
            <w:r/>
            <w:r>
              <w:rPr>
                <w:sz w:val="20"/>
              </w:rPr>
              <w:t>0</w:t>
            </w:r>
          </w:p>
        </w:tc>
        <w:tc>
          <w:tcPr>
            <w:shd w:val="clear" w:color="auto" w:fill="F2F2F2"/>
            <w:tcBorders>
              <w:top w:val="single" w:sz="4" w:color="808080"/>
              <w:left w:val="single" w:sz="4" w:color="808080"/>
              <w:bottom w:val="single" w:sz="4" w:color="808080"/>
              <w:right w:val="single" w:sz="4" w:color="808080"/>
            </w:tcBorders>
          </w:tcPr>
          <w:p>
            <w:r/>
            <w:r>
              <w:rPr>
                <w:sz w:val="20"/>
              </w:rPr>
              <w:t>2 (RE-032, RE-034 México)</w:t>
            </w:r>
          </w:p>
        </w:tc>
      </w:tr>
    </w:tbl>
    <w:p>
      <w:pPr/>
    </w:p>
    <w:p>
      <w:pPr>
        <w:pStyle w:val="Heading1"/>
      </w:pPr>
      <w:r>
        <w:t>Riesgos y Consideraciones de Mantenimiento</w:t>
      </w:r>
    </w:p>
    <w:p>
      <w:pPr>
        <w:pStyle w:val="Heading2"/>
      </w:pPr>
      <w:r>
        <w:t>Riesgos de Migración BD</w:t>
      </w:r>
    </w:p>
    <w:p>
      <w:pPr/>
      <w:r>
        <w:t>• Reactivación futura del timbrado Perú: si el alcance se retoma, requerirá ampliar EmpresaFolio (serie F001 GOLPERU) y crear las tablas SUNAT descartadas.</w:t>
      </w:r>
    </w:p>
    <w:p>
      <w:pPr/>
      <w:r>
        <w:t>• Sin adaptador SUNAT en Timbrado: la reactivación exige un microservicio nuevo o una rama en SapStampingClient con manejo de UBL 2.1.</w:t>
      </w:r>
    </w:p>
    <w:p>
      <w:pPr/>
      <w:r>
        <w:t>• Migraciones EF Core: al mantenerse el modelo mono-canal SAT, se debe evitar la creación accidental de entidades SUNAT en scaffolds sucesivos.</w:t>
      </w:r>
    </w:p>
    <w:p>
      <w:pPr>
        <w:pStyle w:val="Heading2"/>
      </w:pPr>
      <w:r>
        <w:t>Gestión de Brechas Pendientes (Preparación Estructural Futura)</w:t>
      </w:r>
    </w:p>
    <w:p>
      <w:pPr/>
      <w:r>
        <w:t>Las brechas funcionales identificadas (B1 a B5) se mantienen tipificadas en la arquitectura para una re-activación estructurada:</w:t>
      </w:r>
    </w:p>
    <w:p>
      <w:pPr/>
      <w:r>
        <w:t>• B1 (Datos SUNAT Producto): requiere ampliación futura de la entidad Producto (código SUNAT, unidad de medida, afectación IGV).</w:t>
      </w:r>
    </w:p>
    <w:p>
      <w:pPr/>
      <w:r>
        <w:t>• B2 (Guía Remisión): demanda la creación futura de un submódulo independiente para GRE.</w:t>
      </w:r>
    </w:p>
    <w:p>
      <w:pPr/>
      <w:r>
        <w:t>• B3 (Catálogo 51 Tipo Operación): tabla no creada; se documenta el catálogo para reactivación futura.</w:t>
      </w:r>
    </w:p>
    <w:p>
      <w:pPr/>
      <w:r>
        <w:t>• B4/B5 (Percepciones/Emisor): estructuras de persistencia listas en Cliente y ConfiguracionEmpresaEmisora.</w:t>
      </w:r>
    </w:p>
    <w:p>
      <w:pPr/>
      <w:r>
        <w:t>Nota: aunque se elimina el timbrado, los campos fiscales del Catálogo de Clientes (RUC, Régimen, Detracción, Retención IGV) se conservan capturables en BD. Se debe asegurar que las validaciones Back no exijan datos que dependan del timbrado.</w:t>
      </w:r>
    </w:p>
    <w:p>
      <w:pPr>
        <w:pStyle w:val="Heading2"/>
      </w:pPr>
      <w:r>
        <w:t>Lo que queda operativo en Perú (Back+BD)</w:t>
      </w:r>
    </w:p>
    <w:p>
      <w:pPr/>
      <w:r>
        <w:t>• ✅ Endpoints y servicios de Proforma Perú (RE-017).</w:t>
      </w:r>
    </w:p>
    <w:p>
      <w:pPr/>
      <w:r>
        <w:t>• ✅ Endpoints y servicios de Paso 1 (CapturaCobroCommand).</w:t>
      </w:r>
    </w:p>
    <w:p>
      <w:pPr/>
      <w:r>
        <w:t>• ✅ Endpoints y servicios de Paso 2 simplificado (sin NCs).</w:t>
      </w:r>
    </w:p>
    <w:p>
      <w:pPr/>
      <w:r>
        <w:t>• ✅ Endpoints y servicios de Paso 3 simplificado (envío de Confirmación de Pedido + FEE).</w:t>
      </w:r>
    </w:p>
    <w:p>
      <w:pPr/>
      <w:r>
        <w:t>• ✅ Servicios del Catálogo de Clientes Perú (RUC, Régimen, Forma Societaria, Detracción, Retención IGV).</w:t>
      </w:r>
    </w:p>
    <w:p>
      <w:pPr/>
      <w:r>
        <w:t>• ✅ Servicios del Buzón de Cobros.</w:t>
      </w:r>
    </w:p>
    <w:p>
      <w:pPr/>
      <w:r>
        <w:t>• ✅ Scaffold EF Core de tablas base (Cobro, Proforma, Cliente).</w:t>
      </w:r>
    </w:p>
    <w:p>
      <w:pPr/>
      <w:r>
        <w:t>• ✅ Tabla EmpresaFolio con series capturables.</w:t>
      </w:r>
    </w:p>
    <w:p>
      <w:pPr>
        <w:pStyle w:val="Heading2"/>
      </w:pPr>
      <w:r>
        <w:t>Lo que desaparece del Back+BD Perú</w:t>
      </w:r>
    </w:p>
    <w:p>
      <w:pPr/>
      <w:r>
        <w:t>• ❌ FacturaPeruController, NotasCreditoPeruController y sus servicios CQRS.</w:t>
      </w:r>
    </w:p>
    <w:p>
      <w:pPr/>
      <w:r>
        <w:t>• ❌ Servicio de FpA Perú y su consumidor RabbitMQ.</w:t>
      </w:r>
    </w:p>
    <w:p>
      <w:pPr/>
      <w:r>
        <w:t>• ❌ Adaptador SUNAT/OSE en ProquifaDotNet.Timbrado.</w:t>
      </w:r>
    </w:p>
    <w:p>
      <w:pPr/>
      <w:r>
        <w:t>• ❌ Consumidor de cola RabbitMQ para el canal SUNAT.</w:t>
      </w:r>
    </w:p>
    <w:p>
      <w:pPr/>
      <w:r>
        <w:t>• ❌ Tablas de NC Perú, catálogos 09 y 51, configuración OSE en ProquifaDotNetTimbrado.</w:t>
      </w:r>
    </w:p>
    <w:p>
      <w:pPr/>
      <w:r>
        <w:t>• ❌ Persistencia de XML CPE en CFDIGenerada.</w:t>
      </w:r>
    </w:p>
    <w:p>
      <w:pPr/>
      <w:r>
        <w:t>• ❌ Cascada Finanzas → Timbrado → SAP para SUNAT.</w:t>
      </w:r>
    </w:p>
    <w:p>
      <w:pPr/>
      <w:r>
        <w:t>• ❌ Generación de PDF CPE (Factura y NC) en DocumentBuilder.</w:t>
      </w:r>
    </w:p>
    <w:p>
      <w:pPr/>
      <w:r>
        <w:t>• ❌ Transferencia a Legacy desde Perú (nunca aplicó).</w:t>
      </w:r>
    </w:p>
    <w:p>
      <w:pPr/>
      <w:r>
        <w:t>• ❌ Serie F001 GOLPERU consumida en EmpresaFolio (queda capturable pero no operativa).</w:t>
      </w:r>
    </w:p>
    <w:p>
      <w:pPr>
        <w:pStyle w:val="Heading1"/>
      </w:pPr>
      <w:r>
        <w:t>Control de versiones</w:t>
      </w:r>
    </w:p>
    <w:tbl>
      <w:tblPr>
        <w:tblW w:w="5000" w:type="pct"/>
        <w:tblLook w:val="04A0"/>
      </w:tblPr>
      <w:tblGrid>
        <w:gridCol w:w="1500"/>
        <w:gridCol w:w="1500"/>
        <w:gridCol w:w="1500"/>
        <w:gridCol w:w="1500"/>
        <w:gridCol w:w="1500"/>
        <w:gridCol w:w="1500"/>
      </w:tblGrid>
      <w:tr>
        <w:tc>
          <w:tcPr>
            <w:shd w:val="clear" w:color="auto" w:fill="305496"/>
            <w:tcBorders>
              <w:top w:val="single" w:sz="4" w:color="808080"/>
              <w:left w:val="single" w:sz="4" w:color="808080"/>
              <w:bottom w:val="single" w:sz="4" w:color="808080"/>
              <w:right w:val="single" w:sz="4" w:color="808080"/>
            </w:tcBorders>
          </w:tcPr>
          <w:p>
            <w:r/>
            <w:r>
              <w:rPr>
                <w:b/>
                <w:color w:val="FFFFFF"/>
                <w:sz w:val="20"/>
              </w:rPr>
              <w:t>Versión</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Fecha</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Autor</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Tipo de Cambio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Descripción del cambio</w:t>
            </w:r>
          </w:p>
        </w:tc>
        <w:tc>
          <w:tcPr>
            <w:shd w:val="clear" w:color="auto" w:fill="305496"/>
            <w:tcBorders>
              <w:top w:val="single" w:sz="4" w:color="808080"/>
              <w:left w:val="single" w:sz="4" w:color="808080"/>
              <w:bottom w:val="single" w:sz="4" w:color="808080"/>
              <w:right w:val="single" w:sz="4" w:color="808080"/>
            </w:tcBorders>
          </w:tcPr>
          <w:p>
            <w:r/>
            <w:r>
              <w:rPr>
                <w:b/>
                <w:color w:val="FFFFFF"/>
                <w:sz w:val="20"/>
              </w:rPr>
              <w:t>Aprobó</w:t>
            </w:r>
          </w:p>
        </w:tc>
      </w:tr>
      <w:tr>
        <w:tc>
          <w:tcPr>
            <w:tcBorders>
              <w:top w:val="single" w:sz="4" w:color="808080"/>
              <w:left w:val="single" w:sz="4" w:color="808080"/>
              <w:bottom w:val="single" w:sz="4" w:color="808080"/>
              <w:right w:val="single" w:sz="4" w:color="808080"/>
            </w:tcBorders>
          </w:tcPr>
          <w:p>
            <w:r/>
            <w:r>
              <w:rPr>
                <w:sz w:val="20"/>
              </w:rPr>
              <w:t>1.0</w:t>
            </w:r>
          </w:p>
        </w:tc>
        <w:tc>
          <w:tcPr>
            <w:tcBorders>
              <w:top w:val="single" w:sz="4" w:color="808080"/>
              <w:left w:val="single" w:sz="4" w:color="808080"/>
              <w:bottom w:val="single" w:sz="4" w:color="808080"/>
              <w:right w:val="single" w:sz="4" w:color="808080"/>
            </w:tcBorders>
          </w:tcPr>
          <w:p>
            <w:r/>
            <w:r>
              <w:rPr>
                <w:sz w:val="20"/>
              </w:rPr>
              <w:t>17/07/26</w:t>
            </w:r>
          </w:p>
        </w:tc>
        <w:tc>
          <w:tcPr>
            <w:tcBorders>
              <w:top w:val="single" w:sz="4" w:color="808080"/>
              <w:left w:val="single" w:sz="4" w:color="808080"/>
              <w:bottom w:val="single" w:sz="4" w:color="808080"/>
              <w:right w:val="single" w:sz="4" w:color="808080"/>
            </w:tcBorders>
          </w:tcPr>
          <w:p>
            <w:r/>
            <w:r>
              <w:rPr>
                <w:sz w:val="20"/>
              </w:rPr>
              <w:t>Juan David García Garduño</w:t>
            </w:r>
          </w:p>
        </w:tc>
        <w:tc>
          <w:tcPr>
            <w:tcBorders>
              <w:top w:val="single" w:sz="4" w:color="808080"/>
              <w:left w:val="single" w:sz="4" w:color="808080"/>
              <w:bottom w:val="single" w:sz="4" w:color="808080"/>
              <w:right w:val="single" w:sz="4" w:color="808080"/>
            </w:tcBorders>
          </w:tcPr>
          <w:p>
            <w:r/>
            <w:r>
              <w:rPr>
                <w:sz w:val="20"/>
              </w:rPr>
              <w:t>Creación</w:t>
            </w:r>
          </w:p>
        </w:tc>
        <w:tc>
          <w:tcPr>
            <w:tcBorders>
              <w:top w:val="single" w:sz="4" w:color="808080"/>
              <w:left w:val="single" w:sz="4" w:color="808080"/>
              <w:bottom w:val="single" w:sz="4" w:color="808080"/>
              <w:right w:val="single" w:sz="4" w:color="808080"/>
            </w:tcBorders>
          </w:tcPr>
          <w:p>
            <w:r/>
            <w:r>
              <w:rPr>
                <w:sz w:val="20"/>
              </w:rPr>
              <w:t>Se crea el análisis de impacto Back y Base de Datos.</w:t>
            </w:r>
          </w:p>
        </w:tc>
        <w:tc>
          <w:tcPr>
            <w:tcBorders>
              <w:top w:val="single" w:sz="4" w:color="808080"/>
              <w:left w:val="single" w:sz="4" w:color="808080"/>
              <w:bottom w:val="single" w:sz="4" w:color="808080"/>
              <w:right w:val="single" w:sz="4" w:color="808080"/>
            </w:tcBorders>
          </w:tcPr>
          <w:p>
            <w:r/>
            <w:r>
              <w:rPr>
                <w:sz w:val="20"/>
              </w:rPr>
            </w:r>
          </w:p>
        </w:tc>
      </w:tr>
    </w:tbl>
    <w:p>
      <w:pPr/>
    </w:p>
    <w:sectPr>
      <w:headerReference r:id="rId12" w:type="default"/>
      <w:headerReference r:id="rId13" w:type="first"/>
      <w:footerReference r:id="rId14" w:type="default"/>
      <w:footerReference r:id="rId15" w:type="first"/>
      <w:pgSz w:h="15840" w:w="12240" w:orient="portrait"/>
      <w:pgMar w:bottom="1440" w:top="1700.7874015748032" w:left="1440" w:right="1440" w:header="708" w:footer="1133.85826771653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Style w:val="Subtitle"/>
      <w:rPr/>
    </w:pPr>
    <w:bookmarkStart w:colFirst="0" w:colLast="0" w:name="_hbjwpvr8wxtb" w:id="41"/>
    <w:bookmarkEnd w:id="41"/>
    <w:r w:rsidDel="00000000" w:rsidR="00000000" w:rsidRPr="00000000">
      <w:rPr>
        <w:rtl w:val="0"/>
      </w:rPr>
    </w:r>
  </w:p>
  <w:p w:rsidR="00000000" w:rsidDel="00000000" w:rsidP="00000000" w:rsidRDefault="00000000" w:rsidRPr="00000000" w14:paraId="000001E8">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1.png"/>
          <a:graphic>
            <a:graphicData uri="http://schemas.openxmlformats.org/drawingml/2006/picture">
              <pic:pic>
                <pic:nvPicPr>
                  <pic:cNvPr id="0" name="image1.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Propuesta Herramienta de Comunicación Proquifa y Ryndem</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Rule="auto"/>
    </w:pPr>
    <w:rPr>
      <w:b w:val="1"/>
      <w:bCs w:val="1"/>
      <w:color w:val="4d4e4f"/>
      <w:sz w:val="36"/>
      <w:szCs w:val="36"/>
    </w:rPr>
  </w:style>
  <w:style w:type="paragraph" w:styleId="Heading2">
    <w:name w:val="heading 2"/>
    <w:basedOn w:val="Normal"/>
    <w:next w:val="Normal"/>
    <w:pPr>
      <w:spacing w:after="80" w:before="240" w:lineRule="auto"/>
    </w:pPr>
    <w:rPr>
      <w:b w:val="1"/>
      <w:bCs w:val="1"/>
      <w:color w:val="c2273d"/>
      <w:sz w:val="26"/>
      <w:szCs w:val="26"/>
    </w:rPr>
  </w:style>
  <w:style w:type="paragraph" w:styleId="Heading3">
    <w:name w:val="heading 3"/>
    <w:basedOn w:val="Normal"/>
    <w:next w:val="Normal"/>
    <w:pPr>
      <w:spacing w:after="60" w:before="160" w:line="240" w:lineRule="auto"/>
      <w:jc w:val="left"/>
    </w:pPr>
    <w:rPr>
      <w:b w:val="1"/>
      <w:bCs w:val="1"/>
      <w:color w:val="4d4e4f"/>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80" w:lineRule="auto"/>
      <w:jc w:val="left"/>
    </w:pPr>
    <w:rPr>
      <w:b w:val="1"/>
      <w:bCs w:val="1"/>
      <w:color w:val="4d4e4f"/>
      <w:sz w:val="64"/>
      <w:szCs w:val="64"/>
    </w:rPr>
  </w:style>
  <w:style w:type="paragraph" w:styleId="Subtitle">
    <w:name w:val="Subtitle"/>
    <w:basedOn w:val="Normal"/>
    <w:next w:val="Normal"/>
    <w:pPr>
      <w:keepNext w:val="1"/>
      <w:keepLines w:val="1"/>
    </w:pPr>
    <w:rPr>
      <w:color w:val="666666"/>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151517" w:val="clear"/>
    </w:tcPr>
  </w:style>
  <w:style w:type="table" w:styleId="Table12">
    <w:basedOn w:val="TableNormal"/>
    <w:tblPr>
      <w:tblStyleRowBandSize w:val="1"/>
      <w:tblStyleColBandSize w:val="1"/>
      <w:tblCellMar/>
    </w:tblPr>
    <w:tcPr>
      <w:shd w:fill="151517" w:val="clear"/>
    </w:tc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an.garcia@ryndem.mx" TargetMode="Externa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ldemar.farina@ryndem.mx"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mailto:alan.garcia@ryndem.m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