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left"/>
        <w:rPr/>
      </w:pPr>
      <w:bookmarkStart w:colFirst="0" w:colLast="0" w:name="_4sm4f9jvbe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5710238</wp:posOffset>
            </wp:positionH>
            <wp:positionV relativeFrom="page">
              <wp:posOffset>356100</wp:posOffset>
            </wp:positionV>
            <wp:extent cx="1166813" cy="442858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2948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442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-333374</wp:posOffset>
            </wp:positionH>
            <wp:positionV relativeFrom="page">
              <wp:posOffset>-815474</wp:posOffset>
            </wp:positionV>
            <wp:extent cx="4795838" cy="5375451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29" r="1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5375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left"/>
        <w:rPr/>
      </w:pPr>
      <w:bookmarkStart w:colFirst="0" w:colLast="0" w:name="_wtanjjm4qyk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/>
      </w:pPr>
      <w:bookmarkStart w:colFirst="0" w:colLast="0" w:name="_m4xk9egzqkf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ttfiki8f96k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76" w:lineRule="auto"/>
        <w:jc w:val="left"/>
        <w:rPr/>
      </w:pPr>
      <w:bookmarkStart w:colFirst="0" w:colLast="0" w:name="_789suot00yc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left"/>
        <w:rPr/>
      </w:pPr>
      <w:bookmarkStart w:colFirst="0" w:colLast="0" w:name="_jzpketphe7d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vosdmyoodvgs" w:id="6"/>
      <w:bookmarkEnd w:id="6"/>
      <w:r w:rsidDel="00000000" w:rsidR="00000000" w:rsidRPr="00000000">
        <w:rPr>
          <w:rtl w:val="0"/>
        </w:rPr>
        <w:t xml:space="preserve">Propuesta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666666"/>
          <w:sz w:val="32"/>
          <w:szCs w:val="32"/>
          <w:rtl w:val="0"/>
        </w:rPr>
        <w:t xml:space="preserve">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pBdr>
          <w:bottom w:color="c2273d" w:space="2" w:sz="8" w:val="single"/>
        </w:pBdr>
        <w:rPr/>
      </w:pPr>
      <w:bookmarkStart w:colFirst="0" w:colLast="0" w:name="_4hak307raufm" w:id="7"/>
      <w:bookmarkEnd w:id="7"/>
      <w:r w:rsidDel="00000000" w:rsidR="00000000" w:rsidRPr="00000000">
        <w:rPr>
          <w:rtl w:val="0"/>
        </w:rPr>
        <w:t xml:space="preserve">Integración del Perfil Fiscal de IVA (México) vs.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7395"/>
        <w:tblGridChange w:id="0">
          <w:tblGrid>
            <w:gridCol w:w="1965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c2273d"/>
              </w:rPr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c2273d"/>
              </w:rPr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AUI- FOR-01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Alan Fernandez Garcia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c2273d"/>
              </w:rPr>
            </w:pPr>
            <w:r w:rsidDel="00000000" w:rsidR="00000000" w:rsidRPr="00000000">
              <w:rPr>
                <w:b w:val="1"/>
                <w:bCs w:val="1"/>
                <w:color w:val="c2273d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Valdemar Farina Sanchez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Subtitle"/>
        <w:rPr/>
      </w:pPr>
      <w:bookmarkStart w:colFirst="0" w:colLast="0" w:name="_g2jw24sxp44o" w:id="8"/>
      <w:bookmarkEnd w:id="8"/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2608659</wp:posOffset>
                </wp:positionH>
                <wp:positionV relativeFrom="page">
                  <wp:posOffset>9557790</wp:posOffset>
                </wp:positionV>
                <wp:extent cx="2581275" cy="17914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17850" y="1832775"/>
                          <a:ext cx="2417400" cy="49500"/>
                        </a:xfrm>
                        <a:prstGeom prst="rect">
                          <a:avLst/>
                        </a:prstGeom>
                        <a:solidFill>
                          <a:srgbClr val="C2273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2608659</wp:posOffset>
                </wp:positionH>
                <wp:positionV relativeFrom="page">
                  <wp:posOffset>9557790</wp:posOffset>
                </wp:positionV>
                <wp:extent cx="2581275" cy="179142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1275" cy="1791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5188744</wp:posOffset>
                </wp:positionH>
                <wp:positionV relativeFrom="page">
                  <wp:posOffset>9557790</wp:posOffset>
                </wp:positionV>
                <wp:extent cx="2577600" cy="18152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17850" y="1832775"/>
                          <a:ext cx="2417400" cy="49500"/>
                        </a:xfrm>
                        <a:prstGeom prst="rect">
                          <a:avLst/>
                        </a:prstGeom>
                        <a:solidFill>
                          <a:srgbClr val="4D4E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5188744</wp:posOffset>
                </wp:positionH>
                <wp:positionV relativeFrom="page">
                  <wp:posOffset>9557790</wp:posOffset>
                </wp:positionV>
                <wp:extent cx="2577600" cy="181521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600" cy="1815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wq2gy1g77ipn" w:id="9"/>
      <w:bookmarkEnd w:id="9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dt>
      <w:sdtPr>
        <w:id w:val="-18903422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dz9etbxuhc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Técnico: Integración del Perfil Fiscal de IVA (México) vs. Perú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ap1r614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y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n5av7jpm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de la Situación Actual vs. 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ey9kb7j1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Estrategia de 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hpholk8w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 de Resolución de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w2zagrf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Detalles Técnicos de Implementación por Archivo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b8yf8b73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Matemático (El cambio más crítico)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oh4z48kg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Selectores (Cotización y Promesa de Compra)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nlwqj1cz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Propagación en Helpers y Reducers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o40au1iu8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e Interfaces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ywatwlf4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 Visual de Ajuste de Fletes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y9lly5rl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Resumen de Beneficios y Riesgos Mitigados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dq51dlner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keepNext w:val="1"/>
        <w:keepLines w:val="1"/>
        <w:spacing w:after="120" w:before="360" w:lineRule="auto"/>
        <w:jc w:val="left"/>
        <w:rPr/>
      </w:pPr>
      <w:bookmarkStart w:colFirst="0" w:colLast="0" w:name="_1wrynj3g5nx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udz9etbxuhc0" w:id="11"/>
      <w:bookmarkEnd w:id="11"/>
      <w:r w:rsidDel="00000000" w:rsidR="00000000" w:rsidRPr="00000000">
        <w:rPr>
          <w:rtl w:val="0"/>
        </w:rPr>
        <w:t xml:space="preserve">Documento Técnico: Integración del Perfil Fiscal de IVA (México) vs. Perú</w:t>
      </w:r>
    </w:p>
    <w:p w:rsidR="00000000" w:rsidDel="00000000" w:rsidP="00000000" w:rsidRDefault="00000000" w:rsidRPr="00000000" w14:paraId="0000002D">
      <w:pPr>
        <w:pStyle w:val="Heading2"/>
        <w:keepNext w:val="1"/>
        <w:keepLines w:val="1"/>
        <w:numPr>
          <w:ilvl w:val="0"/>
          <w:numId w:val="1"/>
        </w:numPr>
        <w:spacing w:after="160" w:before="320" w:line="276" w:lineRule="auto"/>
        <w:ind w:left="720" w:hanging="360"/>
        <w:jc w:val="left"/>
        <w:rPr/>
      </w:pPr>
      <w:bookmarkStart w:colFirst="0" w:colLast="0" w:name="_x2ap1r61417" w:id="12"/>
      <w:bookmarkEnd w:id="12"/>
      <w:r w:rsidDel="00000000" w:rsidR="00000000" w:rsidRPr="00000000">
        <w:rPr>
          <w:rtl w:val="0"/>
        </w:rPr>
        <w:t xml:space="preserve">Objetivo y Alcance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Definir y establecer la estrategia de implementación técnica en el Frontend (ProquifaNet) para soportar las reglas de cálculo de IVA de México mediante el PerfilFiscal por partida (TasaOCuota), asegurando una compatibilidad total y nula regresión con la lógica existente de Perú (GravaIVA + Tasa Global).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Esta propuesta abarca la modificación de las funciones matemáticas base, selectores y helpers a través de las etapas de Cotización, Pedido, Proforma y Ajustes de Flete.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1"/>
        <w:keepLines w:val="1"/>
        <w:numPr>
          <w:ilvl w:val="0"/>
          <w:numId w:val="1"/>
        </w:numPr>
        <w:spacing w:after="160" w:before="320" w:line="276" w:lineRule="auto"/>
        <w:ind w:left="720" w:hanging="360"/>
        <w:jc w:val="left"/>
        <w:rPr>
          <w:b w:val="1"/>
          <w:bCs w:val="1"/>
          <w:color w:val="c2273d"/>
          <w:sz w:val="26"/>
          <w:szCs w:val="26"/>
        </w:rPr>
      </w:pPr>
      <w:bookmarkStart w:colFirst="0" w:colLast="0" w:name="_3mn5av7jpmdz" w:id="13"/>
      <w:bookmarkEnd w:id="13"/>
      <w:r w:rsidDel="00000000" w:rsidR="00000000" w:rsidRPr="00000000">
        <w:rPr>
          <w:rtl w:val="0"/>
        </w:rPr>
        <w:t xml:space="preserve">Análisis de la Situación Actual vs. Requerimientos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Actualmente, el sistema utiliza un enfoque binario y global para el cálculo de impuestos: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Modelo Actual (Perú):</w:t>
      </w:r>
      <w:r w:rsidDel="00000000" w:rsidR="00000000" w:rsidRPr="00000000">
        <w:rPr>
          <w:rtl w:val="0"/>
        </w:rPr>
        <w:t xml:space="preserve"> Se evalúa si el producto grava impuesto (GravaIVA = true/false) y se multiplica el subtotal por el valor del impuesto global de la región (taxRegion, ej. 0.18).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Nuevo Requerimiento (México):</w:t>
      </w:r>
      <w:r w:rsidDel="00000000" w:rsidR="00000000" w:rsidRPr="00000000">
        <w:rPr>
          <w:rtl w:val="0"/>
        </w:rPr>
        <w:t xml:space="preserve"> El impuesto no es global. Cada producto cuenta con un PerfilFiscal que determina su propia tasa o cuota (TasaOCuota). Los valores pueden ser 16%, 0% o Exento (donde TasaOCuota es null).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ind w:left="720" w:hanging="360"/>
      </w:pPr>
      <w:bookmarkStart w:colFirst="0" w:colLast="0" w:name="_x1ey9kb7j17f" w:id="14"/>
      <w:bookmarkEnd w:id="14"/>
      <w:r w:rsidDel="00000000" w:rsidR="00000000" w:rsidRPr="00000000">
        <w:rPr>
          <w:rtl w:val="0"/>
        </w:rPr>
        <w:t xml:space="preserve">Estrategia de Solución Propuesta</w:t>
      </w:r>
    </w:p>
    <w:p w:rsidR="00000000" w:rsidDel="00000000" w:rsidP="00000000" w:rsidRDefault="00000000" w:rsidRPr="00000000" w14:paraId="00000037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Para satisfacer ambos escenarios sin crear flujos paralelos, se utilizará una Bifurcación por IdRegion en el núcleo de la aplicación.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9hpholk8wv4" w:id="15"/>
      <w:bookmarkEnd w:id="15"/>
      <w:r w:rsidDel="00000000" w:rsidR="00000000" w:rsidRPr="00000000">
        <w:rPr>
          <w:rtl w:val="0"/>
        </w:rPr>
        <w:t xml:space="preserve">Regla de Resolución de Negocio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cálculo final en el núcleo del sistema obedecerá la siguiente regla de prioridad lógica: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Lógica del Core de Negocio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SI isMex ES VERDADERO:</w:t>
              <w:br w:type="textWrapping"/>
              <w:t xml:space="preserve">   SI tasaOCuota ES NULO: </w:t>
              <w:br w:type="textWrapping"/>
              <w:t xml:space="preserve">       IVA = 0 // (Producto Exento)</w:t>
              <w:br w:type="textWrapping"/>
              <w:t xml:space="preserve">   SINO: </w:t>
              <w:br w:type="textWrapping"/>
              <w:t xml:space="preserve">       IVA = Subtotal * tasaOCuota // (Ej. 16% o 0%)</w:t>
              <w:br w:type="textWrapping"/>
              <w:t xml:space="preserve">SINO (Perú u otras regiones):</w:t>
              <w:br w:type="textWrapping"/>
              <w:t xml:space="preserve">   SI GravaIVA ES FALSO: </w:t>
              <w:br w:type="textWrapping"/>
              <w:t xml:space="preserve">       IVA = 0</w:t>
              <w:br w:type="textWrapping"/>
              <w:t xml:space="preserve">   SINO:</w:t>
              <w:br w:type="textWrapping"/>
              <w:t xml:space="preserve">       IVA = Subtotal * taxRegion // (Ej. 18%)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1"/>
        <w:keepLines w:val="1"/>
        <w:numPr>
          <w:ilvl w:val="0"/>
          <w:numId w:val="1"/>
        </w:numPr>
        <w:spacing w:after="160" w:before="320" w:line="276" w:lineRule="auto"/>
        <w:ind w:left="720" w:hanging="360"/>
        <w:jc w:val="left"/>
      </w:pPr>
      <w:bookmarkStart w:colFirst="0" w:colLast="0" w:name="_i6w2zagrfkh" w:id="16"/>
      <w:bookmarkEnd w:id="16"/>
      <w:r w:rsidDel="00000000" w:rsidR="00000000" w:rsidRPr="00000000">
        <w:rPr>
          <w:rtl w:val="0"/>
        </w:rPr>
        <w:t xml:space="preserve">Detalles Técnicos de Implementación por Archivo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continuación se detalla el impacto a nivel de código para cada archivo involucrado en la refactorización.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ind w:left="0" w:firstLine="0"/>
        <w:rPr/>
      </w:pPr>
      <w:bookmarkStart w:colFirst="0" w:colLast="0" w:name="_rpb8yf8b73n4" w:id="17"/>
      <w:bookmarkEnd w:id="17"/>
      <w:r w:rsidDel="00000000" w:rsidR="00000000" w:rsidRPr="00000000">
        <w:rPr>
          <w:rtl w:val="0"/>
        </w:rPr>
        <w:t xml:space="preserve">Core Matemático (El cambio más crítico)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src/app/util/math.ts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Líneas 30-55 — getTotalsItem: Se agregan los parámetros tasaOCuota e isMex al final para mantener retrocompatibilidad.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4532.954101562501" w:hRule="atLeast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getTotalsItem Signature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export const getTotalsItem = (</w:t>
              <w:br w:type="textWrapping"/>
              <w:t xml:space="preserve">  option?: OptionsGetTotals,</w:t>
              <w:br w:type="textWrapping"/>
              <w:t xml:space="preserve">  numberPieces?: number,</w:t>
              <w:br w:type="textWrapping"/>
              <w:t xml:space="preserve">  unitPrice?: number,</w:t>
              <w:br w:type="textWrapping"/>
              <w:t xml:space="preserve">  hasIVA?: boolean,             // Conservar para Perú</w:t>
              <w:br w:type="textWrapping"/>
              <w:t xml:space="preserve">  percentageIVA?: number,</w:t>
              <w:br w:type="textWrapping"/>
              <w:t xml:space="preserve">  priceFreight?: number,</w:t>
              <w:br w:type="textWrapping"/>
              <w:t xml:space="preserve">  priceFreightIVA: number = 0,</w:t>
              <w:br w:type="textWrapping"/>
              <w:t xml:space="preserve">  taxRegion: number = 0,        // Conservar para Perú</w:t>
              <w:br w:type="textWrapping"/>
              <w:t xml:space="preserve">  withIva: boolean = true,</w:t>
              <w:br w:type="textWrapping"/>
              <w:t xml:space="preserve">  tasaOCuota?: number | null,   // NUEVO: para México (null = Exento)</w:t>
              <w:br w:type="textWrapping"/>
              <w:t xml:space="preserve">  isMex: boolean = false,       // NUEVO: discriminador</w:t>
              <w:br w:type="textWrapping"/>
              <w:t xml:space="preserve">) =&gt; { ...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Líneas 66-79 — getAmountIva: Implementación de la bifurcación lógica explícita.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getAmountIva Implementation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const getAmountIva = (</w:t>
              <w:br w:type="textWrapping"/>
              <w:t xml:space="preserve">  subtotal: number,</w:t>
              <w:br w:type="textWrapping"/>
              <w:t xml:space="preserve">  hasIva: boolean,</w:t>
              <w:br w:type="textWrapping"/>
              <w:t xml:space="preserve">  percentageIVA: number,</w:t>
              <w:br w:type="textWrapping"/>
              <w:t xml:space="preserve">  priceFreightIVA: number,</w:t>
              <w:br w:type="textWrapping"/>
              <w:t xml:space="preserve">  taxRegion: number,</w:t>
              <w:br w:type="textWrapping"/>
              <w:t xml:space="preserve">  tasaOCuota?: number | null,  // NUEVO</w:t>
              <w:br w:type="textWrapping"/>
              <w:t xml:space="preserve">  isMex: boolean = false,       // NUEVO</w:t>
              <w:br w:type="textWrapping"/>
              <w:t xml:space="preserve">): number =&gt; {</w:t>
              <w:br w:type="textWrapping"/>
              <w:t xml:space="preserve">  // Rama México: usa TasaOCuota por partida</w:t>
              <w:br w:type="textWrapping"/>
              <w:t xml:space="preserve">  if (isMex) {</w:t>
              <w:br w:type="textWrapping"/>
              <w:t xml:space="preserve">    return tasaOCuota === null ? 0 : subtotal * tasaOCuota;</w:t>
              <w:br w:type="textWrapping"/>
              <w:t xml:space="preserve">  }</w:t>
              <w:br w:type="textWrapping"/>
              <w:t xml:space="preserve">  // Rama Perú: lógica original intacta</w:t>
              <w:br w:type="textWrapping"/>
              <w:t xml:space="preserve">  if (!hasIva) {</w:t>
              <w:br w:type="textWrapping"/>
              <w:t xml:space="preserve">    return priceFreightIVA &gt; 0 ? priceFreightIVA : 0;</w:t>
              <w:br w:type="textWrapping"/>
              <w:t xml:space="preserve">  }</w:t>
              <w:br w:type="textWrapping"/>
              <w:t xml:space="preserve">  return subtotal * (percentageIVA &gt; 0 ? percentageIVA : taxRegion);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src/app/util/common.protocols.ts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Línea 120 — getIvaWithGravaIVA:</w:t>
      </w:r>
    </w:p>
    <w:p w:rsidR="00000000" w:rsidDel="00000000" w:rsidP="00000000" w:rsidRDefault="00000000" w:rsidRPr="00000000" w14:paraId="0000004C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getIvaWithGravaIVA Implementation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d3748"/>
                <w:rtl w:val="0"/>
              </w:rPr>
              <w:t xml:space="preserve">export const getIvaWithGravaIVA = (</w:t>
              <w:br w:type="textWrapping"/>
              <w:t xml:space="preserve">  gravaIVA: boolean,</w:t>
              <w:br w:type="textWrapping"/>
              <w:t xml:space="preserve">  taxRegion: number,</w:t>
              <w:br w:type="textWrapping"/>
              <w:t xml:space="preserve">  tasaOCuota?: number | null,  // NUEVO</w:t>
              <w:br w:type="textWrapping"/>
              <w:t xml:space="preserve">  isMex: boolean = false,       // NUEVO</w:t>
              <w:br w:type="textWrapping"/>
              <w:t xml:space="preserve">) =&gt; {</w:t>
              <w:br w:type="textWrapping"/>
              <w:t xml:space="preserve">  if (isMex) return tasaOCuota ?? 0;  // null (Exento) → 0</w:t>
              <w:br w:type="textWrapping"/>
              <w:t xml:space="preserve">  return gravaIVA ? taxRegion : 0;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Atención sobre constante TOTAL_WITH_IVA_FREIGHT_ITEM</w:t>
            </w:r>
            <w:r w:rsidDel="00000000" w:rsidR="00000000" w:rsidRPr="00000000">
              <w:rPr>
                <w:rtl w:val="0"/>
              </w:rPr>
              <w:t xml:space="preserve"> = 1.16: Esta constante (L126) está hardcodeada. Si se utiliza para el cálculo de fletes en México, debe refactorizarse para usar 1 + TasaOCuota.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1"/>
        <w:keepLines w:val="1"/>
        <w:spacing w:after="120" w:before="280" w:line="276" w:lineRule="auto"/>
        <w:jc w:val="left"/>
        <w:rPr/>
      </w:pPr>
      <w:bookmarkStart w:colFirst="0" w:colLast="0" w:name="_5soh4z48kgmx" w:id="18"/>
      <w:bookmarkEnd w:id="18"/>
      <w:r w:rsidDel="00000000" w:rsidR="00000000" w:rsidRPr="00000000">
        <w:rPr>
          <w:rtl w:val="0"/>
        </w:rPr>
        <w:t xml:space="preserve">Selectores (Cotización y Promesa de Compra)</w:t>
      </w:r>
    </w:p>
    <w:p w:rsidR="00000000" w:rsidDel="00000000" w:rsidP="00000000" w:rsidRDefault="00000000" w:rsidRPr="00000000" w14:paraId="00000050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src/app/store/selectors/quotation/quotation-details/quotation-details.selectors.ts</w:t>
      </w:r>
    </w:p>
    <w:p w:rsidR="00000000" w:rsidDel="00000000" w:rsidP="00000000" w:rsidRDefault="00000000" w:rsidRPr="00000000" w14:paraId="00000051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Nuevo Selector getIdRegion y cálculo adaptativo de ivaItem:</w:t>
      </w:r>
    </w:p>
    <w:p w:rsidR="00000000" w:rsidDel="00000000" w:rsidP="00000000" w:rsidRDefault="00000000" w:rsidRPr="00000000" w14:paraId="00000052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Quotation Selectors Refactoring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export const getIdRegion = createSelector(</w:t>
              <w:br w:type="textWrapping"/>
              <w:t xml:space="preserve">  [selectClientInfoClient],</w:t>
              <w:br w:type="textWrapping"/>
              <w:t xml:space="preserve">  (vCliente): string =&gt; vCliente?.IdRegion,</w:t>
              <w:br w:type="textWrapping"/>
              <w:t xml:space="preserve">);</w:t>
              <w:br w:type="textWrapping"/>
              <w:br w:type="textWrapping"/>
              <w:t xml:space="preserve">// Líneas 1284-1291 — Cálculo de ivaItem</w:t>
              <w:br w:type="textWrapping"/>
              <w:t xml:space="preserve">const isMex = idRegion === ID_REGION_MEX; // constante a definir</w:t>
              <w:br w:type="textWrapping"/>
              <w:t xml:space="preserve">const tasaPartida = product?.CotProductoOferta?.TasaOCuota;</w:t>
              <w:br w:type="textWrapping"/>
              <w:br w:type="textWrapping"/>
              <w:t xml:space="preserve">const ivaItem = !isProratedFreight</w:t>
              <w:br w:type="textWrapping"/>
              <w:t xml:space="preserve">  ? isMex</w:t>
              <w:br w:type="textWrapping"/>
              <w:t xml:space="preserve">    ? (tasaPartida !== null ? product?.CotProductoOferta?.PrecioCotizadoSubtotal * (tasaPartida ?? 0) : 0) + totalIvaFreightPerItem</w:t>
              <w:br w:type="textWrapping"/>
              <w:t xml:space="preserve">    : product?.CotProductoOferta?.GravaIVA</w:t>
              <w:br w:type="textWrapping"/>
              <w:t xml:space="preserve">      ? product?.CotProductoOferta?.PrecioCotizadoSubtotal * taxRegion + totalIvaFreightPerItem</w:t>
              <w:br w:type="textWrapping"/>
              <w:t xml:space="preserve">      : totalIvaFreightPerItem</w:t>
              <w:br w:type="textWrapping"/>
              <w:t xml:space="preserve">  : isMex</w:t>
              <w:br w:type="textWrapping"/>
              <w:t xml:space="preserve">    ? (tasaPartida !== null ? subTotalItem * (tasaPartida ?? 0) : 0)</w:t>
              <w:br w:type="textWrapping"/>
              <w:t xml:space="preserve">    : product?.CotProductoOferta?.GravaIVA</w:t>
              <w:br w:type="textWrapping"/>
              <w:t xml:space="preserve">      ? subTotalItem * taxRegion</w:t>
              <w:br w:type="textWrapping"/>
              <w:t xml:space="preserve">      : 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src/app/store/selectors/pendings/purchase-promise/purchase-promise-details/purchase-promise-details.selectors.ts</w:t>
      </w:r>
    </w:p>
    <w:p w:rsidR="00000000" w:rsidDel="00000000" w:rsidP="00000000" w:rsidRDefault="00000000" w:rsidRPr="00000000" w14:paraId="00000056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Líneas 1574-1580 — Cálculo de IVA en el resumen de la Promesa de Compra:</w:t>
      </w:r>
    </w:p>
    <w:p w:rsidR="00000000" w:rsidDel="00000000" w:rsidP="00000000" w:rsidRDefault="00000000" w:rsidRPr="00000000" w14:paraId="00000057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Purchase Promise Summary Selectors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if (isMex) {</w:t>
              <w:br w:type="textWrapping"/>
              <w:t xml:space="preserve">  const tasa = it?.quote?.TasaOCuota;</w:t>
              <w:br w:type="textWrapping"/>
              <w:t xml:space="preserve">  ivaItems += tasa !== null ? subtotalTemporal * (tasa ?? 0) : 0;</w:t>
              <w:br w:type="textWrapping"/>
              <w:t xml:space="preserve">} else {</w:t>
              <w:br w:type="textWrapping"/>
              <w:t xml:space="preserve">  // Lógica actual de Perú intacta</w:t>
              <w:br w:type="textWrapping"/>
              <w:t xml:space="preserve">  if (it?.quote?.GravaIVA) {</w:t>
              <w:br w:type="textWrapping"/>
              <w:t xml:space="preserve">    ivaItems += subtotalTemporal * (it?.quote?.PorcentajeIVA ?? getTaxRegion);</w:t>
              <w:br w:type="textWrapping"/>
              <w:t xml:space="preserve">  } else {</w:t>
              <w:br w:type="textWrapping"/>
              <w:t xml:space="preserve">    ivaItems += it?.quote?.PrecioFleteNoDesglosadoIVA &gt; 0</w:t>
              <w:br w:type="textWrapping"/>
              <w:t xml:space="preserve">      ? it?.quote?.PrecioFleteNoDesglosadoIVA</w:t>
              <w:br w:type="textWrapping"/>
              <w:t xml:space="preserve">      : 0;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1"/>
        <w:keepLines w:val="1"/>
        <w:spacing w:after="120" w:before="280" w:line="276" w:lineRule="auto"/>
        <w:jc w:val="left"/>
        <w:rPr/>
      </w:pPr>
      <w:bookmarkStart w:colFirst="0" w:colLast="0" w:name="_1onlwqj1czcv" w:id="19"/>
      <w:bookmarkEnd w:id="19"/>
      <w:r w:rsidDel="00000000" w:rsidR="00000000" w:rsidRPr="00000000">
        <w:rPr>
          <w:rtl w:val="0"/>
        </w:rPr>
        <w:t xml:space="preserve">Propagación en Helpers y Reducers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Para que la TasaOCuota viaje a lo largo del flujo transaccional de manera íntegra, es mandatorio mapearla en múltiples helpers y reducers donde actualmente solo se procesa GravaIVA.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src/app/helpers/pending/quotation/quotation.helpers.ts (Gestión de fletes)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Línea 834 / 883 / 904: </w:t>
      </w:r>
      <w:r w:rsidDel="00000000" w:rsidR="00000000" w:rsidRPr="00000000">
        <w:rPr>
          <w:rtl w:val="0"/>
        </w:rPr>
        <w:t xml:space="preserve">Además de mapear GravaIVA: selectedFreight.GravaIVA, se agregará TasaOCuota: selectedFreight?.TasaOCuota ?? null.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Líneas 810 / 869:</w:t>
      </w:r>
      <w:r w:rsidDel="00000000" w:rsidR="00000000" w:rsidRPr="00000000">
        <w:rPr>
          <w:rtl w:val="0"/>
        </w:rPr>
        <w:t xml:space="preserve"> Al invocar getIvaWithGravaIVA(), inyectar los nuevos parámetros posicionales: selectedFreight?.TasaOCuota e isMex.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src/app/helpers/pendings/purchase-promise/purchase-promise-detail/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purchase-promise-detail.helper.ts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las llamadas internas a getTotalsItem (Líneas 179, 516, 529, 543), se deberán anexar al final los siguientes argumentos: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Propagación en Helper de Promesa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true,                           // withIva (existente)</w:t>
              <w:br w:type="textWrapping"/>
              <w:t xml:space="preserve">it?.quote?.TasaOCuota ?? null,  // NUEVO: Perfil Fiscal Individual</w:t>
              <w:br w:type="textWrapping"/>
              <w:t xml:space="preserve">isMex,                          // NUEVO: Identificador de Contexto Regional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Otros archivos identificados que requieren propagación explícita de TasaOCuota: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pre-processing.helpers.ts (Líneas 279-281)</w:t>
        <w:br w:type="textWrapping"/>
        <w:t xml:space="preserve">• validate-adjustment-details.reducer.ts (Líneas 192-219, 3 llamadas a getTotalsItem)</w:t>
        <w:br w:type="textWrapping"/>
        <w:t xml:space="preserve">• preprocess-order-details.reducer.ts (Líneas 376-400, 3 llamadas a getTotalsItem)</w:t>
        <w:br w:type="textWrapping"/>
        <w:t xml:space="preserve">• not-processed.helpers.ts (Línea 157)</w:t>
        <w:br w:type="textWrapping"/>
        <w:t xml:space="preserve">• org-adjust-freight-helper.ts (Líneas 28, 50, 70, 90, 114, 138)</w:t>
      </w:r>
    </w:p>
    <w:p w:rsidR="00000000" w:rsidDel="00000000" w:rsidP="00000000" w:rsidRDefault="00000000" w:rsidRPr="00000000" w14:paraId="00000069">
      <w:pPr>
        <w:pStyle w:val="Heading3"/>
        <w:keepNext w:val="1"/>
        <w:keepLines w:val="1"/>
        <w:spacing w:after="120" w:before="280" w:line="276" w:lineRule="auto"/>
        <w:jc w:val="left"/>
        <w:rPr/>
      </w:pPr>
      <w:bookmarkStart w:colFirst="0" w:colLast="0" w:name="_5o40au1iu8ak" w:id="20"/>
      <w:bookmarkEnd w:id="20"/>
      <w:r w:rsidDel="00000000" w:rsidR="00000000" w:rsidRPr="00000000">
        <w:rPr>
          <w:rtl w:val="0"/>
        </w:rPr>
        <w:t xml:space="preserve">Modelos e Interfaces</w:t>
      </w:r>
    </w:p>
    <w:p w:rsidR="00000000" w:rsidDel="00000000" w:rsidP="00000000" w:rsidRDefault="00000000" w:rsidRPr="00000000" w14:paraId="0000006A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src/app/utils/models/last-mile-freight.ts</w:t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Interface Extension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export interface LastMileFreight {</w:t>
              <w:br w:type="textWrapping"/>
              <w:t xml:space="preserve">  ...</w:t>
              <w:br w:type="textWrapping"/>
              <w:t xml:space="preserve">  GravaIVA: boolean;</w:t>
              <w:br w:type="textWrapping"/>
              <w:t xml:space="preserve">  TasaOCuota?: number | null;  // NUEVO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Nota: Se deberá asegurar que esta misma propiedad opcional extendida exista e impacte en las firmas de CotProductoOferta, vProducto e IQuoteItem.</w:t>
      </w:r>
    </w:p>
    <w:p w:rsidR="00000000" w:rsidDel="00000000" w:rsidP="00000000" w:rsidRDefault="00000000" w:rsidRPr="00000000" w14:paraId="0000006D">
      <w:pPr>
        <w:pStyle w:val="Heading3"/>
        <w:keepNext w:val="1"/>
        <w:keepLines w:val="1"/>
        <w:spacing w:after="120" w:before="280" w:line="276" w:lineRule="auto"/>
        <w:jc w:val="left"/>
        <w:rPr/>
      </w:pPr>
      <w:bookmarkStart w:colFirst="0" w:colLast="0" w:name="_71ywatwlf4ss" w:id="21"/>
      <w:bookmarkEnd w:id="21"/>
      <w:r w:rsidDel="00000000" w:rsidR="00000000" w:rsidRPr="00000000">
        <w:rPr>
          <w:rtl w:val="0"/>
        </w:rPr>
        <w:t xml:space="preserve">Componente Visual de Ajuste de Fletes</w:t>
      </w:r>
    </w:p>
    <w:p w:rsidR="00000000" w:rsidDel="00000000" w:rsidP="00000000" w:rsidRDefault="00000000" w:rsidRPr="00000000" w14:paraId="0000006E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src/app/components/shared/organisms/org-adjust-freight/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org-adjust-freight.component.ts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spacing w:after="80" w:before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Líneas 147-148 — Detección de fletes que gravan IVA:</w:t>
      </w:r>
    </w:p>
    <w:p w:rsidR="00000000" w:rsidDel="00000000" w:rsidP="00000000" w:rsidRDefault="00000000" w:rsidRPr="00000000" w14:paraId="00000071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Component UI Logic - Detection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const isMex = this.idRegion === ID_REGION_MEX;</w:t>
              <w:br w:type="textWrapping"/>
              <w:t xml:space="preserve">const needTax = isMex</w:t>
              <w:br w:type="textWrapping"/>
              <w:t xml:space="preserve">  ? this.lastMileFreight?.some((it) =&gt; it.TasaOCuota !== null) ||</w:t>
              <w:br w:type="textWrapping"/>
              <w:t xml:space="preserve">    this.expressFreights?.some((it) =&gt; it.TasaOCuota !== null)</w:t>
              <w:br w:type="textWrapping"/>
              <w:t xml:space="preserve">  : this.lastMileFreight?.some((it) =&gt; it.GravaIVA) ||</w:t>
              <w:br w:type="textWrapping"/>
              <w:t xml:space="preserve">    this.expressFreights?.some((it) =&gt; it.GravaIVA);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="276" w:lineRule="auto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Línea 334 — Cálculo dinámico dentro del método applyQuota: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f0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160" w:line="276" w:lineRule="auto"/>
              <w:jc w:val="left"/>
              <w:rPr>
                <w:color w:val="2d3748"/>
              </w:rPr>
            </w:pPr>
            <w:r w:rsidDel="00000000" w:rsidR="00000000" w:rsidRPr="00000000">
              <w:rPr>
                <w:b w:val="1"/>
                <w:bCs w:val="1"/>
                <w:color w:val="1a365d"/>
                <w:rtl w:val="0"/>
              </w:rPr>
              <w:t xml:space="preserve">Component UI Logic - Calculation</w:t>
              <w:br w:type="textWrapping"/>
            </w:r>
            <w:r w:rsidDel="00000000" w:rsidR="00000000" w:rsidRPr="00000000">
              <w:rPr>
                <w:i w:val="1"/>
                <w:iCs w:val="1"/>
                <w:color w:val="2d3748"/>
                <w:rtl w:val="0"/>
              </w:rPr>
              <w:t xml:space="preserve">const adjustIva = isMex</w:t>
              <w:br w:type="textWrapping"/>
              <w:t xml:space="preserve">  ? (item.TasaOCuota !== null ? adjust * (item.TasaOCuota ?? 0) : 0)</w:t>
              <w:br w:type="textWrapping"/>
              <w:t xml:space="preserve">  : item.GravaIVA ? adjust * this.tax : 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1"/>
        <w:keepLines w:val="1"/>
        <w:spacing w:after="160" w:before="320" w:line="276" w:lineRule="auto"/>
        <w:jc w:val="left"/>
        <w:rPr/>
      </w:pPr>
      <w:bookmarkStart w:colFirst="0" w:colLast="0" w:name="_xoy9lly5rl95" w:id="22"/>
      <w:bookmarkEnd w:id="22"/>
      <w:r w:rsidDel="00000000" w:rsidR="00000000" w:rsidRPr="00000000">
        <w:rPr>
          <w:rtl w:val="0"/>
        </w:rPr>
        <w:t xml:space="preserve">5. Resumen de Beneficios y Riesgos Mitigados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Cero Regresión Operativa para Perú:</w:t>
      </w:r>
      <w:r w:rsidDel="00000000" w:rsidR="00000000" w:rsidRPr="00000000">
        <w:rPr>
          <w:rtl w:val="0"/>
        </w:rPr>
        <w:t xml:space="preserve"> Al mantener la firma original de las funciones base y usar parámetros opcionales discriminados por isMex, el cálculo de la tasa peruana (0.18 x GravaIVA) se mantiene intacto.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Soporte Exento vs. Tasa 0:</w:t>
      </w:r>
      <w:r w:rsidDel="00000000" w:rsidR="00000000" w:rsidRPr="00000000">
        <w:rPr>
          <w:rtl w:val="0"/>
        </w:rPr>
        <w:t xml:space="preserve"> La lógica distingue matemáticamente un null (Exento) y previene errores de 'Not A Number' (NaN), asegurando que devuelva un IVA de $0.00 correcto.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Adherencia a la Guía Fiscal:</w:t>
      </w:r>
      <w:r w:rsidDel="00000000" w:rsidR="00000000" w:rsidRPr="00000000">
        <w:rPr>
          <w:rtl w:val="0"/>
        </w:rPr>
        <w:t xml:space="preserve"> Se garantiza que ninguna parte del sistema asuma el IVA de México como global; el cálculo se delega estrictamente al Eje 1 (Naturaleza del Producto por Partida).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1"/>
        <w:keepLines w:val="1"/>
        <w:spacing w:after="120" w:lineRule="auto"/>
        <w:jc w:val="left"/>
        <w:rPr/>
      </w:pPr>
      <w:bookmarkStart w:colFirst="0" w:colLast="0" w:name="_kodq51dlnerw" w:id="23"/>
      <w:bookmarkEnd w:id="23"/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.0000000000002"/>
        <w:gridCol w:w="1164.9999999999998"/>
        <w:gridCol w:w="2010"/>
        <w:gridCol w:w="1695"/>
        <w:gridCol w:w="1695"/>
        <w:gridCol w:w="1695"/>
        <w:tblGridChange w:id="0">
          <w:tblGrid>
            <w:gridCol w:w="1100.0000000000002"/>
            <w:gridCol w:w="1164.9999999999998"/>
            <w:gridCol w:w="2010"/>
            <w:gridCol w:w="169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Cambio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del cambio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Aprobó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Alan Fernandez Garcia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/>
            </w:pPr>
            <w:sdt>
              <w:sdtPr>
                <w:alias w:val="Tipo de Cambio"/>
                <w:id w:val="1993061673"/>
                <w:dropDownList w:lastValue="Creación">
                  <w:listItem w:displayText="Creación" w:value="Creación"/>
                  <w:listItem w:displayText="Actualización" w:value="Actualización"/>
                  <w:listItem w:displayText="Mejora" w:value="Mejora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Creación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crea propuesta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keepNext w:val="1"/>
        <w:keepLines w:val="1"/>
        <w:spacing w:after="120" w:lineRule="auto"/>
        <w:jc w:val="left"/>
        <w:rPr/>
      </w:pPr>
      <w:bookmarkStart w:colFirst="0" w:colLast="0" w:name="_qgi4dvct9ibr" w:id="24"/>
      <w:bookmarkEnd w:id="24"/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700.7874015748032" w:left="1440" w:right="1440" w:header="708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Style w:val="Subtitle"/>
      <w:rPr/>
    </w:pPr>
    <w:bookmarkStart w:colFirst="0" w:colLast="0" w:name="_hbjwpvr8wxtb" w:id="25"/>
    <w:bookmarkEnd w:id="2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jc w:val="right"/>
      <w:rPr/>
    </w:pP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color="e0e0e0" w:space="0" w:sz="6" w:val="single"/>
      </w:pBdr>
      <w:tabs>
        <w:tab w:val="right" w:leader="none" w:pos="9345"/>
      </w:tabs>
      <w:spacing w:before="80" w:lineRule="auto"/>
      <w:ind w:left="0" w:firstLine="0"/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  2026 RYNDEM SOFTWARE FACTORY. Todos los derechos reservados.  </w:t>
    </w:r>
    <w:r w:rsidDel="00000000" w:rsidR="00000000" w:rsidRPr="00000000">
      <w:rPr>
        <w:sz w:val="18"/>
        <w:szCs w:val="18"/>
        <w:rtl w:val="0"/>
      </w:rPr>
      <w:tab/>
    </w:r>
    <w:r w:rsidDel="00000000" w:rsidR="00000000" w:rsidRPr="00000000">
      <w:rPr>
        <w:b w:val="1"/>
        <w:bCs w:val="1"/>
        <w:color w:val="c2273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171450</wp:posOffset>
          </wp:positionV>
          <wp:extent cx="1095375" cy="121708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121708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0"/>
      <w:pBdr>
        <w:bottom w:color="4d4e4f" w:space="3" w:sz="6" w:val="single"/>
      </w:pBdr>
      <w:tabs>
        <w:tab w:val="right" w:leader="none" w:pos="9345"/>
      </w:tabs>
      <w:spacing w:after="0" w:before="0" w:line="360" w:lineRule="auto"/>
      <w:jc w:val="right"/>
      <w:rPr>
        <w:color w:val="999999"/>
        <w:sz w:val="20"/>
        <w:szCs w:val="20"/>
      </w:rPr>
    </w:pPr>
    <w:r w:rsidDel="00000000" w:rsidR="00000000" w:rsidRPr="00000000">
      <w:rPr/>
      <w:drawing>
        <wp:inline distB="114300" distT="114300" distL="114300" distR="114300">
          <wp:extent cx="1029857" cy="27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953" l="0" r="0" t="953"/>
                  <a:stretch>
                    <a:fillRect/>
                  </a:stretch>
                </pic:blipFill>
                <pic:spPr>
                  <a:xfrm>
                    <a:off x="0" y="0"/>
                    <a:ext cx="1029857" cy="27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  <w:tab/>
    </w:r>
    <w:r w:rsidDel="00000000" w:rsidR="00000000" w:rsidRPr="00000000">
      <w:rPr>
        <w:color w:val="999999"/>
        <w:sz w:val="20"/>
        <w:szCs w:val="20"/>
        <w:rtl w:val="0"/>
      </w:rPr>
      <w:t xml:space="preserve">Propuesta Herramienta de Comunicación Proquifa y Ryndem</w:t>
    </w:r>
    <w:r w:rsidDel="00000000" w:rsidR="00000000" w:rsidRPr="00000000">
      <w:rPr>
        <w:color w:val="999999"/>
        <w:sz w:val="20"/>
        <w:szCs w:val="20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2381</wp:posOffset>
              </wp:positionH>
              <wp:positionV relativeFrom="page">
                <wp:posOffset>318</wp:posOffset>
              </wp:positionV>
              <wp:extent cx="7772400" cy="952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208625" y="851975"/>
                        <a:ext cx="9312300" cy="79200"/>
                      </a:xfrm>
                      <a:prstGeom prst="rect">
                        <a:avLst/>
                      </a:prstGeom>
                      <a:solidFill>
                        <a:srgbClr val="C2273D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2381</wp:posOffset>
              </wp:positionH>
              <wp:positionV relativeFrom="page">
                <wp:posOffset>318</wp:posOffset>
              </wp:positionV>
              <wp:extent cx="7772400" cy="952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95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360" w:lineRule="auto"/>
    </w:pPr>
    <w:rPr>
      <w:b w:val="1"/>
      <w:bCs w:val="1"/>
      <w:color w:val="4d4e4f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 w:lineRule="auto"/>
    </w:pPr>
    <w:rPr>
      <w:b w:val="1"/>
      <w:bCs w:val="1"/>
      <w:color w:val="c2273d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60" w:line="240" w:lineRule="auto"/>
      <w:jc w:val="left"/>
    </w:pPr>
    <w:rPr>
      <w:b w:val="1"/>
      <w:bCs w:val="1"/>
      <w:color w:val="4d4e4f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80" w:lineRule="auto"/>
      <w:jc w:val="left"/>
    </w:pPr>
    <w:rPr>
      <w:b w:val="1"/>
      <w:bCs w:val="1"/>
      <w:color w:val="4d4e4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urchase-promise-detail.helper.ts" TargetMode="External"/><Relationship Id="rId10" Type="http://schemas.openxmlformats.org/officeDocument/2006/relationships/image" Target="media/image4.png"/><Relationship Id="rId13" Type="http://schemas.openxmlformats.org/officeDocument/2006/relationships/hyperlink" Target="mailto:alan.garcia@ryndem.mx" TargetMode="External"/><Relationship Id="rId12" Type="http://schemas.openxmlformats.org/officeDocument/2006/relationships/hyperlink" Target="http://org-adjust-freight.component.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valdemar.farina@ryndem.mx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mailto:alan.garcia@ryndem.mx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