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Arial" w:cs="Arial" w:eastAsia="Arial" w:hAnsi="Arial"/>
          <w:b/>
          <w:bCs/>
          <w:color w:val="1A3A5C"/>
          <w:sz w:val="40"/>
          <w:szCs w:val="40"/>
        </w:rPr>
        <w:t xml:space="preserve">DOCUMENTO DE ANÁLISIS Y RECOMENDACIÓN</w:t>
      </w:r>
    </w:p>
    <w:p>
      <w:pPr>
        <w:spacing w:after="80" w:before="0"/>
        <w:jc w:val="center"/>
      </w:pPr>
      <w:r>
        <w:rPr>
          <w:rFonts w:ascii="Arial" w:cs="Arial" w:eastAsia="Arial" w:hAnsi="Arial"/>
          <w:color w:val="0D9488"/>
          <w:sz w:val="28"/>
          <w:szCs w:val="28"/>
        </w:rPr>
        <w:t xml:space="preserve">Buzón de Cobros — Selección de Propuesta de Implementación</w:t>
      </w:r>
    </w:p>
    <w:p>
      <w:pPr>
        <w:spacing w:after="480" w:before="80"/>
        <w:jc w:val="center"/>
      </w:pPr>
      <w:r>
        <w:rPr>
          <w:rFonts w:ascii="Arial" w:cs="Arial" w:eastAsia="Arial" w:hAnsi="Arial"/>
          <w:color w:val="6B7280"/>
          <w:sz w:val="20"/>
          <w:szCs w:val="20"/>
        </w:rPr>
        <w:t xml:space="preserve">TPSC-RE-FU-008 | Proyecto R16 — ProquifaDotNet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3A5C"/>
                <w:sz w:val="18"/>
                <w:szCs w:val="18"/>
              </w:rPr>
              <w:t xml:space="preserve">Versión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18"/>
                <w:szCs w:val="18"/>
              </w:rPr>
              <w:t xml:space="preserve">1.0</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3A5C"/>
                <w:sz w:val="18"/>
                <w:szCs w:val="18"/>
              </w:rPr>
              <w:t xml:space="preserve">Fecha</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18"/>
                <w:szCs w:val="18"/>
              </w:rPr>
              <w:t xml:space="preserve">Junio 2026</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3A5C"/>
                <w:sz w:val="18"/>
                <w:szCs w:val="18"/>
              </w:rPr>
              <w:t xml:space="preserve">Módulo</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18"/>
                <w:szCs w:val="18"/>
              </w:rPr>
              <w:t xml:space="preserve">Buzones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3A5C"/>
                <w:sz w:val="18"/>
                <w:szCs w:val="18"/>
              </w:rPr>
              <w:t xml:space="preserve">Propuestas evaluadas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18"/>
                <w:szCs w:val="18"/>
              </w:rPr>
              <w:t xml:space="preserve">P1 — n8n + RabbitMQ + MailbotWorker.sln (.NET 10)   vs   P2 — Gmail Push + Pub/Sub + Mailbot.Api (.NET 10)</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3A5C"/>
                <w:sz w:val="18"/>
                <w:szCs w:val="18"/>
              </w:rPr>
              <w:t xml:space="preserve">Preparado por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18"/>
                <w:szCs w:val="18"/>
              </w:rPr>
              <w:t xml:space="preserve">Equipo de Arquitectura R16</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A3A5C"/>
                <w:sz w:val="18"/>
                <w:szCs w:val="18"/>
              </w:rPr>
              <w:t xml:space="preserve">Estado</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18"/>
                <w:szCs w:val="18"/>
              </w:rPr>
              <w:t xml:space="preserve">Borrador — pendiente decisión</w:t>
            </w:r>
          </w:p>
        </w:tc>
      </w:tr>
    </w:tbl>
    <w:p>
      <w:r>
        <w:br w:type="page"/>
      </w:r>
    </w:p>
    <w:p>
      <w:pPr>
        <w:pStyle w:val="Heading1"/>
        <w:spacing w:after="120" w:before="360"/>
      </w:pPr>
      <w:r>
        <w:rPr>
          <w:rFonts w:ascii="Arial" w:cs="Arial" w:eastAsia="Arial" w:hAnsi="Arial"/>
          <w:b/>
          <w:bCs/>
          <w:color w:val="1A3A5C"/>
          <w:sz w:val="30"/>
          <w:szCs w:val="30"/>
        </w:rPr>
        <w:t xml:space="preserve">1. Resumen Ejecutivo</w:t>
      </w:r>
    </w:p>
    <w:p>
      <w:pPr>
        <w:spacing w:after="60" w:before="60"/>
      </w:pPr>
      <w:r>
        <w:rPr>
          <w:rFonts w:ascii="Arial" w:cs="Arial" w:eastAsia="Arial" w:hAnsi="Arial"/>
          <w:color w:val="1F2937"/>
          <w:sz w:val="20"/>
          <w:szCs w:val="20"/>
        </w:rPr>
        <w:t xml:space="preserve">Este documento analiza y compara las dos propuestas de implementación del Buzón de Cobros (TPSC-RE-FU-008). Ambas propuestas cumplen con el requisito funcional y comparten la misma lógica de negocio, el mismo Agente IA y el mismo esquema de base de datos. La diferencia está en la arquitectura de integración con Gmail y los costos operativos.</w:t>
      </w:r>
    </w:p>
    <w:p>
      <w:pPr>
        <w:spacing w:before="80"/>
      </w:pPr>
    </w:p>
    <w:p>
      <w:pPr>
        <w:spacing w:after="60" w:before="60"/>
      </w:pPr>
      <w:r>
        <w:rPr>
          <w:rFonts w:ascii="Arial" w:cs="Arial" w:eastAsia="Arial" w:hAnsi="Arial"/>
          <w:b/>
          <w:bCs/>
          <w:color w:val="1A3A5C"/>
          <w:sz w:val="20"/>
          <w:szCs w:val="20"/>
        </w:rPr>
        <w:t xml:space="preserve">Resultado del análisis: </w:t>
      </w:r>
      <w:r>
        <w:rPr>
          <w:rFonts w:ascii="Arial" w:cs="Arial" w:eastAsia="Arial" w:hAnsi="Arial"/>
          <w:color w:val="1F2937"/>
          <w:sz w:val="20"/>
          <w:szCs w:val="20"/>
        </w:rPr>
        <w:t xml:space="preserve">Propuesta 1 obtiene 29/40 puntos. Propuesta 2 obtiene 31/40 puntos. La Propuesta 2 es recomendada para proyectos nuevos donde no se opera n8n actualmente; ofrece menor costo de licencias, infraestructura gestionada y solución .NET unificada. La Propuesta 1 es la alternativa si no es viable exponer un endpoint HTTPS público o si n8n ya está en la infraestructura.</w:t>
      </w:r>
    </w:p>
    <w:p>
      <w:pPr>
        <w:pStyle w:val="Heading1"/>
        <w:spacing w:after="120" w:before="360"/>
      </w:pPr>
      <w:r>
        <w:rPr>
          <w:rFonts w:ascii="Arial" w:cs="Arial" w:eastAsia="Arial" w:hAnsi="Arial"/>
          <w:b/>
          <w:bCs/>
          <w:color w:val="1A3A5C"/>
          <w:sz w:val="30"/>
          <w:szCs w:val="30"/>
        </w:rPr>
        <w:t xml:space="preserve">2. Contexto del Requisito</w:t>
      </w:r>
    </w:p>
    <w:p>
      <w:pPr>
        <w:pStyle w:val="Heading2"/>
        <w:spacing w:after="80" w:before="240"/>
      </w:pPr>
      <w:r>
        <w:rPr>
          <w:rFonts w:ascii="Arial" w:cs="Arial" w:eastAsia="Arial" w:hAnsi="Arial"/>
          <w:b/>
          <w:bCs/>
          <w:color w:val="1A3A5C"/>
          <w:sz w:val="24"/>
          <w:szCs w:val="24"/>
        </w:rPr>
        <w:t xml:space="preserve">2.1 Historia de Usuario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0D9488" w:sz="20"/>
              <w:bottom w:val="single" w:color="CCCCCC" w:sz="1"/>
              <w:right w:val="single" w:color="CCCCCC" w:sz="1"/>
            </w:tcBorders>
            <w:shd w:fill="EFF9F8" w:val="clear"/>
            <w:tcMar>
              <w:top w:type="dxa" w:w="120"/>
              <w:left w:type="dxa" w:w="280"/>
              <w:bottom w:type="dxa" w:w="120"/>
              <w:right w:type="dxa" w:w="280"/>
            </w:tcMar>
          </w:tcPr>
          <w:p>
            <w:r>
              <w:rPr>
                <w:rFonts w:ascii="Arial" w:cs="Arial" w:eastAsia="Arial" w:hAnsi="Arial"/>
                <w:i/>
                <w:iCs/>
                <w:color w:val="1F2937"/>
                <w:sz w:val="20"/>
                <w:szCs w:val="20"/>
              </w:rPr>
              <w:t xml:space="preserve">Yo como Gestor de Cobranza, quiero contar con un Buzón de Cobros que reciba automáticamente los correos clasificados como cobros enviados por mis clientes asignados, genere un pendiente en Validar Cobro sin captura previa de datos y me permita reclasificar correos mal clasificados, para reducir el trabajo manual de identificación inicial de cobros.</w:t>
            </w:r>
          </w:p>
        </w:tc>
      </w:tr>
    </w:tbl>
    <w:p>
      <w:pPr>
        <w:pStyle w:val="Heading2"/>
        <w:spacing w:after="80" w:before="240"/>
      </w:pPr>
      <w:r>
        <w:rPr>
          <w:rFonts w:ascii="Arial" w:cs="Arial" w:eastAsia="Arial" w:hAnsi="Arial"/>
          <w:b/>
          <w:bCs/>
          <w:color w:val="1A3A5C"/>
          <w:sz w:val="24"/>
          <w:szCs w:val="24"/>
        </w:rPr>
        <w:t xml:space="preserve">2.2 Problema a Resolver — Limitaciones del Mailbot Actual</w:t>
      </w:r>
    </w:p>
    <w:p>
      <w:pPr>
        <w:spacing w:after="60" w:before="60"/>
      </w:pPr>
      <w:r>
        <w:rPr>
          <w:rFonts w:ascii="Arial" w:cs="Arial" w:eastAsia="Arial" w:hAnsi="Arial"/>
          <w:color w:val="1F2937"/>
          <w:sz w:val="20"/>
          <w:szCs w:val="20"/>
        </w:rPr>
        <w:t xml:space="preserve">El Mailbot actual (ConsumidorMailBot, .NET Framework 4.8, Task Scheduler) presenta las siguientes limitaciones críticas que impiden cumplir con TPSC-RE-FU-008:</w:t>
      </w:r>
    </w:p>
    <w:p>
      <w:pPr>
        <w:pStyle w:val="ListParagraph"/>
        <w:numPr>
          <w:ilvl w:val="0"/>
          <w:numId w:val="2"/>
        </w:numPr>
        <w:spacing w:after="40" w:before="40"/>
      </w:pPr>
      <w:r>
        <w:rPr>
          <w:rFonts w:ascii="Arial" w:cs="Arial" w:eastAsia="Arial" w:hAnsi="Arial"/>
          <w:color w:val="1F2937"/>
          <w:sz w:val="20"/>
          <w:szCs w:val="20"/>
        </w:rPr>
        <w:t xml:space="preserve">L1 — Polling fijo (Task Scheduler): latencia de minutos entre recepción del correo y clasificación.</w:t>
      </w:r>
    </w:p>
    <w:p>
      <w:pPr>
        <w:pStyle w:val="ListParagraph"/>
        <w:numPr>
          <w:ilvl w:val="0"/>
          <w:numId w:val="2"/>
        </w:numPr>
        <w:spacing w:after="40" w:before="40"/>
      </w:pPr>
      <w:r>
        <w:rPr>
          <w:rFonts w:ascii="Arial" w:cs="Arial" w:eastAsia="Arial" w:hAnsi="Arial"/>
          <w:color w:val="1F2937"/>
          <w:sz w:val="20"/>
          <w:szCs w:val="20"/>
        </w:rPr>
        <w:t xml:space="preserve">L2 — Clasificador ML.NET estático: modelos .zip que requieren reentrenamiento manual y costoso.</w:t>
      </w:r>
    </w:p>
    <w:p>
      <w:pPr>
        <w:pStyle w:val="ListParagraph"/>
        <w:numPr>
          <w:ilvl w:val="0"/>
          <w:numId w:val="2"/>
        </w:numPr>
        <w:spacing w:after="40" w:before="40"/>
      </w:pPr>
      <w:r>
        <w:rPr>
          <w:rFonts w:ascii="Arial" w:cs="Arial" w:eastAsia="Arial" w:hAnsi="Arial"/>
          <w:color w:val="1F2937"/>
          <w:sz w:val="20"/>
          <w:szCs w:val="20"/>
        </w:rPr>
        <w:t xml:space="preserve">L3 — Switch frágil: evalúa nombre display en lugar de clave técnica; vulnerable a cambios de catálogo.</w:t>
      </w:r>
    </w:p>
    <w:p>
      <w:pPr>
        <w:pStyle w:val="ListParagraph"/>
        <w:numPr>
          <w:ilvl w:val="0"/>
          <w:numId w:val="2"/>
        </w:numPr>
        <w:spacing w:after="40" w:before="40"/>
      </w:pPr>
      <w:r>
        <w:rPr>
          <w:rFonts w:ascii="Arial" w:cs="Arial" w:eastAsia="Arial" w:hAnsi="Arial"/>
          <w:color w:val="1F2937"/>
          <w:sz w:val="20"/>
          <w:szCs w:val="20"/>
        </w:rPr>
        <w:t xml:space="preserve">L4 — case "Pago" vacío: correo clasificado como cobro queda marcado procesado sin generar pendiente (Regla 1 no cumplida).</w:t>
      </w:r>
    </w:p>
    <w:p>
      <w:pPr>
        <w:pStyle w:val="ListParagraph"/>
        <w:numPr>
          <w:ilvl w:val="0"/>
          <w:numId w:val="2"/>
        </w:numPr>
        <w:spacing w:after="40" w:before="40"/>
      </w:pPr>
      <w:r>
        <w:rPr>
          <w:rFonts w:ascii="Arial" w:cs="Arial" w:eastAsia="Arial" w:hAnsi="Arial"/>
          <w:color w:val="1F2937"/>
          <w:sz w:val="20"/>
          <w:szCs w:val="20"/>
        </w:rPr>
        <w:t xml:space="preserve">L5 — Sin MinIO: adjuntos del correo no persisten en almacenamiento externo.</w:t>
      </w:r>
    </w:p>
    <w:p>
      <w:pPr>
        <w:pStyle w:val="ListParagraph"/>
        <w:numPr>
          <w:ilvl w:val="0"/>
          <w:numId w:val="2"/>
        </w:numPr>
        <w:spacing w:after="40" w:before="40"/>
      </w:pPr>
      <w:r>
        <w:rPr>
          <w:rFonts w:ascii="Arial" w:cs="Arial" w:eastAsia="Arial" w:hAnsi="Arial"/>
          <w:color w:val="1F2937"/>
          <w:sz w:val="20"/>
          <w:szCs w:val="20"/>
        </w:rPr>
        <w:t xml:space="preserve">L6 — Sin Brevo: errores del Mailbot solo en log local.</w:t>
      </w:r>
    </w:p>
    <w:p>
      <w:pPr>
        <w:pStyle w:val="ListParagraph"/>
        <w:numPr>
          <w:ilvl w:val="0"/>
          <w:numId w:val="2"/>
        </w:numPr>
        <w:spacing w:after="40" w:before="40"/>
      </w:pPr>
      <w:r>
        <w:rPr>
          <w:rFonts w:ascii="Arial" w:cs="Arial" w:eastAsia="Arial" w:hAnsi="Arial"/>
          <w:color w:val="1F2937"/>
          <w:sz w:val="20"/>
          <w:szCs w:val="20"/>
        </w:rPr>
        <w:t xml:space="preserve">L7 — Sin lectura de adjuntos: el Gestor de Cobranza captura todos los datos manualmente en Validar Cobro.</w:t>
      </w:r>
    </w:p>
    <w:p>
      <w:r>
        <w:br w:type="page"/>
      </w:r>
    </w:p>
    <w:p>
      <w:pPr>
        <w:pStyle w:val="Heading1"/>
        <w:spacing w:after="120" w:before="360"/>
      </w:pPr>
      <w:r>
        <w:rPr>
          <w:rFonts w:ascii="Arial" w:cs="Arial" w:eastAsia="Arial" w:hAnsi="Arial"/>
          <w:b/>
          <w:bCs/>
          <w:color w:val="1A3A5C"/>
          <w:sz w:val="30"/>
          <w:szCs w:val="30"/>
        </w:rPr>
        <w:t xml:space="preserve">3. Descripción de las Propuestas</w:t>
      </w:r>
    </w:p>
    <w:p>
      <w:pPr>
        <w:pStyle w:val="Heading2"/>
        <w:spacing w:after="80" w:before="240"/>
      </w:pPr>
      <w:r>
        <w:rPr>
          <w:rFonts w:ascii="Arial" w:cs="Arial" w:eastAsia="Arial" w:hAnsi="Arial"/>
          <w:b/>
          <w:bCs/>
          <w:color w:val="1A3A5C"/>
          <w:sz w:val="24"/>
          <w:szCs w:val="24"/>
        </w:rPr>
        <w:t xml:space="preserve">3.1 Propuesta 1 — n8n + RabbitMQ + MailbotWorker.sln (.NET 10)</w:t>
      </w:r>
    </w:p>
    <w:p>
      <w:pPr>
        <w:spacing w:after="60" w:before="60"/>
      </w:pPr>
      <w:r>
        <w:rPr>
          <w:rFonts w:ascii="Arial" w:cs="Arial" w:eastAsia="Arial" w:hAnsi="Arial"/>
          <w:color w:val="1F2937"/>
          <w:sz w:val="20"/>
          <w:szCs w:val="20"/>
        </w:rPr>
        <w:t xml:space="preserve">Reemplaza el Task Scheduler con n8n como orquestador de triggers de Gmail (polling ~1 minuto). n8n detecta correos nuevos y publica eventos en RabbitMQ. Los Workers .NET 10 (CorreoWorkerMex / CorreoWorkerPer) consumen las colas por región, clasifican con el Agente IA y persisten en base de datos.</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13"/>
        <w:gridCol w:w="3413"/>
      </w:tblGrid>
      <w:tr>
        <w:tc>
          <w:tcPr>
            <w:tcW w:type="dxa" w:w="28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Componente</w:t>
            </w:r>
          </w:p>
        </w:tc>
        <w:tc>
          <w:tcPr>
            <w:tcW w:type="dxa" w:w="2813"/>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Tecnología</w:t>
            </w:r>
          </w:p>
        </w:tc>
        <w:tc>
          <w:tcPr>
            <w:tcW w:type="dxa" w:w="3413"/>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Responsabilidad</w:t>
            </w:r>
          </w:p>
        </w:tc>
      </w:tr>
      <w:tr>
        <w:tc>
          <w:tcPr>
            <w:tcW w:type="dxa" w:w="28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bCs/>
                <w:color w:val="EA580C"/>
                <w:sz w:val="19"/>
                <w:szCs w:val="19"/>
              </w:rPr>
              <w:t xml:space="preserve">Trigger de correos</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n8n (Gmail Trigger, polling 1 min)</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Detecta correos nuevos, publica en RabbitMQ</w:t>
            </w:r>
          </w:p>
        </w:tc>
      </w:tr>
      <w:tr>
        <w:tc>
          <w:tcPr>
            <w:tcW w:type="dxa" w:w="28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bCs/>
                <w:color w:val="EA580C"/>
                <w:sz w:val="19"/>
                <w:szCs w:val="19"/>
              </w:rPr>
              <w:t xml:space="preserve">Message Broker</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RabbitMQ — Exchange mailbot.correos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Cola MEX, Cola PER y Dead Letter Queue (DLQ)</w:t>
            </w:r>
          </w:p>
        </w:tc>
      </w:tr>
      <w:tr>
        <w:tc>
          <w:tcPr>
            <w:tcW w:type="dxa" w:w="28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bCs/>
                <w:color w:val="EA580C"/>
                <w:sz w:val="19"/>
                <w:szCs w:val="19"/>
              </w:rPr>
              <w:t xml:space="preserve">Workers .NET 10</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MailbotWorker.sln — CorreoWorkerMex / Per</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Consume colas, clasifica con IA y persiste en BD</w:t>
            </w:r>
          </w:p>
        </w:tc>
      </w:tr>
      <w:tr>
        <w:tc>
          <w:tcPr>
            <w:tcW w:type="dxa" w:w="28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bCs/>
                <w:color w:val="EA580C"/>
                <w:sz w:val="19"/>
                <w:szCs w:val="19"/>
              </w:rPr>
              <w:t xml:space="preserve">Clasificador IA</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OpenAI / Azure OpenAI</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Clasifica correo y extrae datos por tipo</w:t>
            </w:r>
          </w:p>
        </w:tc>
      </w:tr>
      <w:tr>
        <w:tc>
          <w:tcPr>
            <w:tcW w:type="dxa" w:w="28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bCs/>
                <w:color w:val="EA580C"/>
                <w:sz w:val="19"/>
                <w:szCs w:val="19"/>
              </w:rPr>
              <w:t xml:space="preserve">Adjuntos</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MinIO (bucket mailbot / mex / per)</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Guarda adjuntos PDF/imagen antes de persistir</w:t>
            </w:r>
          </w:p>
        </w:tc>
      </w:tr>
      <w:tr>
        <w:tc>
          <w:tcPr>
            <w:tcW w:type="dxa" w:w="28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bCs/>
                <w:color w:val="EA580C"/>
                <w:sz w:val="19"/>
                <w:szCs w:val="19"/>
              </w:rPr>
              <w:t xml:space="preserve">Alertas de error</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Brevo (email al equipo)</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Alerta cuando mensaje llega a DLQ</w:t>
            </w:r>
          </w:p>
        </w:tc>
      </w:tr>
    </w:tbl>
    <w:p>
      <w:pPr>
        <w:spacing w:before="80"/>
      </w:pPr>
    </w:p>
    <w:p>
      <w:pPr>
        <w:pStyle w:val="Heading2"/>
        <w:spacing w:after="80" w:before="240"/>
      </w:pPr>
      <w:r>
        <w:rPr>
          <w:rFonts w:ascii="Arial" w:cs="Arial" w:eastAsia="Arial" w:hAnsi="Arial"/>
          <w:b/>
          <w:bCs/>
          <w:color w:val="1A3A5C"/>
          <w:sz w:val="24"/>
          <w:szCs w:val="24"/>
        </w:rPr>
        <w:t xml:space="preserve">3.2 Propuesta 2 — Gmail Push + Google Cloud Pub/Sub + Mailbot.Api (.NET 10)</w:t>
      </w:r>
    </w:p>
    <w:p>
      <w:pPr>
        <w:spacing w:after="60" w:before="60"/>
      </w:pPr>
      <w:r>
        <w:rPr>
          <w:rFonts w:ascii="Arial" w:cs="Arial" w:eastAsia="Arial" w:hAnsi="Arial"/>
          <w:color w:val="1F2937"/>
          <w:sz w:val="20"/>
          <w:szCs w:val="20"/>
        </w:rPr>
        <w:t xml:space="preserve">Elimina el polling y usa Gmail API watch para suscribirse a notificaciones push en tiempo real a través de Google Cloud Pub/Sub. Pub/Sub entrega cada evento al Mailbot.Api (.NET 10 Minimal API), que lo encola en un Channel&lt;T&gt; interno (System.Threading.Channels). El Mailbot.Worker consume el channel, lee el correo completo de Gmail, clasifica con IA y persiste.</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13"/>
        <w:gridCol w:w="3413"/>
      </w:tblGrid>
      <w:tr>
        <w:tc>
          <w:tcPr>
            <w:tcW w:type="dxa" w:w="28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Componente</w:t>
            </w:r>
          </w:p>
        </w:tc>
        <w:tc>
          <w:tcPr>
            <w:tcW w:type="dxa" w:w="2813"/>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Tecnología</w:t>
            </w:r>
          </w:p>
        </w:tc>
        <w:tc>
          <w:tcPr>
            <w:tcW w:type="dxa" w:w="3413"/>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Responsabilidad</w:t>
            </w:r>
          </w:p>
        </w:tc>
      </w:tr>
      <w:tr>
        <w:tc>
          <w:tcPr>
            <w:tcW w:type="dxa" w:w="2800"/>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bCs/>
                <w:color w:val="7C3AED"/>
                <w:sz w:val="19"/>
                <w:szCs w:val="19"/>
              </w:rPr>
              <w:t xml:space="preserve">Notificación push</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Gmail API watch + Google Cloud Pub/Sub</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Notifica al sistema en ~1-2 seg al recibir correo</w:t>
            </w:r>
          </w:p>
        </w:tc>
      </w:tr>
      <w:tr>
        <w:tc>
          <w:tcPr>
            <w:tcW w:type="dxa" w:w="2800"/>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bCs/>
                <w:color w:val="7C3AED"/>
                <w:sz w:val="19"/>
                <w:szCs w:val="19"/>
              </w:rPr>
              <w:t xml:space="preserve">Receptor de eventos</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Mailbot.Api — .NET 10 Minimal API</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Recibe push de Pub/Sub, valida token, encola</w:t>
            </w:r>
          </w:p>
        </w:tc>
      </w:tr>
      <w:tr>
        <w:tc>
          <w:tcPr>
            <w:tcW w:type="dxa" w:w="2800"/>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bCs/>
                <w:color w:val="7C3AED"/>
                <w:sz w:val="19"/>
                <w:szCs w:val="19"/>
              </w:rPr>
              <w:t xml:space="preserve">Cola interna</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System.Threading.Channels (.NET)</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Desacopla recepción HTTP del procesamiento Worker</w:t>
            </w:r>
          </w:p>
        </w:tc>
      </w:tr>
      <w:tr>
        <w:tc>
          <w:tcPr>
            <w:tcW w:type="dxa" w:w="2800"/>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bCs/>
                <w:color w:val="7C3AED"/>
                <w:sz w:val="19"/>
                <w:szCs w:val="19"/>
              </w:rPr>
              <w:t xml:space="preserve">Workers .NET 10</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Mailbot.Worker — CorreoWorkerMex / Per</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Consume channel, clasifica con IA y persiste en BD</w:t>
            </w:r>
          </w:p>
        </w:tc>
      </w:tr>
      <w:tr>
        <w:tc>
          <w:tcPr>
            <w:tcW w:type="dxa" w:w="2800"/>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bCs/>
                <w:color w:val="7C3AED"/>
                <w:sz w:val="19"/>
                <w:szCs w:val="19"/>
              </w:rPr>
              <w:t xml:space="preserve">Renovación watch</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GmailWatchRenovacionWorker (cron 6d)</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Renueva watch antes de expiración (7 días)</w:t>
            </w:r>
          </w:p>
        </w:tc>
      </w:tr>
      <w:tr>
        <w:tc>
          <w:tcPr>
            <w:tcW w:type="dxa" w:w="2800"/>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bCs/>
                <w:color w:val="7C3AED"/>
                <w:sz w:val="19"/>
                <w:szCs w:val="19"/>
              </w:rPr>
              <w:t xml:space="preserve">Clasificador IA</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OpenAI / Azure OpenAI</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Clasifica correo y extrae datos por tipo</w:t>
            </w:r>
          </w:p>
        </w:tc>
      </w:tr>
    </w:tbl>
    <w:p>
      <w:pPr>
        <w:spacing w:before="80"/>
      </w:pPr>
    </w:p>
    <w:p>
      <w:pPr>
        <w:pStyle w:val="Heading2"/>
        <w:spacing w:after="80" w:before="240"/>
      </w:pPr>
      <w:r>
        <w:rPr>
          <w:rFonts w:ascii="Arial" w:cs="Arial" w:eastAsia="Arial" w:hAnsi="Arial"/>
          <w:b/>
          <w:bCs/>
          <w:color w:val="1A3A5C"/>
          <w:sz w:val="24"/>
          <w:szCs w:val="24"/>
        </w:rPr>
        <w:t xml:space="preserve">3.3 Elementos Compartidos por Ambas Propuestas</w:t>
      </w:r>
    </w:p>
    <w:p>
      <w:pPr>
        <w:spacing w:after="60" w:before="60"/>
      </w:pPr>
      <w:r>
        <w:rPr>
          <w:rFonts w:ascii="Arial" w:cs="Arial" w:eastAsia="Arial" w:hAnsi="Arial"/>
          <w:color w:val="1F2937"/>
          <w:sz w:val="20"/>
          <w:szCs w:val="20"/>
        </w:rPr>
        <w:t xml:space="preserve">Los siguientes componentes son idénticos en ambas propuestas y no representan diferenciador en la decisión:</w:t>
      </w:r>
    </w:p>
    <w:p>
      <w:pPr>
        <w:pStyle w:val="ListParagraph"/>
        <w:numPr>
          <w:ilvl w:val="0"/>
          <w:numId w:val="2"/>
        </w:numPr>
        <w:spacing w:after="40" w:before="40"/>
      </w:pPr>
      <w:r>
        <w:rPr>
          <w:rFonts w:ascii="Arial" w:cs="Arial" w:eastAsia="Arial" w:hAnsi="Arial"/>
          <w:color w:val="1F2937"/>
          <w:sz w:val="20"/>
          <w:szCs w:val="20"/>
        </w:rPr>
        <w:t xml:space="preserve">Agente IA: OpenAI / Azure OpenAI con prompts editables (.txt) sin necesidad de recompilar.</w:t>
      </w:r>
    </w:p>
    <w:p>
      <w:pPr>
        <w:pStyle w:val="ListParagraph"/>
        <w:numPr>
          <w:ilvl w:val="0"/>
          <w:numId w:val="2"/>
        </w:numPr>
        <w:spacing w:after="40" w:before="40"/>
      </w:pPr>
      <w:r>
        <w:rPr>
          <w:rFonts w:ascii="Arial" w:cs="Arial" w:eastAsia="Arial" w:hAnsi="Arial"/>
          <w:color w:val="1F2937"/>
          <w:sz w:val="20"/>
          <w:szCs w:val="20"/>
        </w:rPr>
        <w:t xml:space="preserve">Tablas de BD: MailbotEventoCorreo, MailbotClasificacionLog, catClasificacionCorreoRecibido, catProceso.</w:t>
      </w:r>
    </w:p>
    <w:p>
      <w:pPr>
        <w:pStyle w:val="ListParagraph"/>
        <w:numPr>
          <w:ilvl w:val="0"/>
          <w:numId w:val="2"/>
        </w:numPr>
        <w:spacing w:after="40" w:before="40"/>
      </w:pPr>
      <w:r>
        <w:rPr>
          <w:rFonts w:ascii="Arial" w:cs="Arial" w:eastAsia="Arial" w:hAnsi="Arial"/>
          <w:color w:val="1F2937"/>
          <w:sz w:val="20"/>
          <w:szCs w:val="20"/>
        </w:rPr>
        <w:t xml:space="preserve">Cambios en ProquifaDotNet (Framework 4.8): GAP-01 al GAP-04.</w:t>
      </w:r>
    </w:p>
    <w:p>
      <w:pPr>
        <w:pStyle w:val="ListParagraph"/>
        <w:numPr>
          <w:ilvl w:val="0"/>
          <w:numId w:val="2"/>
        </w:numPr>
        <w:spacing w:after="40" w:before="40"/>
      </w:pPr>
      <w:r>
        <w:rPr>
          <w:rFonts w:ascii="Arial" w:cs="Arial" w:eastAsia="Arial" w:hAnsi="Arial"/>
          <w:color w:val="1F2937"/>
          <w:sz w:val="20"/>
          <w:szCs w:val="20"/>
        </w:rPr>
        <w:t xml:space="preserve">Clean Architecture + CQRS (Domain / Application / Infrastructure / API / Worker).</w:t>
      </w:r>
    </w:p>
    <w:p>
      <w:pPr>
        <w:pStyle w:val="ListParagraph"/>
        <w:numPr>
          <w:ilvl w:val="0"/>
          <w:numId w:val="2"/>
        </w:numPr>
        <w:spacing w:after="40" w:before="40"/>
      </w:pPr>
      <w:r>
        <w:rPr>
          <w:rFonts w:ascii="Arial" w:cs="Arial" w:eastAsia="Arial" w:hAnsi="Arial"/>
          <w:color w:val="1F2937"/>
          <w:sz w:val="20"/>
          <w:szCs w:val="20"/>
        </w:rPr>
        <w:t xml:space="preserve">EF Core Scaffold sobre el mismo conjunto de tablas de ProquifaDotNet.</w:t>
      </w:r>
    </w:p>
    <w:p>
      <w:pPr>
        <w:pStyle w:val="ListParagraph"/>
        <w:numPr>
          <w:ilvl w:val="0"/>
          <w:numId w:val="2"/>
        </w:numPr>
        <w:spacing w:after="40" w:before="40"/>
      </w:pPr>
      <w:r>
        <w:rPr>
          <w:rFonts w:ascii="Arial" w:cs="Arial" w:eastAsia="Arial" w:hAnsi="Arial"/>
          <w:color w:val="1F2937"/>
          <w:sz w:val="20"/>
          <w:szCs w:val="20"/>
        </w:rPr>
        <w:t xml:space="preserve">Log de auditoría de clasificaciones IA con confianza y tokens usados por llamada.</w:t>
      </w:r>
    </w:p>
    <w:p>
      <w:r>
        <w:br w:type="page"/>
      </w:r>
    </w:p>
    <w:p>
      <w:pPr>
        <w:pStyle w:val="Heading1"/>
        <w:spacing w:after="120" w:before="360"/>
      </w:pPr>
      <w:r>
        <w:rPr>
          <w:rFonts w:ascii="Arial" w:cs="Arial" w:eastAsia="Arial" w:hAnsi="Arial"/>
          <w:b/>
          <w:bCs/>
          <w:color w:val="1A3A5C"/>
          <w:sz w:val="30"/>
          <w:szCs w:val="30"/>
        </w:rPr>
        <w:t xml:space="preserve">4. Criterios de Evaluación</w:t>
      </w:r>
    </w:p>
    <w:p>
      <w:pPr>
        <w:spacing w:after="60" w:before="60"/>
      </w:pPr>
      <w:r>
        <w:rPr>
          <w:rFonts w:ascii="Arial" w:cs="Arial" w:eastAsia="Arial" w:hAnsi="Arial"/>
          <w:color w:val="1F2937"/>
          <w:sz w:val="20"/>
          <w:szCs w:val="20"/>
        </w:rPr>
        <w:t xml:space="preserve">Cada criterio se evalúa de 1 a 5 estrellas (★ = deficiente, ★★★★★ = excelente). Todos los criterios tienen el mismo peso.</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Criterio</w:t>
            </w:r>
          </w:p>
        </w:tc>
        <w:tc>
          <w:tcPr>
            <w:tcW w:type="dxa" w:w="5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Robustez y confiabilidad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Tolerancia a fallos, disponibilidad y garantías de entrega de mensajes. Incluye manejo de SPOF y recuperación ante caídas.</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Visibilidad y monitoreo</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Capacidad de observar el estado del sistema, profundidad de colas y errores en tiempo real sin herramientas adicionales.</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Gestión de errores clara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Mecanismos para capturar, registrar y recuperar mensajes que fallaron durante el procesamiento. Trazabilidad de errores.</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Versionamiento y despliegues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Facilidad para versionar todos los componentes de la solución con un único pipeline CI/CD. Posibilidad de rollback.</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Reintentos automáticos y manuales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Capacidad del sistema para reintentar automáticamente mensajes fallidos y permitir al operador forzar un reintento manual.</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Curva de aprendizaje y desarrollo</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Esfuerzo requerido por el equipo para aprender las tecnologías involucradas y desarrollar la solución inicial.</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Consumo de recursos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Servidores, memoria e infraestructura adicional que la propuesta requiere por encima de lo ya existente.</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Costo (licencia)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Costo directo de licencias de software o servicios cloud. Se excluyen costos de desarrollo e infraestructura base.</w:t>
            </w:r>
          </w:p>
        </w:tc>
      </w:tr>
    </w:tbl>
    <w:p>
      <w:r>
        <w:br w:type="page"/>
      </w:r>
    </w:p>
    <w:p>
      <w:pPr>
        <w:pStyle w:val="Heading1"/>
        <w:spacing w:after="120" w:before="360"/>
      </w:pPr>
      <w:r>
        <w:rPr>
          <w:rFonts w:ascii="Arial" w:cs="Arial" w:eastAsia="Arial" w:hAnsi="Arial"/>
          <w:b/>
          <w:bCs/>
          <w:color w:val="1A3A5C"/>
          <w:sz w:val="30"/>
          <w:szCs w:val="30"/>
        </w:rPr>
        <w:t xml:space="preserve">5. Análisis Detallado por Criterio</w:t>
      </w:r>
    </w:p>
    <w:p>
      <w:pPr>
        <w:pStyle w:val="Heading2"/>
        <w:spacing w:after="80" w:before="240"/>
      </w:pPr>
      <w:r>
        <w:rPr>
          <w:rFonts w:ascii="Arial" w:cs="Arial" w:eastAsia="Arial" w:hAnsi="Arial"/>
          <w:b/>
          <w:bCs/>
          <w:color w:val="1A3A5C"/>
          <w:sz w:val="24"/>
          <w:szCs w:val="24"/>
        </w:rPr>
        <w:t xml:space="preserve">5.1  Robustez y confiabilidad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613"/>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Propuesta 1  ★★★★☆  (4/5)</w:t>
            </w:r>
          </w:p>
        </w:tc>
        <w:tc>
          <w:tcPr>
            <w:tcW w:type="dxa" w:w="3613"/>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Propuesta 2  ★★★☆☆  (3/5)</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Tecnología</w:t>
            </w:r>
          </w:p>
        </w:tc>
        <w:tc>
          <w:tcPr>
            <w:tcW w:type="dxa" w:w="3613"/>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val="false"/>
                <w:bCs w:val="false"/>
                <w:color w:val="EA580C"/>
                <w:sz w:val="19"/>
                <w:szCs w:val="19"/>
              </w:rPr>
              <w:t xml:space="preserve">n8n + RabbitMQ + Worker .NET 10</w:t>
            </w:r>
          </w:p>
        </w:tc>
        <w:tc>
          <w:tcPr>
            <w:tcW w:type="dxa" w:w="3613"/>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val="false"/>
                <w:bCs w:val="false"/>
                <w:color w:val="7C3AED"/>
                <w:sz w:val="19"/>
                <w:szCs w:val="19"/>
              </w:rPr>
              <w:t xml:space="preserve">Gmail Push + Pub/Sub + Mailbot.Api .NET 10</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Análisis</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RabbitMQ battle-tested (ya en infraestructura del proyecto). DLQ explícito. Sin dependencia de nube externa. Riesgo: n8n como SPOF del trigger de Gmail; si n8n cae, los correos no se detectan hasta que se restaure.</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Pub/Sub 99.9% SLA, completamente gestionado por Google. Riesgo operativo: watch expira cada 7 días — si GmailWatchRenovacionWorker falla en renovarlo, el sistema deja de recibir eventos sin error visible inmediato.</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Resultado</w:t>
            </w:r>
          </w:p>
        </w:tc>
        <w:tc>
          <w:tcPr>
            <w:tcW w:type="dxa" w:w="7226"/>
            <w:gridSpan w:val="2"/>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pPr>
              <w:jc w:val="center"/>
            </w:pPr>
            <w:r>
              <w:rPr>
                <w:rFonts w:ascii="Arial" w:cs="Arial" w:eastAsia="Arial" w:hAnsi="Arial"/>
                <w:b/>
                <w:bCs/>
                <w:color w:val="EA580C"/>
                <w:sz w:val="19"/>
                <w:szCs w:val="19"/>
              </w:rPr>
              <w:t xml:space="preserve">Ventaja Propuesta 1  (4 vs 3)</w:t>
            </w:r>
          </w:p>
        </w:tc>
      </w:tr>
    </w:tbl>
    <w:p>
      <w:pPr>
        <w:spacing w:before="80"/>
      </w:pPr>
    </w:p>
    <w:p>
      <w:pPr>
        <w:pStyle w:val="Heading2"/>
        <w:spacing w:after="80" w:before="240"/>
      </w:pPr>
      <w:r>
        <w:rPr>
          <w:rFonts w:ascii="Arial" w:cs="Arial" w:eastAsia="Arial" w:hAnsi="Arial"/>
          <w:b/>
          <w:bCs/>
          <w:color w:val="1A3A5C"/>
          <w:sz w:val="24"/>
          <w:szCs w:val="24"/>
        </w:rPr>
        <w:t xml:space="preserve">5.2  Visibilidad y monitoreo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613"/>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Propuesta 1  ★★★★☆  (4/5)</w:t>
            </w:r>
          </w:p>
        </w:tc>
        <w:tc>
          <w:tcPr>
            <w:tcW w:type="dxa" w:w="3613"/>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Propuesta 2  ★★★☆☆  (3/5)</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Tecnología</w:t>
            </w:r>
          </w:p>
        </w:tc>
        <w:tc>
          <w:tcPr>
            <w:tcW w:type="dxa" w:w="3613"/>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val="false"/>
                <w:bCs w:val="false"/>
                <w:color w:val="EA580C"/>
                <w:sz w:val="19"/>
                <w:szCs w:val="19"/>
              </w:rPr>
              <w:t xml:space="preserve">n8n + RabbitMQ + Worker .NET 10</w:t>
            </w:r>
          </w:p>
        </w:tc>
        <w:tc>
          <w:tcPr>
            <w:tcW w:type="dxa" w:w="3613"/>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val="false"/>
                <w:bCs w:val="false"/>
                <w:color w:val="7C3AED"/>
                <w:sz w:val="19"/>
                <w:szCs w:val="19"/>
              </w:rPr>
              <w:t xml:space="preserve">Gmail Push + Pub/Sub + Mailbot.Api .NET 10</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Análisis</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n8n UI muestra historial de ejecuciones y errores por workflow. RabbitMQ Management UI muestra profundidad de colas y mensajes en DLQ en tiempo real. Monitoreo out-of-box sin instrumentación adicional.</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Sin dashboard out-of-box. Monitoreo mediante Google Cloud Console (métricas de Pub/Sub) y logs de la aplicación .NET. Requiere configurar alertas y dashboards adicionales para visibilidad equivalente.</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Resultado</w:t>
            </w:r>
          </w:p>
        </w:tc>
        <w:tc>
          <w:tcPr>
            <w:tcW w:type="dxa" w:w="7226"/>
            <w:gridSpan w:val="2"/>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pPr>
              <w:jc w:val="center"/>
            </w:pPr>
            <w:r>
              <w:rPr>
                <w:rFonts w:ascii="Arial" w:cs="Arial" w:eastAsia="Arial" w:hAnsi="Arial"/>
                <w:b/>
                <w:bCs/>
                <w:color w:val="EA580C"/>
                <w:sz w:val="19"/>
                <w:szCs w:val="19"/>
              </w:rPr>
              <w:t xml:space="preserve">Ventaja Propuesta 1  (4 vs 3)</w:t>
            </w:r>
          </w:p>
        </w:tc>
      </w:tr>
    </w:tbl>
    <w:p>
      <w:pPr>
        <w:spacing w:before="80"/>
      </w:pPr>
    </w:p>
    <w:p>
      <w:pPr>
        <w:pStyle w:val="Heading2"/>
        <w:spacing w:after="80" w:before="240"/>
      </w:pPr>
      <w:r>
        <w:rPr>
          <w:rFonts w:ascii="Arial" w:cs="Arial" w:eastAsia="Arial" w:hAnsi="Arial"/>
          <w:b/>
          <w:bCs/>
          <w:color w:val="1A3A5C"/>
          <w:sz w:val="24"/>
          <w:szCs w:val="24"/>
        </w:rPr>
        <w:t xml:space="preserve">5.3  Gestión de errores clara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613"/>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Propuesta 1  ★★★★☆  (4/5)</w:t>
            </w:r>
          </w:p>
        </w:tc>
        <w:tc>
          <w:tcPr>
            <w:tcW w:type="dxa" w:w="3613"/>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Propuesta 2  ★★★★☆  (4/5)</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Tecnología</w:t>
            </w:r>
          </w:p>
        </w:tc>
        <w:tc>
          <w:tcPr>
            <w:tcW w:type="dxa" w:w="3613"/>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val="false"/>
                <w:bCs w:val="false"/>
                <w:color w:val="EA580C"/>
                <w:sz w:val="19"/>
                <w:szCs w:val="19"/>
              </w:rPr>
              <w:t xml:space="preserve">n8n + RabbitMQ + Worker .NET 10</w:t>
            </w:r>
          </w:p>
        </w:tc>
        <w:tc>
          <w:tcPr>
            <w:tcW w:type="dxa" w:w="3613"/>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val="false"/>
                <w:bCs w:val="false"/>
                <w:color w:val="7C3AED"/>
                <w:sz w:val="19"/>
                <w:szCs w:val="19"/>
              </w:rPr>
              <w:t xml:space="preserve">Gmail Push + Pub/Sub + Mailbot.Api .NET 10</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Análisis</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DLQ en RabbitMQ (Dead Letter Exchange). Alertas Brevo al equipo de operaciones. MailbotEventoCorreo registra intentos y detalle de error. Worker con backoff exponencial configurable.</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DLQ mailbot-dlq en Pub/Sub (hasta 5 entregas automáticas). Backoff exponencial en Worker. MailbotEventoCorreo con idempotencia por IdentificadorCorreoGmail. Doble capa de reintento: Pub/Sub + Worker.</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Resultado</w:t>
            </w:r>
          </w:p>
        </w:tc>
        <w:tc>
          <w:tcPr>
            <w:tcW w:type="dxa" w:w="7226"/>
            <w:gridSpan w:val="2"/>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9"/>
                <w:szCs w:val="19"/>
              </w:rPr>
              <w:t xml:space="preserve">Empate</w:t>
            </w:r>
          </w:p>
        </w:tc>
      </w:tr>
    </w:tbl>
    <w:p>
      <w:pPr>
        <w:spacing w:before="80"/>
      </w:pPr>
    </w:p>
    <w:p>
      <w:pPr>
        <w:pStyle w:val="Heading2"/>
        <w:spacing w:after="80" w:before="240"/>
      </w:pPr>
      <w:r>
        <w:rPr>
          <w:rFonts w:ascii="Arial" w:cs="Arial" w:eastAsia="Arial" w:hAnsi="Arial"/>
          <w:b/>
          <w:bCs/>
          <w:color w:val="1A3A5C"/>
          <w:sz w:val="24"/>
          <w:szCs w:val="24"/>
        </w:rPr>
        <w:t xml:space="preserve">5.4  Versionamiento y despliegues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613"/>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Propuesta 1  ★★★☆☆  (3/5)</w:t>
            </w:r>
          </w:p>
        </w:tc>
        <w:tc>
          <w:tcPr>
            <w:tcW w:type="dxa" w:w="3613"/>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Propuesta 2  ★★★★☆  (4/5)</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Tecnología</w:t>
            </w:r>
          </w:p>
        </w:tc>
        <w:tc>
          <w:tcPr>
            <w:tcW w:type="dxa" w:w="3613"/>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val="false"/>
                <w:bCs w:val="false"/>
                <w:color w:val="EA580C"/>
                <w:sz w:val="19"/>
                <w:szCs w:val="19"/>
              </w:rPr>
              <w:t xml:space="preserve">n8n + RabbitMQ + Worker .NET 10</w:t>
            </w:r>
          </w:p>
        </w:tc>
        <w:tc>
          <w:tcPr>
            <w:tcW w:type="dxa" w:w="3613"/>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val="false"/>
                <w:bCs w:val="false"/>
                <w:color w:val="7C3AED"/>
                <w:sz w:val="19"/>
                <w:szCs w:val="19"/>
              </w:rPr>
              <w:t xml:space="preserve">Gmail Push + Pub/Sub + Mailbot.Api .NET 10</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Análisis</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Solución .NET 10 estándar con CI/CD. Los flujos n8n se exportan como JSON pero requieren proceso de versionamiento y despliegue separado en la plataforma n8n, independiente del pipeline .NET.</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Solución .NET 10 unificada (Mailbot.Api + Mailbot.Worker en el mismo repositorio). Un único artefacto para versionar, probar y desplegar vía CI/CD estándar.</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Resultado</w:t>
            </w:r>
          </w:p>
        </w:tc>
        <w:tc>
          <w:tcPr>
            <w:tcW w:type="dxa" w:w="7226"/>
            <w:gridSpan w:val="2"/>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Ventaja Propuesta 2  (4 vs 3)</w:t>
            </w:r>
          </w:p>
        </w:tc>
      </w:tr>
    </w:tbl>
    <w:p>
      <w:pPr>
        <w:spacing w:before="80"/>
      </w:pPr>
    </w:p>
    <w:p>
      <w:pPr>
        <w:pStyle w:val="Heading2"/>
        <w:spacing w:after="80" w:before="240"/>
      </w:pPr>
      <w:r>
        <w:rPr>
          <w:rFonts w:ascii="Arial" w:cs="Arial" w:eastAsia="Arial" w:hAnsi="Arial"/>
          <w:b/>
          <w:bCs/>
          <w:color w:val="1A3A5C"/>
          <w:sz w:val="24"/>
          <w:szCs w:val="24"/>
        </w:rPr>
        <w:t xml:space="preserve">5.5  Reintentos automáticos y manuales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613"/>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Propuesta 1  ★★★★☆  (4/5)</w:t>
            </w:r>
          </w:p>
        </w:tc>
        <w:tc>
          <w:tcPr>
            <w:tcW w:type="dxa" w:w="3613"/>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Propuesta 2  ★★★★☆  (4/5)</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Tecnología</w:t>
            </w:r>
          </w:p>
        </w:tc>
        <w:tc>
          <w:tcPr>
            <w:tcW w:type="dxa" w:w="3613"/>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val="false"/>
                <w:bCs w:val="false"/>
                <w:color w:val="EA580C"/>
                <w:sz w:val="19"/>
                <w:szCs w:val="19"/>
              </w:rPr>
              <w:t xml:space="preserve">n8n + RabbitMQ + Worker .NET 10</w:t>
            </w:r>
          </w:p>
        </w:tc>
        <w:tc>
          <w:tcPr>
            <w:tcW w:type="dxa" w:w="3613"/>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val="false"/>
                <w:bCs w:val="false"/>
                <w:color w:val="7C3AED"/>
                <w:sz w:val="19"/>
                <w:szCs w:val="19"/>
              </w:rPr>
              <w:t xml:space="preserve">Gmail Push + Pub/Sub + Mailbot.Api .NET 10</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Análisis</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Automáticos: Worker con backoff exponencial (configurable en appsettings). Manuales: reencolar mensajes desde DLQ usando RabbitMQ Management UI o herramientas CLI estándar. Proceso conocido por el equipo.</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Automáticos: Pub/Sub reintenta hasta 5 veces + Worker con backoff exponencial. Manuales: re-publicar mensaje al topic de Pub/Sub o hacer POST directo al endpoint /webhook/gmail/{region} del Mailbot.Api.</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Resultado</w:t>
            </w:r>
          </w:p>
        </w:tc>
        <w:tc>
          <w:tcPr>
            <w:tcW w:type="dxa" w:w="7226"/>
            <w:gridSpan w:val="2"/>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9"/>
                <w:szCs w:val="19"/>
              </w:rPr>
              <w:t xml:space="preserve">Empate</w:t>
            </w:r>
          </w:p>
        </w:tc>
      </w:tr>
    </w:tbl>
    <w:p>
      <w:pPr>
        <w:spacing w:before="80"/>
      </w:pPr>
    </w:p>
    <w:p>
      <w:pPr>
        <w:pStyle w:val="Heading2"/>
        <w:spacing w:after="80" w:before="240"/>
      </w:pPr>
      <w:r>
        <w:rPr>
          <w:rFonts w:ascii="Arial" w:cs="Arial" w:eastAsia="Arial" w:hAnsi="Arial"/>
          <w:b/>
          <w:bCs/>
          <w:color w:val="1A3A5C"/>
          <w:sz w:val="24"/>
          <w:szCs w:val="24"/>
        </w:rPr>
        <w:t xml:space="preserve">5.6  Curva de aprendizaje y desarrollo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613"/>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Propuesta 1  ★★★☆☆  (3/5)</w:t>
            </w:r>
          </w:p>
        </w:tc>
        <w:tc>
          <w:tcPr>
            <w:tcW w:type="dxa" w:w="3613"/>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Propuesta 2  ★★★☆☆  (3/5)</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Tecnología</w:t>
            </w:r>
          </w:p>
        </w:tc>
        <w:tc>
          <w:tcPr>
            <w:tcW w:type="dxa" w:w="3613"/>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val="false"/>
                <w:bCs w:val="false"/>
                <w:color w:val="EA580C"/>
                <w:sz w:val="19"/>
                <w:szCs w:val="19"/>
              </w:rPr>
              <w:t xml:space="preserve">n8n + RabbitMQ + Worker .NET 10</w:t>
            </w:r>
          </w:p>
        </w:tc>
        <w:tc>
          <w:tcPr>
            <w:tcW w:type="dxa" w:w="3613"/>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val="false"/>
                <w:bCs w:val="false"/>
                <w:color w:val="7C3AED"/>
                <w:sz w:val="19"/>
                <w:szCs w:val="19"/>
              </w:rPr>
              <w:t xml:space="preserve">Gmail Push + Pub/Sub + Mailbot.Api .NET 10</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Análisis</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RabbitMQ ya conocido por el equipo (en uso en ProquifaDotNet.EnvioCorreo y Finanzas). n8n requiere aprender diseño de workflows visual específico. Más componentes a dominar simultáneamente.</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Gmail watch + Google Cloud IAM + service accounts: curva de configuración inicial con GCP. Pub/Sub bien documentado. Una vez configurado, la solución .NET es familiar. Riesgo en la gestión del watch y credenciales OAuth2 multi-cuenta.</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Resultado</w:t>
            </w:r>
          </w:p>
        </w:tc>
        <w:tc>
          <w:tcPr>
            <w:tcW w:type="dxa" w:w="7226"/>
            <w:gridSpan w:val="2"/>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9"/>
                <w:szCs w:val="19"/>
              </w:rPr>
              <w:t xml:space="preserve">Empate</w:t>
            </w:r>
          </w:p>
        </w:tc>
      </w:tr>
    </w:tbl>
    <w:p>
      <w:pPr>
        <w:spacing w:before="80"/>
      </w:pPr>
    </w:p>
    <w:p>
      <w:pPr>
        <w:pStyle w:val="Heading2"/>
        <w:spacing w:after="80" w:before="240"/>
      </w:pPr>
      <w:r>
        <w:rPr>
          <w:rFonts w:ascii="Arial" w:cs="Arial" w:eastAsia="Arial" w:hAnsi="Arial"/>
          <w:b/>
          <w:bCs/>
          <w:color w:val="1A3A5C"/>
          <w:sz w:val="24"/>
          <w:szCs w:val="24"/>
        </w:rPr>
        <w:t xml:space="preserve">5.7  Consumo de recursos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613"/>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Propuesta 1  ★★★★☆  (4/5)</w:t>
            </w:r>
          </w:p>
        </w:tc>
        <w:tc>
          <w:tcPr>
            <w:tcW w:type="dxa" w:w="3613"/>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Propuesta 2  ★★★★★  (5/5)</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Tecnología</w:t>
            </w:r>
          </w:p>
        </w:tc>
        <w:tc>
          <w:tcPr>
            <w:tcW w:type="dxa" w:w="3613"/>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val="false"/>
                <w:bCs w:val="false"/>
                <w:color w:val="EA580C"/>
                <w:sz w:val="19"/>
                <w:szCs w:val="19"/>
              </w:rPr>
              <w:t xml:space="preserve">n8n + RabbitMQ + Worker .NET 10</w:t>
            </w:r>
          </w:p>
        </w:tc>
        <w:tc>
          <w:tcPr>
            <w:tcW w:type="dxa" w:w="3613"/>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val="false"/>
                <w:bCs w:val="false"/>
                <w:color w:val="7C3AED"/>
                <w:sz w:val="19"/>
                <w:szCs w:val="19"/>
              </w:rPr>
              <w:t xml:space="preserve">Gmail Push + Pub/Sub + Mailbot.Api .NET 10</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Análisis</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RabbitMQ ya existe en infraestructura. Recurso adicional: servidor n8n (~1–2 GB RAM, proceso dedicado). Workers .NET 10 livianos (IHostedService).</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Sin servidor adicional propio. Pub/Sub completamente gestionado por Google. Recursos propios: solo la solución .NET (Mailbot.Api + Mailbot.Worker) sin dependencias de servidor adicionales.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Resultado</w:t>
            </w:r>
          </w:p>
        </w:tc>
        <w:tc>
          <w:tcPr>
            <w:tcW w:type="dxa" w:w="7226"/>
            <w:gridSpan w:val="2"/>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Ventaja Propuesta 2  (5 vs 4)</w:t>
            </w:r>
          </w:p>
        </w:tc>
      </w:tr>
    </w:tbl>
    <w:p>
      <w:pPr>
        <w:spacing w:before="80"/>
      </w:pPr>
    </w:p>
    <w:p>
      <w:pPr>
        <w:pStyle w:val="Heading2"/>
        <w:spacing w:after="80" w:before="240"/>
      </w:pPr>
      <w:r>
        <w:rPr>
          <w:rFonts w:ascii="Arial" w:cs="Arial" w:eastAsia="Arial" w:hAnsi="Arial"/>
          <w:b/>
          <w:bCs/>
          <w:color w:val="1A3A5C"/>
          <w:sz w:val="24"/>
          <w:szCs w:val="24"/>
        </w:rPr>
        <w:t xml:space="preserve">5.8  Costo (licencia)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613"/>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Propuesta 1  ★★★☆☆  (3/5)</w:t>
            </w:r>
          </w:p>
        </w:tc>
        <w:tc>
          <w:tcPr>
            <w:tcW w:type="dxa" w:w="3613"/>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Propuesta 2  ★★★★★  (5/5)</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Tecnología</w:t>
            </w:r>
          </w:p>
        </w:tc>
        <w:tc>
          <w:tcPr>
            <w:tcW w:type="dxa" w:w="3613"/>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val="false"/>
                <w:bCs w:val="false"/>
                <w:color w:val="EA580C"/>
                <w:sz w:val="19"/>
                <w:szCs w:val="19"/>
              </w:rPr>
              <w:t xml:space="preserve">n8n + RabbitMQ + Worker .NET 10</w:t>
            </w:r>
          </w:p>
        </w:tc>
        <w:tc>
          <w:tcPr>
            <w:tcW w:type="dxa" w:w="3613"/>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val="false"/>
                <w:bCs w:val="false"/>
                <w:color w:val="7C3AED"/>
                <w:sz w:val="19"/>
                <w:szCs w:val="19"/>
              </w:rPr>
              <w:t xml:space="preserve">Gmail Push + Pub/Sub + Mailbot.Api .NET 10</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Análisis</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RabbitMQ: gratuito (open source). n8n self-hosted: gratuito pero requiere servidor. n8n cloud: USD 20–50+/mes según plan de ejecuciones. Decisión de hosting pendiente (ver tabla de decisiones).</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Pub/Sub: gratuito hasta 10 GB/mes. Las notificaciones de Gmail son payloads de bytes — el proyecto estará muy por debajo del límite gratuito. Sin costo de licencias adicionales más allá de la cuenta GCP.</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F2937"/>
                <w:sz w:val="19"/>
                <w:szCs w:val="19"/>
              </w:rPr>
              <w:t xml:space="preserve">Resultado</w:t>
            </w:r>
          </w:p>
        </w:tc>
        <w:tc>
          <w:tcPr>
            <w:tcW w:type="dxa" w:w="7226"/>
            <w:gridSpan w:val="2"/>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Ventaja Propuesta 2  (5 vs 3)</w:t>
            </w:r>
          </w:p>
        </w:tc>
      </w:tr>
    </w:tbl>
    <w:p>
      <w:pPr>
        <w:spacing w:before="80"/>
      </w:pPr>
    </w:p>
    <w:p>
      <w:r>
        <w:br w:type="page"/>
      </w:r>
    </w:p>
    <w:p>
      <w:pPr>
        <w:pStyle w:val="Heading1"/>
        <w:spacing w:after="120" w:before="360"/>
      </w:pPr>
      <w:r>
        <w:rPr>
          <w:rFonts w:ascii="Arial" w:cs="Arial" w:eastAsia="Arial" w:hAnsi="Arial"/>
          <w:b/>
          <w:bCs/>
          <w:color w:val="1A3A5C"/>
          <w:sz w:val="30"/>
          <w:szCs w:val="30"/>
        </w:rPr>
        <w:t xml:space="preserve">6. Tabla Comparativa — Scorecard</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313"/>
        <w:gridCol w:w="2713"/>
      </w:tblGrid>
      <w:tr>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Criterio de Evaluación</w:t>
            </w:r>
          </w:p>
        </w:tc>
        <w:tc>
          <w:tcPr>
            <w:tcW w:type="dxa" w:w="2313"/>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P1 — n8n + RabbitMQ</w:t>
            </w:r>
          </w:p>
        </w:tc>
        <w:tc>
          <w:tcPr>
            <w:tcW w:type="dxa" w:w="2713"/>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P2 — Gmail Push + Pub/Sub</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Robustez y confiabilidad</w:t>
            </w:r>
          </w:p>
        </w:tc>
        <w:tc>
          <w:tcPr>
            <w:tcW w:type="dxa" w:w="2313"/>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pPr>
              <w:jc w:val="center"/>
            </w:pPr>
            <w:r>
              <w:rPr>
                <w:rFonts w:ascii="Arial" w:cs="Arial" w:eastAsia="Arial" w:hAnsi="Arial"/>
                <w:b/>
                <w:bCs/>
                <w:color w:val="EA580C"/>
                <w:sz w:val="19"/>
                <w:szCs w:val="19"/>
              </w:rPr>
              <w:t xml:space="preserve">★★★★☆  (4/5)</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19"/>
                <w:szCs w:val="19"/>
              </w:rPr>
              <w:t xml:space="preserve">★★★☆☆  (3/5)</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Visibilidad y monitoreo</w:t>
            </w:r>
          </w:p>
        </w:tc>
        <w:tc>
          <w:tcPr>
            <w:tcW w:type="dxa" w:w="2313"/>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pPr>
              <w:jc w:val="center"/>
            </w:pPr>
            <w:r>
              <w:rPr>
                <w:rFonts w:ascii="Arial" w:cs="Arial" w:eastAsia="Arial" w:hAnsi="Arial"/>
                <w:b/>
                <w:bCs/>
                <w:color w:val="EA580C"/>
                <w:sz w:val="19"/>
                <w:szCs w:val="19"/>
              </w:rPr>
              <w:t xml:space="preserve">★★★★☆  (4/5)</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19"/>
                <w:szCs w:val="19"/>
              </w:rPr>
              <w:t xml:space="preserve">★★★☆☆  (3/5)</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Gestión de errores clara</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19"/>
                <w:szCs w:val="19"/>
              </w:rPr>
              <w:t xml:space="preserve">★★★★☆  (4/5)</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19"/>
                <w:szCs w:val="19"/>
              </w:rPr>
              <w:t xml:space="preserve">★★★★☆  (4/5)</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Versionamiento y despliegues</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19"/>
                <w:szCs w:val="19"/>
              </w:rPr>
              <w:t xml:space="preserve">★★★☆☆  (3/5)</w:t>
            </w:r>
          </w:p>
        </w:tc>
        <w:tc>
          <w:tcPr>
            <w:tcW w:type="dxa" w:w="2713"/>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  (4/5)</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Reintentos automáticos y manuales</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19"/>
                <w:szCs w:val="19"/>
              </w:rPr>
              <w:t xml:space="preserve">★★★★☆  (4/5)</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19"/>
                <w:szCs w:val="19"/>
              </w:rPr>
              <w:t xml:space="preserve">★★★★☆  (4/5)</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Curva de aprendizaje y desarrollo</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19"/>
                <w:szCs w:val="19"/>
              </w:rPr>
              <w:t xml:space="preserve">★★★☆☆  (3/5)</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19"/>
                <w:szCs w:val="19"/>
              </w:rPr>
              <w:t xml:space="preserve">★★★☆☆  (3/5)</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Consumo de recursos</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19"/>
                <w:szCs w:val="19"/>
              </w:rPr>
              <w:t xml:space="preserve">★★★★☆  (4/5)</w:t>
            </w:r>
          </w:p>
        </w:tc>
        <w:tc>
          <w:tcPr>
            <w:tcW w:type="dxa" w:w="2713"/>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  (5/5)</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Costo (licencia)</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2937"/>
                <w:sz w:val="19"/>
                <w:szCs w:val="19"/>
              </w:rPr>
              <w:t xml:space="preserve">★★★☆☆  (3/5)</w:t>
            </w:r>
          </w:p>
        </w:tc>
        <w:tc>
          <w:tcPr>
            <w:tcW w:type="dxa" w:w="2713"/>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tcPr>
          <w:p>
            <w:pPr>
              <w:jc w:val="center"/>
            </w:pPr>
            <w:r>
              <w:rPr>
                <w:rFonts w:ascii="Arial" w:cs="Arial" w:eastAsia="Arial" w:hAnsi="Arial"/>
                <w:b/>
                <w:bCs/>
                <w:color w:val="7C3AED"/>
                <w:sz w:val="19"/>
                <w:szCs w:val="19"/>
              </w:rPr>
              <w:t xml:space="preserve">★★★★★  (5/5)</w:t>
            </w:r>
          </w:p>
        </w:tc>
      </w:tr>
      <w:tr>
        <w:tc>
          <w:tcPr>
            <w:tcW w:type="dxa" w:w="40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2"/>
                <w:szCs w:val="22"/>
              </w:rPr>
              <w:t xml:space="preserve">TOTAL</w:t>
            </w:r>
          </w:p>
        </w:tc>
        <w:tc>
          <w:tcPr>
            <w:tcW w:type="dxa" w:w="2313"/>
            <w:tcBorders>
              <w:top w:val="single" w:color="CCCCCC" w:sz="1"/>
              <w:left w:val="single" w:color="CCCCCC" w:sz="1"/>
              <w:bottom w:val="single" w:color="CCCCCC" w:sz="1"/>
              <w:right w:val="single" w:color="CCCCCC" w:sz="1"/>
            </w:tcBorders>
            <w:shd w:fill="FFF3E8" w:val="clear"/>
            <w:tcMar>
              <w:top w:type="dxa" w:w="100"/>
              <w:left w:type="dxa" w:w="120"/>
              <w:bottom w:type="dxa" w:w="100"/>
              <w:right w:type="dxa" w:w="120"/>
            </w:tcMar>
          </w:tcPr>
          <w:p>
            <w:pPr>
              <w:jc w:val="center"/>
            </w:pPr>
            <w:r>
              <w:rPr>
                <w:rFonts w:ascii="Arial" w:cs="Arial" w:eastAsia="Arial" w:hAnsi="Arial"/>
                <w:b/>
                <w:bCs/>
                <w:color w:val="EA580C"/>
                <w:sz w:val="24"/>
                <w:szCs w:val="24"/>
              </w:rPr>
              <w:t xml:space="preserve">29 / 40</w:t>
            </w:r>
          </w:p>
        </w:tc>
        <w:tc>
          <w:tcPr>
            <w:tcW w:type="dxa" w:w="2713"/>
            <w:tcBorders>
              <w:top w:val="single" w:color="CCCCCC" w:sz="1"/>
              <w:left w:val="single" w:color="CCCCCC" w:sz="1"/>
              <w:bottom w:val="single" w:color="CCCCCC" w:sz="1"/>
              <w:right w:val="single" w:color="CCCCCC" w:sz="1"/>
            </w:tcBorders>
            <w:shd w:fill="F3EDFF" w:val="clear"/>
            <w:tcMar>
              <w:top w:type="dxa" w:w="100"/>
              <w:left w:type="dxa" w:w="120"/>
              <w:bottom w:type="dxa" w:w="100"/>
              <w:right w:type="dxa" w:w="120"/>
            </w:tcMar>
          </w:tcPr>
          <w:p>
            <w:pPr>
              <w:jc w:val="center"/>
            </w:pPr>
            <w:r>
              <w:rPr>
                <w:rFonts w:ascii="Arial" w:cs="Arial" w:eastAsia="Arial" w:hAnsi="Arial"/>
                <w:b/>
                <w:bCs/>
                <w:color w:val="7C3AED"/>
                <w:sz w:val="24"/>
                <w:szCs w:val="24"/>
              </w:rPr>
              <w:t xml:space="preserve">31 / 40</w:t>
            </w:r>
          </w:p>
        </w:tc>
      </w:tr>
    </w:tbl>
    <w:p>
      <w:r>
        <w:br w:type="page"/>
      </w:r>
    </w:p>
    <w:p>
      <w:pPr>
        <w:pStyle w:val="Heading1"/>
        <w:spacing w:after="120" w:before="360"/>
      </w:pPr>
      <w:r>
        <w:rPr>
          <w:rFonts w:ascii="Arial" w:cs="Arial" w:eastAsia="Arial" w:hAnsi="Arial"/>
          <w:b/>
          <w:bCs/>
          <w:color w:val="1A3A5C"/>
          <w:sz w:val="30"/>
          <w:szCs w:val="30"/>
        </w:rPr>
        <w:t xml:space="preserve">7. Recomendación</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7C3AED" w:sz="20"/>
              <w:bottom w:val="single" w:color="CCCCCC" w:sz="1"/>
              <w:right w:val="single" w:color="CCCCCC" w:sz="1"/>
            </w:tcBorders>
            <w:shd w:fill="F3EDFF" w:val="clear"/>
            <w:tcMar>
              <w:top w:type="dxa" w:w="120"/>
              <w:left w:type="dxa" w:w="280"/>
              <w:bottom w:type="dxa" w:w="120"/>
              <w:right w:type="dxa" w:w="280"/>
            </w:tcMar>
          </w:tcPr>
          <w:p>
            <w:r>
              <w:rPr>
                <w:rFonts w:ascii="Arial" w:cs="Arial" w:eastAsia="Arial" w:hAnsi="Arial"/>
                <w:b/>
                <w:bCs/>
                <w:color w:val="7C3AED"/>
                <w:sz w:val="22"/>
                <w:szCs w:val="22"/>
              </w:rPr>
              <w:t xml:space="preserve">Propuesta 2 recomendada para proyectos nuevos  (31/40 puntos)</w:t>
            </w:r>
          </w:p>
        </w:tc>
      </w:tr>
    </w:tbl>
    <w:p>
      <w:pPr>
        <w:spacing w:before="80"/>
      </w:pPr>
    </w:p>
    <w:p>
      <w:pPr>
        <w:spacing w:after="60" w:before="60"/>
      </w:pPr>
      <w:r>
        <w:rPr>
          <w:rFonts w:ascii="Arial" w:cs="Arial" w:eastAsia="Arial" w:hAnsi="Arial"/>
          <w:color w:val="1F2937"/>
          <w:sz w:val="20"/>
          <w:szCs w:val="20"/>
        </w:rPr>
        <w:t xml:space="preserve">La Propuesta 2 obtiene ventaja en 2 criterios clave (versionamiento y costo) y empata en los 4 criterios restantes. Sus fortalezas principales son:</w:t>
      </w:r>
    </w:p>
    <w:p>
      <w:pPr>
        <w:pStyle w:val="ListParagraph"/>
        <w:numPr>
          <w:ilvl w:val="0"/>
          <w:numId w:val="2"/>
        </w:numPr>
        <w:spacing w:after="40" w:before="40"/>
      </w:pPr>
      <w:r>
        <w:rPr>
          <w:rFonts w:ascii="Arial" w:cs="Arial" w:eastAsia="Arial" w:hAnsi="Arial"/>
          <w:color w:val="1F2937"/>
          <w:sz w:val="20"/>
          <w:szCs w:val="20"/>
        </w:rPr>
        <w:t xml:space="preserve">Sin costo de licencias adicionales: Pub/Sub gratuito dentro del tier de uso del proyecto (notificaciones de bytes, muy por debajo de 10 GB/mes).</w:t>
      </w:r>
    </w:p>
    <w:p>
      <w:pPr>
        <w:pStyle w:val="ListParagraph"/>
        <w:numPr>
          <w:ilvl w:val="0"/>
          <w:numId w:val="2"/>
        </w:numPr>
        <w:spacing w:after="40" w:before="40"/>
      </w:pPr>
      <w:r>
        <w:rPr>
          <w:rFonts w:ascii="Arial" w:cs="Arial" w:eastAsia="Arial" w:hAnsi="Arial"/>
          <w:color w:val="1F2937"/>
          <w:sz w:val="20"/>
          <w:szCs w:val="20"/>
        </w:rPr>
        <w:t xml:space="preserve">Solución .NET 10 unificada: un único artefacto para versionar y desplegar (Mailbot.Api + Mailbot.Worker en el mismo repositorio).</w:t>
      </w:r>
    </w:p>
    <w:p>
      <w:pPr>
        <w:pStyle w:val="ListParagraph"/>
        <w:numPr>
          <w:ilvl w:val="0"/>
          <w:numId w:val="2"/>
        </w:numPr>
        <w:spacing w:after="40" w:before="40"/>
      </w:pPr>
      <w:r>
        <w:rPr>
          <w:rFonts w:ascii="Arial" w:cs="Arial" w:eastAsia="Arial" w:hAnsi="Arial"/>
          <w:color w:val="1F2937"/>
          <w:sz w:val="20"/>
          <w:szCs w:val="20"/>
        </w:rPr>
        <w:t xml:space="preserve">Latencia más baja: eventos push en ~1-2 segundos versus polling cada 1 minuto en Propuesta 1.</w:t>
      </w:r>
    </w:p>
    <w:p>
      <w:pPr>
        <w:pStyle w:val="ListParagraph"/>
        <w:numPr>
          <w:ilvl w:val="0"/>
          <w:numId w:val="2"/>
        </w:numPr>
        <w:spacing w:after="40" w:before="40"/>
      </w:pPr>
      <w:r>
        <w:rPr>
          <w:rFonts w:ascii="Arial" w:cs="Arial" w:eastAsia="Arial" w:hAnsi="Arial"/>
          <w:color w:val="1F2937"/>
          <w:sz w:val="20"/>
          <w:szCs w:val="20"/>
        </w:rPr>
        <w:t xml:space="preserve">Sin servidores adicionales propios: Pub/Sub completamente gestionado por Google.</w:t>
      </w:r>
    </w:p>
    <w:p>
      <w:pPr>
        <w:spacing w:before="80"/>
      </w:pPr>
    </w:p>
    <w:p>
      <w:pPr>
        <w:spacing w:after="60" w:before="60"/>
      </w:pPr>
      <w:r>
        <w:rPr>
          <w:rFonts w:ascii="Arial" w:cs="Arial" w:eastAsia="Arial" w:hAnsi="Arial"/>
          <w:b/>
          <w:bCs/>
          <w:color w:val="EA580C"/>
          <w:sz w:val="20"/>
          <w:szCs w:val="20"/>
        </w:rPr>
        <w:t xml:space="preserve">Cuándo preferir Propuesta 1:</w:t>
      </w:r>
    </w:p>
    <w:p>
      <w:pPr>
        <w:pStyle w:val="ListParagraph"/>
        <w:numPr>
          <w:ilvl w:val="0"/>
          <w:numId w:val="2"/>
        </w:numPr>
        <w:spacing w:after="40" w:before="40"/>
      </w:pPr>
      <w:r>
        <w:rPr>
          <w:rFonts w:ascii="Arial" w:cs="Arial" w:eastAsia="Arial" w:hAnsi="Arial"/>
          <w:color w:val="1F2937"/>
          <w:sz w:val="20"/>
          <w:szCs w:val="20"/>
        </w:rPr>
        <w:t xml:space="preserve">Si no es viable exponer un endpoint HTTPS público para recibir notificaciones de Pub/Sub (restricción de red/firewall).</w:t>
      </w:r>
    </w:p>
    <w:p>
      <w:pPr>
        <w:pStyle w:val="ListParagraph"/>
        <w:numPr>
          <w:ilvl w:val="0"/>
          <w:numId w:val="2"/>
        </w:numPr>
        <w:spacing w:after="40" w:before="40"/>
      </w:pPr>
      <w:r>
        <w:rPr>
          <w:rFonts w:ascii="Arial" w:cs="Arial" w:eastAsia="Arial" w:hAnsi="Arial"/>
          <w:color w:val="1F2937"/>
          <w:sz w:val="20"/>
          <w:szCs w:val="20"/>
        </w:rPr>
        <w:t xml:space="preserve">Si n8n ya opera en la infraestructura de PROQUIFA (costo marginal casi nulo y visibilidad out-of-box inmediata).</w:t>
      </w:r>
    </w:p>
    <w:p>
      <w:pPr>
        <w:pStyle w:val="ListParagraph"/>
        <w:numPr>
          <w:ilvl w:val="0"/>
          <w:numId w:val="2"/>
        </w:numPr>
        <w:spacing w:after="40" w:before="40"/>
      </w:pPr>
      <w:r>
        <w:rPr>
          <w:rFonts w:ascii="Arial" w:cs="Arial" w:eastAsia="Arial" w:hAnsi="Arial"/>
          <w:color w:val="1F2937"/>
          <w:sz w:val="20"/>
          <w:szCs w:val="20"/>
        </w:rPr>
        <w:t xml:space="preserve">Si existe restricción para crear proyectos o cuentas en Google Cloud.</w:t>
      </w:r>
    </w:p>
    <w:p>
      <w:pPr>
        <w:pStyle w:val="ListParagraph"/>
        <w:numPr>
          <w:ilvl w:val="0"/>
          <w:numId w:val="2"/>
        </w:numPr>
        <w:spacing w:after="40" w:before="40"/>
      </w:pPr>
      <w:r>
        <w:rPr>
          <w:rFonts w:ascii="Arial" w:cs="Arial" w:eastAsia="Arial" w:hAnsi="Arial"/>
          <w:color w:val="1F2937"/>
          <w:sz w:val="20"/>
          <w:szCs w:val="20"/>
        </w:rPr>
        <w:t xml:space="preserve">Si el equipo prefiere la visibilidad visual de workflows sobre instrumentación adicional.</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EA580C" w:sz="20"/>
              <w:bottom w:val="single" w:color="CCCCCC" w:sz="1"/>
              <w:right w:val="single" w:color="CCCCCC" w:sz="1"/>
            </w:tcBorders>
            <w:shd w:fill="FFF3E8" w:val="clear"/>
            <w:tcMar>
              <w:top w:type="dxa" w:w="120"/>
              <w:left w:type="dxa" w:w="280"/>
              <w:bottom w:type="dxa" w:w="120"/>
              <w:right w:type="dxa" w:w="280"/>
            </w:tcMar>
          </w:tcPr>
          <w:p>
            <w:r>
              <w:rPr>
                <w:rFonts w:ascii="Arial" w:cs="Arial" w:eastAsia="Arial" w:hAnsi="Arial"/>
                <w:b/>
                <w:bCs/>
                <w:color w:val="EA580C"/>
                <w:sz w:val="22"/>
                <w:szCs w:val="22"/>
              </w:rPr>
              <w:t xml:space="preserve">Condición crítica de P2: Mailbot.Api debe ser accesible desde internet (HTTPS público) para que Google Cloud Pub/Sub pueda entregar notificaciones. Confirmar disponibilidad con infraestructura antes de iniciar el desarrollo. Sin este requisito, P1 es la alternativa por defecto.</w:t>
            </w:r>
          </w:p>
        </w:tc>
      </w:tr>
    </w:tbl>
    <w:p>
      <w:r>
        <w:br w:type="page"/>
      </w:r>
    </w:p>
    <w:p>
      <w:pPr>
        <w:pStyle w:val="Heading1"/>
        <w:spacing w:after="120" w:before="360"/>
      </w:pPr>
      <w:r>
        <w:rPr>
          <w:rFonts w:ascii="Arial" w:cs="Arial" w:eastAsia="Arial" w:hAnsi="Arial"/>
          <w:b/>
          <w:bCs/>
          <w:color w:val="1A3A5C"/>
          <w:sz w:val="30"/>
          <w:szCs w:val="30"/>
        </w:rPr>
        <w:t xml:space="preserve">8. Decisiones Pendientes</w:t>
      </w:r>
    </w:p>
    <w:p>
      <w:pPr>
        <w:spacing w:after="60" w:before="60"/>
      </w:pPr>
      <w:r>
        <w:rPr>
          <w:rFonts w:ascii="Arial" w:cs="Arial" w:eastAsia="Arial" w:hAnsi="Arial"/>
          <w:color w:val="1F2937"/>
          <w:sz w:val="20"/>
          <w:szCs w:val="20"/>
        </w:rPr>
        <w:t xml:space="preserve">Las siguientes decisiones deben resolverse antes de iniciar el desarrollo, independientemente de la propuesta elegida:</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700"/>
        <w:gridCol w:w="1626"/>
      </w:tblGrid>
      <w:tr>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Aplica a</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Decisión</w:t>
            </w:r>
          </w:p>
        </w:tc>
        <w:tc>
          <w:tcPr>
            <w:tcW w:type="dxa" w:w="3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1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P1 y 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Proveedor IA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OpenAI vs Azure OpenAI vs modelo propio. Factores: costo por token, privacidad de correos de clientes, SLA del proveedor.</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TechLead / Arq.</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P1 y 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catClasificacionCorreoRecibido</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Opción A: renombrar Clave="pago" a "cobro". Opción B: INSERT nueva clasificación "cobro". Verificar registros activos antes de decidir.</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Product Owner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P1 y 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Correos reales para prompts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Conjunto representativo de correos reales de PROQUIFA para ajustar precisión del Agente IA antes del go-live.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PROQUIFA / PO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P1 y 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Cuentas Gmail por región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Una cuenta OAuth2 por región (MEX/PER). Confirmar disponibilidad y accesos con IT.</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IT / PROQUIFA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P1 y 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Cliente no identificable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Correo clasificado como cobro sin cliente identificable (nuevo, referencia errónea, dominio genérico). Definir flujo operativo.</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Product Owner</w:t>
            </w:r>
          </w:p>
        </w:tc>
      </w:tr>
      <w:tr>
        <w:tc>
          <w:tcPr>
            <w:tcW w:type="dxa" w:w="15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bCs/>
                <w:color w:val="EA580C"/>
                <w:sz w:val="19"/>
                <w:szCs w:val="19"/>
              </w:rPr>
              <w:t xml:space="preserve">Solo P1</w:t>
            </w:r>
          </w:p>
        </w:tc>
        <w:tc>
          <w:tcPr>
            <w:tcW w:type="dxa" w:w="22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Hosting n8n</w:t>
            </w:r>
          </w:p>
        </w:tc>
        <w:tc>
          <w:tcPr>
            <w:tcW w:type="dxa" w:w="37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Self-hosted (gratuito, requiere servidor) vs cloud (USD 20–50+/mes). Impacta costo y criterio de Costo del análisis.</w:t>
            </w:r>
          </w:p>
        </w:tc>
        <w:tc>
          <w:tcPr>
            <w:tcW w:type="dxa" w:w="1626"/>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Infraestructura</w:t>
            </w:r>
          </w:p>
        </w:tc>
      </w:tr>
      <w:tr>
        <w:tc>
          <w:tcPr>
            <w:tcW w:type="dxa" w:w="1500"/>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bCs/>
                <w:color w:val="7C3AED"/>
                <w:sz w:val="19"/>
                <w:szCs w:val="19"/>
              </w:rPr>
              <w:t xml:space="preserve">Solo P2</w:t>
            </w:r>
          </w:p>
        </w:tc>
        <w:tc>
          <w:tcPr>
            <w:tcW w:type="dxa" w:w="2200"/>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Cuenta Google Cloud</w:t>
            </w:r>
          </w:p>
        </w:tc>
        <w:tc>
          <w:tcPr>
            <w:tcW w:type="dxa" w:w="3700"/>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Crear proyecto GCP, configurar IAM y permisos de service account para Gmail API + Pub/Sub.</w:t>
            </w:r>
          </w:p>
        </w:tc>
        <w:tc>
          <w:tcPr>
            <w:tcW w:type="dxa" w:w="1626"/>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IT / Infra</w:t>
            </w:r>
          </w:p>
        </w:tc>
      </w:tr>
      <w:tr>
        <w:tc>
          <w:tcPr>
            <w:tcW w:type="dxa" w:w="1500"/>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bCs/>
                <w:color w:val="7C3AED"/>
                <w:sz w:val="19"/>
                <w:szCs w:val="19"/>
              </w:rPr>
              <w:t xml:space="preserve">Solo P2</w:t>
            </w:r>
          </w:p>
        </w:tc>
        <w:tc>
          <w:tcPr>
            <w:tcW w:type="dxa" w:w="2200"/>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Endpoint HTTPS público</w:t>
            </w:r>
          </w:p>
        </w:tc>
        <w:tc>
          <w:tcPr>
            <w:tcW w:type="dxa" w:w="3700"/>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Confirmar disponibilidad de dominio y certificado SSL para el endpoint de Mailbot.Api (mailbot.proquifa.mx o equivalente).</w:t>
            </w:r>
          </w:p>
        </w:tc>
        <w:tc>
          <w:tcPr>
            <w:tcW w:type="dxa" w:w="1626"/>
            <w:tcBorders>
              <w:top w:val="single" w:color="CCCCCC" w:sz="1"/>
              <w:left w:val="single" w:color="CCCCCC" w:sz="1"/>
              <w:bottom w:val="single" w:color="CCCCCC" w:sz="1"/>
              <w:right w:val="single" w:color="CCCCCC" w:sz="1"/>
            </w:tcBorders>
            <w:shd w:fill="F3ED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19"/>
                <w:szCs w:val="19"/>
              </w:rPr>
              <w:t xml:space="preserve">Infraestructura</w:t>
            </w:r>
          </w:p>
        </w:tc>
      </w:tr>
    </w:tbl>
    <w:p>
      <w:r>
        <w:br w:type="page"/>
      </w:r>
    </w:p>
    <w:p>
      <w:pPr>
        <w:pStyle w:val="Heading1"/>
        <w:spacing w:after="120" w:before="360"/>
      </w:pPr>
      <w:r>
        <w:rPr>
          <w:rFonts w:ascii="Arial" w:cs="Arial" w:eastAsia="Arial" w:hAnsi="Arial"/>
          <w:b/>
          <w:bCs/>
          <w:color w:val="1A3A5C"/>
          <w:sz w:val="30"/>
          <w:szCs w:val="30"/>
        </w:rPr>
        <w:t xml:space="preserve">9. Impacto en Base de Datos y Código</w:t>
      </w:r>
    </w:p>
    <w:p>
      <w:pPr>
        <w:spacing w:after="60" w:before="60"/>
      </w:pPr>
      <w:r>
        <w:rPr>
          <w:rFonts w:ascii="Arial" w:cs="Arial" w:eastAsia="Arial" w:hAnsi="Arial"/>
          <w:color w:val="1F2937"/>
          <w:sz w:val="20"/>
          <w:szCs w:val="20"/>
        </w:rPr>
        <w:t xml:space="preserve">Los siguientes cambios son requeridos por ambas propuestas:</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226"/>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Tabla / Objeto</w:t>
            </w:r>
          </w:p>
        </w:tc>
        <w:tc>
          <w:tcPr>
            <w:tcW w:type="dxa" w:w="5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Cambio requerido</w:t>
            </w:r>
          </w:p>
        </w:tc>
        <w:tc>
          <w:tcPr>
            <w:tcW w:type="dxa" w:w="1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catProceso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INSERT proceso "Cobros" con Clave="cobros"</w:t>
            </w:r>
          </w:p>
        </w:tc>
        <w:tc>
          <w:tcPr>
            <w:tcW w:type="dxa" w:w="12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B91C1C"/>
                <w:sz w:val="19"/>
                <w:szCs w:val="19"/>
              </w:rPr>
              <w:t xml:space="preserve">Alta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catClasificacionCorreoRecibido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Opción A: UPDATE Clave="pago" → "cobro"  |  Opción B: INSERT nueva clasificación "cobro"</w:t>
            </w:r>
          </w:p>
        </w:tc>
        <w:tc>
          <w:tcPr>
            <w:tcW w:type="dxa" w:w="12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B91C1C"/>
                <w:sz w:val="19"/>
                <w:szCs w:val="19"/>
              </w:rPr>
              <w:t xml:space="preserve">Alta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MailbotEventoCorreo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CREATE TABLE — trazabilidad de eventos y detección de duplicados por IdentificadorCorreoGmail + IdRegion</w:t>
            </w:r>
          </w:p>
        </w:tc>
        <w:tc>
          <w:tcPr>
            <w:tcW w:type="dxa" w:w="12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B91C1C"/>
                <w:sz w:val="19"/>
                <w:szCs w:val="19"/>
              </w:rPr>
              <w:t xml:space="preserve">Alta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MailbotClasificacionLog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CREATE TABLE — auditoría de clasificaciones IA (ClasificacionIA, Confianza, PromptTokens)</w:t>
            </w:r>
          </w:p>
        </w:tc>
        <w:tc>
          <w:tcPr>
            <w:tcW w:type="dxa" w:w="12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B91C1C"/>
                <w:sz w:val="19"/>
                <w:szCs w:val="19"/>
              </w:rPr>
              <w:t xml:space="preserve">Alta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1A3A5C"/>
                <w:sz w:val="19"/>
                <w:szCs w:val="19"/>
              </w:rPr>
              <w:t xml:space="preserve">RegionConfiguracionMailBot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19"/>
                <w:szCs w:val="19"/>
              </w:rPr>
              <w:t xml:space="preserve">ALTER TABLE — agregar PubSubTopic, WatchHistoryId, WatchExpiration  (solo Propuesta 2)</w:t>
            </w:r>
          </w:p>
        </w:tc>
        <w:tc>
          <w:tcPr>
            <w:tcW w:type="dxa" w:w="1226"/>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B91C1C"/>
                <w:sz w:val="19"/>
                <w:szCs w:val="19"/>
              </w:rPr>
              <w:t xml:space="preserve">Alta (P2)</w:t>
            </w:r>
          </w:p>
        </w:tc>
      </w:tr>
    </w:tbl>
    <w:p>
      <w:pPr>
        <w:spacing w:before="80"/>
      </w:pPr>
    </w:p>
    <w:p>
      <w:pPr>
        <w:pStyle w:val="Heading2"/>
        <w:spacing w:after="80" w:before="240"/>
      </w:pPr>
      <w:r>
        <w:rPr>
          <w:rFonts w:ascii="Arial" w:cs="Arial" w:eastAsia="Arial" w:hAnsi="Arial"/>
          <w:b/>
          <w:bCs/>
          <w:color w:val="1A3A5C"/>
          <w:sz w:val="24"/>
          <w:szCs w:val="24"/>
        </w:rPr>
        <w:t xml:space="preserve">9.1 Cambios en ProquifaDotNet (Framework 4.8) — Comunes a Ambas Propuestas</w:t>
      </w:r>
    </w:p>
    <w:p>
      <w:pPr>
        <w:pStyle w:val="ListParagraph"/>
        <w:numPr>
          <w:ilvl w:val="0"/>
          <w:numId w:val="2"/>
        </w:numPr>
        <w:spacing w:after="40" w:before="40"/>
      </w:pPr>
      <w:r>
        <w:rPr>
          <w:rFonts w:ascii="Arial" w:cs="Arial" w:eastAsia="Arial" w:hAnsi="Arial"/>
          <w:color w:val="1F2937"/>
          <w:sz w:val="20"/>
          <w:szCs w:val="20"/>
        </w:rPr>
        <w:t xml:space="preserve">GAP-01 — GeneradorProcesoMailBotBO.cs: refactorizar switch para evaluar Clave técnica (ClasificacionCorreoRecibidoConstants) y conectar case "cobro" a CorreoRecibidoClienteToPagoBO.</w:t>
      </w:r>
    </w:p>
    <w:p>
      <w:pPr>
        <w:pStyle w:val="ListParagraph"/>
        <w:numPr>
          <w:ilvl w:val="0"/>
          <w:numId w:val="2"/>
        </w:numPr>
        <w:spacing w:after="40" w:before="40"/>
      </w:pPr>
      <w:r>
        <w:rPr>
          <w:rFonts w:ascii="Arial" w:cs="Arial" w:eastAsia="Arial" w:hAnsi="Arial"/>
          <w:color w:val="1F2937"/>
          <w:sz w:val="20"/>
          <w:szCs w:val="20"/>
        </w:rPr>
        <w:t xml:space="preserve">GAP-02 — Crear ClasificacionCorreoRecibidoConstants.cs con constantes de claves técnicas (requisicion, pedido, cobro, otros).</w:t>
      </w:r>
    </w:p>
    <w:p>
      <w:pPr>
        <w:pStyle w:val="ListParagraph"/>
        <w:numPr>
          <w:ilvl w:val="0"/>
          <w:numId w:val="2"/>
        </w:numPr>
        <w:spacing w:after="40" w:before="40"/>
      </w:pPr>
      <w:r>
        <w:rPr>
          <w:rFonts w:ascii="Arial" w:cs="Arial" w:eastAsia="Arial" w:hAnsi="Arial"/>
          <w:color w:val="1F2937"/>
          <w:sz w:val="20"/>
          <w:szCs w:val="20"/>
        </w:rPr>
        <w:t xml:space="preserve">GAP-03 — Crear CorreoRecibidoClienteBuzonCobrosBO.cs: listado paginado del Buzón filtrado por cobrador y región del token.</w:t>
      </w:r>
    </w:p>
    <w:p>
      <w:pPr>
        <w:pStyle w:val="ListParagraph"/>
        <w:numPr>
          <w:ilvl w:val="0"/>
          <w:numId w:val="2"/>
        </w:numPr>
        <w:spacing w:after="40" w:before="40"/>
      </w:pPr>
      <w:r>
        <w:rPr>
          <w:rFonts w:ascii="Arial" w:cs="Arial" w:eastAsia="Arial" w:hAnsi="Arial"/>
          <w:color w:val="1F2937"/>
          <w:sz w:val="20"/>
          <w:szCs w:val="20"/>
        </w:rPr>
        <w:t xml:space="preserve">GAP-04 — Crear BuzonCobrosController.cs: endpoint POST /BuzonCobros con extracción segura de cobrador e IdRegion del JWT.</w:t>
      </w:r>
    </w:p>
    <w:p>
      <w:pPr>
        <w:spacing w:before="80"/>
      </w:pPr>
    </w:p>
    <w:p>
      <w:pPr>
        <w:spacing w:after="80" w:before="240"/>
        <w:jc w:val="center"/>
      </w:pPr>
      <w:r>
        <w:rPr>
          <w:rFonts w:ascii="Arial" w:cs="Arial" w:eastAsia="Arial" w:hAnsi="Arial"/>
          <w:i/>
          <w:iCs/>
          <w:color w:val="6B7280"/>
          <w:sz w:val="18"/>
          <w:szCs w:val="18"/>
        </w:rPr>
        <w:t xml:space="preserve">— Fin del Documento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1"/>
      </w:pBdr>
      <w:tabs>
        <w:tab w:val="right" w:pos="9026"/>
      </w:tabs>
    </w:pPr>
    <w:r>
      <w:rPr>
        <w:rFonts w:ascii="Arial" w:cs="Arial" w:eastAsia="Arial" w:hAnsi="Arial"/>
        <w:color w:val="6B7280"/>
        <w:sz w:val="16"/>
        <w:szCs w:val="16"/>
      </w:rPr>
      <w:t xml:space="preserve">Confidencial — R16 ProquifaDotNet  |  Junio 2026	</w:t>
    </w: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1"/>
      </w:pBdr>
      <w:jc w:val="right"/>
    </w:pPr>
    <w:r>
      <w:rPr>
        <w:rFonts w:ascii="Arial" w:cs="Arial" w:eastAsia="Arial" w:hAnsi="Arial"/>
        <w:color w:val="6B7280"/>
        <w:sz w:val="16"/>
        <w:szCs w:val="16"/>
      </w:rPr>
      <w:t xml:space="preserve">DAR — Buzón de Cobros  |  TPSC-RE-FU-008  |  R16 ProquifaDotNet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0"/>
      <w:szCs w:val="30"/>
    </w:rPr>
  </w:style>
  <w:style w:type="paragraph" w:styleId="Heading2">
    <w:name w:val="Heading 2"/>
    <w:basedOn w:val="Normal"/>
    <w:next w:val="Normal"/>
    <w:qFormat/>
    <w:pPr>
      <w:spacing w:after="80" w:before="240"/>
      <w:outlineLvl w:val="1"/>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2026-06-12T17:24:44.439Z</dcterms:created>
  <dcterms:modified xsi:type="dcterms:W3CDTF">2026-06-12T17:24:44.439Z</dcterms:modified>
</cp:coreProperties>
</file>

<file path=docProps/custom.xml><?xml version="1.0" encoding="utf-8"?>
<Properties xmlns="http://schemas.openxmlformats.org/officeDocument/2006/custom-properties" xmlns:vt="http://schemas.openxmlformats.org/officeDocument/2006/docPropsVTypes"/>
</file>