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rId40.png" ContentType="image/png"/>
  <Override PartName="/word/media/rId43.png" ContentType="image/png"/>
  <Override PartName="/word/media/rId34.png" ContentType="image/png"/>
  <Override PartName="/word/media/rId31.png" ContentType="image/png"/>
  <Override PartName="/word/media/rId37.png" ContentType="image/png"/>
  <Override PartName="/word/media/rId28.png" ContentType="image/png"/>
  <Override PartName="/word/media/image3.png" ContentType="image/png"/>
  <Override PartName="/word/media/image1.png" ContentType="image/png"/>
  <Override PartName="/word/media/image5.png" ContentType="image/png"/>
  <Override PartName="/word/media/image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rPr>
          <w:b/>
          <w:bCs/>
        </w:rPr>
        <w:t xml:space="preserve">Diseño de la solución</w:t>
      </w:r>
    </w:p>
    <w:p>
      <w:pPr>
        <w:pStyle w:val="Heading2"/>
      </w:pPr>
      <w:r>
        <w:t xml:space="preserve">R16A-RE-FU-006</w:t>
      </w:r>
    </w:p>
    <w:tbl>
      <w:tblPr>
        <w:tblStyle w:val="Table"/>
        <w:tblW w:type="pct" w:w="5000"/>
        <w:tblLayout w:type="fixed"/>
        <w:tblLook w:firstRow="1" w:lastRow="0" w:firstColumn="0" w:lastColumn="0" w:noHBand="0" w:noVBand="0" w:val="0020"/>
      </w:tblPr>
      <w:tblGrid>
        <w:gridCol w:w="3297"/>
        <w:gridCol w:w="6063"/>
      </w:tblGrid>
      <w:tr>
        <w:trPr>
          <w:tblHeader w:val="on"/>
        </w:trPr>
        <w:tc>
          <w:tcPr>
            <w:tcW w:w="3297" w:type="dxa"/>
            <w:shd w:val="clear" w:color="auto" w:fill="434343"/>
          </w:tcPr>
          <w:p>
            <w:pPr>
              <w:pStyle w:val="Compact"/>
              <w:jc w:val="left"/>
            </w:pPr>
            <w:r>
              <w:rPr>
                <w:b/>
                <w:color w:val="FFFFFF"/>
              </w:rPr>
              <w:t xml:space="preserve">FORMATO</w:t>
            </w:r>
          </w:p>
        </w:tc>
        <w:tc>
          <w:tcPr>
            <w:tcW w:w="6063" w:type="dxa"/>
            <w:shd w:val="clear" w:color="auto" w:fill="434343"/>
          </w:tcPr>
          <w:p>
            <w:pPr>
              <w:pStyle w:val="Compact"/>
              <w:jc w:val="left"/>
            </w:pPr>
            <w:r>
              <w:rPr>
                <w:b/>
                <w:color w:val="FFFFFF"/>
              </w:rPr>
              <w:t xml:space="preserve">Arquitectura</w:t>
            </w:r>
          </w:p>
        </w:tc>
      </w:tr>
      <w:tr>
        <w:tc>
          <w:tcPr>
            <w:tcW w:w="3297" w:type="dxa"/>
          </w:tcPr>
          <w:tcPr/>
          <w:p>
            <w:pPr>
              <w:pStyle w:val="Compact"/>
              <w:jc w:val="left"/>
            </w:pPr>
            <w:r>
              <w:rPr>
                <w:b/>
                <w:bCs/>
              </w:rPr>
              <w:t xml:space="preserve">PROYECTO</w:t>
            </w:r>
          </w:p>
        </w:tc>
        <w:tc>
          <w:tcPr>
            <w:tcW w:w="6063" w:type="dxa"/>
          </w:tcPr>
          <w:tcPr/>
          <w:p>
            <w:pPr>
              <w:pStyle w:val="Compact"/>
              <w:jc w:val="left"/>
            </w:pPr>
            <w:r>
              <w:t xml:space="preserve">R16 - Adquisiciones</w:t>
            </w:r>
          </w:p>
        </w:tc>
      </w:tr>
      <w:tr>
        <w:tc>
          <w:tcPr>
            <w:tcW w:w="3297" w:type="dxa"/>
          </w:tcPr>
          <w:tcPr/>
          <w:p>
            <w:pPr>
              <w:pStyle w:val="Compact"/>
              <w:jc w:val="left"/>
            </w:pPr>
            <w:r>
              <w:rPr>
                <w:b/>
                <w:bCs/>
              </w:rPr>
              <w:t xml:space="preserve">REFERENCIA</w:t>
            </w:r>
          </w:p>
        </w:tc>
        <w:tc>
          <w:tcPr>
            <w:tcW w:w="6063" w:type="dxa"/>
          </w:tcPr>
          <w:tcPr/>
          <w:p>
            <w:pPr>
              <w:pStyle w:val="Compact"/>
              <w:jc w:val="left"/>
            </w:pPr>
            <w:r>
              <w:t xml:space="preserve">AUI- FOR-01</w:t>
            </w:r>
          </w:p>
        </w:tc>
      </w:tr>
      <w:tr>
        <w:tc>
          <w:tcPr>
            <w:tcW w:w="3297" w:type="dxa"/>
          </w:tcPr>
          <w:tcPr/>
          <w:p>
            <w:pPr>
              <w:pStyle w:val="Compact"/>
              <w:jc w:val="left"/>
            </w:pPr>
            <w:r>
              <w:rPr>
                <w:b/>
                <w:bCs/>
              </w:rPr>
              <w:t xml:space="preserve">VERSIÓN</w:t>
            </w:r>
          </w:p>
        </w:tc>
        <w:tc>
          <w:tcPr>
            <w:tcW w:w="6063" w:type="dxa"/>
          </w:tcPr>
          <w:tcPr/>
          <w:p>
            <w:pPr>
              <w:pStyle w:val="Compact"/>
              <w:jc w:val="left"/>
            </w:pPr>
            <w:r>
              <w:t xml:space="preserve">1.20</w:t>
            </w:r>
          </w:p>
        </w:tc>
      </w:tr>
      <w:tr>
        <w:tc>
          <w:tcPr>
            <w:tcW w:w="3297" w:type="dxa"/>
          </w:tcPr>
          <w:tcPr/>
          <w:p>
            <w:pPr>
              <w:pStyle w:val="Compact"/>
              <w:jc w:val="left"/>
            </w:pPr>
            <w:r>
              <w:rPr>
                <w:b/>
                <w:bCs/>
              </w:rPr>
              <w:t xml:space="preserve">FECHA</w:t>
            </w:r>
          </w:p>
        </w:tc>
        <w:tc>
          <w:tcPr>
            <w:tcW w:w="6063" w:type="dxa"/>
          </w:tcPr>
          <w:tcPr/>
          <w:p>
            <w:pPr>
              <w:pStyle w:val="Compact"/>
              <w:jc w:val="left"/>
            </w:pPr>
            <w:r>
              <w:t xml:space="preserve">31 jul 2026</w:t>
            </w:r>
          </w:p>
        </w:tc>
      </w:tr>
      <w:tr>
        <w:tc>
          <w:tcPr>
            <w:tcW w:w="3297" w:type="dxa"/>
          </w:tcPr>
          <w:tcPr/>
          <w:p>
            <w:pPr>
              <w:pStyle w:val="Compact"/>
              <w:jc w:val="left"/>
            </w:pPr>
            <w:r>
              <w:rPr>
                <w:b/>
                <w:bCs/>
              </w:rPr>
              <w:t xml:space="preserve">AUTOR</w:t>
            </w:r>
          </w:p>
        </w:tc>
        <w:tc>
          <w:tcPr>
            <w:tcW w:w="6063" w:type="dxa"/>
          </w:tcPr>
          <w:tcPr/>
          <w:p>
            <w:pPr>
              <w:pStyle w:val="Compact"/>
              <w:jc w:val="left"/>
            </w:pPr>
            <w:hyperlink r:id="rId26">
              <w:r>
                <w:rPr>
                  <w:rStyle w:val="Hyperlink"/>
                </w:rPr>
                <w:t xml:space="preserve">Jose Armando Santiago Lorenzo</w:t>
              </w:r>
            </w:hyperlink>
          </w:p>
        </w:tc>
      </w:tr>
      <w:tr>
        <w:tc>
          <w:tcPr>
            <w:tcW w:w="3297" w:type="dxa"/>
          </w:tcPr>
          <w:tcPr/>
          <w:p>
            <w:pPr>
              <w:pStyle w:val="Compact"/>
              <w:jc w:val="left"/>
            </w:pPr>
            <w:r>
              <w:rPr>
                <w:b/>
                <w:bCs/>
              </w:rPr>
              <w:t xml:space="preserve">REVISOR</w:t>
            </w:r>
          </w:p>
        </w:tc>
        <w:tc>
          <w:tcPr>
            <w:tcW w:w="6063" w:type="dxa"/>
          </w:tcPr>
          <w:tcPr/>
          <w:p>
            <w:pPr>
              <w:pStyle w:val="Compact"/>
              <w:jc w:val="left"/>
            </w:pPr>
            <w:hyperlink r:id="rId27">
              <w:r>
                <w:rPr>
                  <w:rStyle w:val="Hyperlink"/>
                </w:rPr>
                <w:t xml:space="preserve">Juan David García Cruz</w:t>
              </w:r>
            </w:hyperlink>
          </w:p>
        </w:tc>
      </w:tr>
    </w:tbl>
    <w:p>
      <w:r>
        <w:pict>
          <v:rect style="width:0;height:1.5pt" o:hralign="center" o:hrstd="t" o:hr="t"/>
        </w:pict>
      </w:r>
    </w:p>
    <w:p>
      <w:pPr>
        <w:pStyle w:val="Heading1"/>
      </w:pPr>
      <w:r>
        <w:rPr>
          <w:b/>
          <w:bCs/>
        </w:rPr>
        <w:t xml:space="preserve">Importante</w:t>
      </w:r>
    </w:p>
    <w:p>
      <w:pPr>
        <w:pStyle w:val="FirstParagraph"/>
      </w:pPr>
      <w:r>
        <w:t xml:space="preserve">Posterior a este diseño, ¿cómo saber si el diseño de la solución al requisito está completo para que el programador inicie con el desarrollo?</w:t>
      </w:r>
      <w:r>
        <w:br/>
      </w:r>
      <w:r>
        <w:t xml:space="preserve">Hazte estas preguntas rápidas:</w:t>
      </w:r>
    </w:p>
    <w:p>
      <w:pPr>
        <w:pStyle w:val="Compact"/>
        <w:numPr>
          <w:ilvl w:val="0"/>
          <w:numId w:val="1001"/>
        </w:numPr>
      </w:pPr>
      <w:r>
        <w:t xml:space="preserve">¿El programador sabe qué flujo implementar?</w:t>
      </w:r>
    </w:p>
    <w:p>
      <w:pPr>
        <w:pStyle w:val="Compact"/>
        <w:numPr>
          <w:ilvl w:val="0"/>
          <w:numId w:val="1001"/>
        </w:numPr>
      </w:pPr>
      <w:r>
        <w:t xml:space="preserve">¿Sabe qué pasa si algo falla?</w:t>
      </w:r>
    </w:p>
    <w:p>
      <w:pPr>
        <w:pStyle w:val="Compact"/>
        <w:numPr>
          <w:ilvl w:val="0"/>
          <w:numId w:val="1001"/>
        </w:numPr>
      </w:pPr>
      <w:r>
        <w:t xml:space="preserve">¿Sabe qué reglas no puede romper?</w:t>
      </w:r>
    </w:p>
    <w:p>
      <w:pPr>
        <w:pStyle w:val="Compact"/>
        <w:numPr>
          <w:ilvl w:val="0"/>
          <w:numId w:val="1001"/>
        </w:numPr>
      </w:pPr>
      <w:r>
        <w:t xml:space="preserve">¿Sabe qué pruebas debe pasar?</w:t>
      </w:r>
    </w:p>
    <w:p>
      <w:pPr>
        <w:pStyle w:val="Compact"/>
        <w:numPr>
          <w:ilvl w:val="0"/>
          <w:numId w:val="1001"/>
        </w:numPr>
      </w:pPr>
      <w:r>
        <w:t xml:space="preserve">¿Sabe dónde impacta?</w:t>
      </w:r>
    </w:p>
    <w:p>
      <w:pPr>
        <w:pStyle w:val="FirstParagraph"/>
      </w:pPr>
      <w:r>
        <w:rPr>
          <w:i/>
          <w:iCs/>
        </w:rPr>
        <w:t xml:space="preserve">Nota: Este documento es una propuesta basada en el estándar IEEE 1016</w:t>
      </w:r>
      <w:r>
        <w:rPr>
          <w:i/>
          <w:iCs/>
        </w:rPr>
        <w:t xml:space="preserve"> </w:t>
      </w:r>
      <w:r>
        <w:rPr>
          <w:i/>
          <w:iCs/>
        </w:rPr>
        <w:t xml:space="preserve">“Software Design Description”</w:t>
      </w:r>
      <w:r>
        <w:rPr>
          <w:i/>
          <w:iCs/>
        </w:rPr>
        <w:t xml:space="preserve"> </w:t>
      </w:r>
      <w:r>
        <w:rPr>
          <w:i/>
          <w:iCs/>
        </w:rPr>
        <w:t xml:space="preserve">que va permitir abarcar los puntos más importantes para el diseño del requisito que se está trabajando. Se debe administrar el tiempo que se tiene de diseño para que se complete de la mejor manera considerando todos los detalles técnicos.</w:t>
      </w:r>
    </w:p>
    <w:p>
      <w:r>
        <w:pict>
          <v:rect style="width:0;height:1.5pt" o:hralign="center" o:hrstd="t" o:hr="t"/>
        </w:pict>
      </w:r>
    </w:p>
    <w:p>
      <w:pPr>
        <w:pStyle w:val="Heading1"/>
      </w:pPr>
      <w:r>
        <w:rPr>
          <w:b/>
          <w:bCs/>
        </w:rPr>
        <w:t xml:space="preserve">Introducción</w:t>
      </w:r>
    </w:p>
    <w:p>
      <w:pPr>
        <w:pStyle w:val="Heading2"/>
      </w:pPr>
      <w:r>
        <w:rPr>
          <w:b/>
          <w:bCs/>
        </w:rPr>
        <w:t xml:space="preserve">1. Propósito del documento</w:t>
      </w:r>
    </w:p>
    <w:p>
      <w:pPr>
        <w:pStyle w:val="FirstParagraph"/>
      </w:pPr>
      <w:r>
        <w:t xml:space="preserve">El propósito de este documento es definir el diseño de la solución técnica para el requisito</w:t>
      </w:r>
      <w:r>
        <w:t xml:space="preserve"> </w:t>
      </w:r>
      <w:r>
        <w:rPr>
          <w:b/>
          <w:bCs/>
        </w:rPr>
        <w:t xml:space="preserve">R16A-RE-FU-006 — Referencia de Pago y Código Validador</w:t>
      </w:r>
      <w:r>
        <w:t xml:space="preserve">, describiendo la nueva tabla de BD, las clases de lógica de negocio, el controlador de API REST, el endpoint de consulta que expone la referencia como contrato de datos hacia RE-016, la regeneración en cascada de la referencia ante cambio del nombre del cliente, y la estrategia de migración de datos necesarios para su implementación en el repositorio</w:t>
      </w:r>
      <w:r>
        <w:t xml:space="preserve"> </w:t>
      </w:r>
      <w:r>
        <w:rPr>
          <w:rStyle w:val="VerbatimChar"/>
        </w:rPr>
        <w:t xml:space="preserve">ProquifaDotNet</w:t>
      </w:r>
      <w:r>
        <w:t xml:space="preserve">.</w:t>
      </w:r>
      <w:r>
        <w:t xml:space="preserve"> </w:t>
      </w:r>
      <w:r>
        <w:rPr>
          <w:b/>
          <w:bCs/>
        </w:rPr>
        <w:t xml:space="preserve">Nota de alcance (v1.6):</w:t>
      </w:r>
      <w:r>
        <w:t xml:space="preserve"> </w:t>
      </w:r>
      <w:r>
        <w:t xml:space="preserve">la modificación de la fábrica de proformas (</w:t>
      </w:r>
      <w:r>
        <w:rPr>
          <w:rStyle w:val="VerbatimChar"/>
        </w:rPr>
        <w:t xml:space="preserve">tpProformaPedidoFactory</w:t>
      </w:r>
      <w:r>
        <w:t xml:space="preserve">) y el casado de</w:t>
      </w:r>
      <w:r>
        <w:t xml:space="preserve"> </w:t>
      </w:r>
      <w:r>
        <w:rPr>
          <w:rStyle w:val="VerbatimChar"/>
        </w:rPr>
        <w:t xml:space="preserve">ReferenciaPago</w:t>
      </w:r>
      <w:r>
        <w:t xml:space="preserve"> </w:t>
      </w:r>
      <w:r>
        <w:rPr>
          <w:b/>
          <w:bCs/>
        </w:rPr>
        <w:t xml:space="preserve">ya no son de RE-006</w:t>
      </w:r>
      <w:r>
        <w:t xml:space="preserve"> </w:t>
      </w:r>
      <w:r>
        <w:t xml:space="preserve">— pasan a RE-016 (Proforma México, Javi, solución</w:t>
      </w:r>
      <w:r>
        <w:t xml:space="preserve"> </w:t>
      </w:r>
      <w:r>
        <w:rPr>
          <w:rStyle w:val="VerbatimChar"/>
        </w:rPr>
        <w:t xml:space="preserve">Finanzas</w:t>
      </w:r>
      <w:r>
        <w:t xml:space="preserve">); RE-006 sólo expone el endpoint que ese factory consume.</w:t>
      </w:r>
    </w:p>
    <w:p>
      <w:pPr>
        <w:pStyle w:val="BodyText"/>
      </w:pPr>
      <w:r>
        <w:rPr>
          <w:b/>
          <w:bCs/>
        </w:rPr>
        <w:t xml:space="preserve">Nota:</w:t>
      </w:r>
      <w:r>
        <w:t xml:space="preserve"> </w:t>
      </w:r>
      <w:r>
        <w:t xml:space="preserve">Este documento se enfoca exclusivamente en el diseño de la solución en el</w:t>
      </w:r>
      <w:r>
        <w:t xml:space="preserve"> </w:t>
      </w:r>
      <w:r>
        <w:rPr>
          <w:b/>
          <w:bCs/>
        </w:rPr>
        <w:t xml:space="preserve">Back-end</w:t>
      </w:r>
      <w:r>
        <w:t xml:space="preserve">. No redefine requisitos funcionales ni incluye diseño de pantallas o componentes Angular (scope de Front-end separado).</w:t>
      </w:r>
    </w:p>
    <w:p>
      <w:pPr>
        <w:pStyle w:val="Heading2"/>
      </w:pPr>
      <w:r>
        <w:rPr>
          <w:b/>
          <w:bCs/>
        </w:rPr>
        <w:t xml:space="preserve">2. Alcance</w:t>
      </w:r>
    </w:p>
    <w:p>
      <w:pPr>
        <w:pStyle w:val="Heading3"/>
      </w:pPr>
      <w:r>
        <w:rPr>
          <w:b/>
          <w:bCs/>
        </w:rPr>
        <w:t xml:space="preserve">Específicamente incluye:</w:t>
      </w:r>
    </w:p>
    <w:p>
      <w:pPr>
        <w:pStyle w:val="Compact"/>
        <w:numPr>
          <w:ilvl w:val="0"/>
          <w:numId w:val="1002"/>
        </w:numPr>
      </w:pPr>
      <w:r>
        <w:t xml:space="preserve">Creación de la tabla</w:t>
      </w:r>
      <w:r>
        <w:t xml:space="preserve"> </w:t>
      </w:r>
      <w:r>
        <w:rPr>
          <w:rStyle w:val="VerbatimChar"/>
        </w:rPr>
        <w:t xml:space="preserve">dbo.ClienteDatosBancarios</w:t>
      </w:r>
      <w:r>
        <w:t xml:space="preserve"> </w:t>
      </w:r>
      <w:r>
        <w:t xml:space="preserve">(relación N:N cliente-cuenta bancaria con Código Validador y</w:t>
      </w:r>
      <w:r>
        <w:t xml:space="preserve"> </w:t>
      </w:r>
      <w:r>
        <w:rPr>
          <w:rStyle w:val="VerbatimChar"/>
        </w:rPr>
        <w:t xml:space="preserve">ReferenciaVigente</w:t>
      </w:r>
      <w:r>
        <w:t xml:space="preserve">).</w:t>
      </w:r>
    </w:p>
    <w:p>
      <w:pPr>
        <w:pStyle w:val="Compact"/>
        <w:numPr>
          <w:ilvl w:val="0"/>
          <w:numId w:val="1002"/>
        </w:numPr>
      </w:pPr>
      <w:r>
        <w:t xml:space="preserve">Creación de</w:t>
      </w:r>
      <w:r>
        <w:t xml:space="preserve"> </w:t>
      </w:r>
      <w:r>
        <w:rPr>
          <w:rStyle w:val="VerbatimChar"/>
        </w:rPr>
        <w:t xml:space="preserve">ClienteDatosBancariosBO</w:t>
      </w:r>
      <w:r>
        <w:t xml:space="preserve"> </w:t>
      </w:r>
      <w:r>
        <w:t xml:space="preserve">— CRUD de la relación cliente-cuenta-CódigoValidador; calcula y persiste</w:t>
      </w:r>
      <w:r>
        <w:t xml:space="preserve"> </w:t>
      </w:r>
      <w:r>
        <w:rPr>
          <w:rStyle w:val="VerbatimChar"/>
        </w:rPr>
        <w:t xml:space="preserve">ReferenciaVigente</w:t>
      </w:r>
      <w:r>
        <w:t xml:space="preserve"> </w:t>
      </w:r>
      <w:r>
        <w:t xml:space="preserve">en cada INSERT / UPDATE.</w:t>
      </w:r>
    </w:p>
    <w:p>
      <w:pPr>
        <w:pStyle w:val="Compact"/>
        <w:numPr>
          <w:ilvl w:val="0"/>
          <w:numId w:val="1002"/>
        </w:numPr>
      </w:pPr>
      <w:r>
        <w:t xml:space="preserve">Creación de</w:t>
      </w:r>
      <w:r>
        <w:t xml:space="preserve"> </w:t>
      </w:r>
      <w:r>
        <w:rPr>
          <w:rStyle w:val="VerbatimChar"/>
        </w:rPr>
        <w:t xml:space="preserve">BankReferenceBO</w:t>
      </w:r>
      <w:r>
        <w:t xml:space="preserve"> </w:t>
      </w:r>
      <w:r>
        <w:t xml:space="preserve">— algoritmo de construcción de referencia bancaria (Banamex / no-Banamex); invocado desde</w:t>
      </w:r>
      <w:r>
        <w:t xml:space="preserve"> </w:t>
      </w:r>
      <w:r>
        <w:rPr>
          <w:rStyle w:val="VerbatimChar"/>
        </w:rPr>
        <w:t xml:space="preserve">ClienteDatosBancariosBO</w:t>
      </w:r>
      <w:r>
        <w:t xml:space="preserve">, no desde el factory.</w:t>
      </w:r>
      <w:r>
        <w:t xml:space="preserve"> </w:t>
      </w:r>
      <w:r>
        <w:rPr>
          <w:b/>
          <w:bCs/>
        </w:rPr>
        <w:t xml:space="preserve">Aplica a clientes México y Perú</w:t>
      </w:r>
      <w:r>
        <w:t xml:space="preserve"> </w:t>
      </w:r>
      <w:r>
        <w:t xml:space="preserve">(v1.11) — la referencia no-Banamex toma la Razón Social del cliente; Perú no tiene banco equivalente a Banamex, así que siempre sigue este camino, sin lógica nueva. El algoritmo Banamex (7 segmentos) no cambia.</w:t>
      </w:r>
    </w:p>
    <w:p>
      <w:pPr>
        <w:pStyle w:val="Compact"/>
        <w:numPr>
          <w:ilvl w:val="0"/>
          <w:numId w:val="1002"/>
        </w:numPr>
      </w:pPr>
      <w:r>
        <w:t xml:space="preserve">Nueva columna</w:t>
      </w:r>
      <w:r>
        <w:t xml:space="preserve"> </w:t>
      </w:r>
      <w:r>
        <w:rPr>
          <w:rStyle w:val="VerbatimChar"/>
        </w:rPr>
        <w:t xml:space="preserve">catBanco.RequiereCodigoValidador</w:t>
      </w:r>
      <w:r>
        <w:t xml:space="preserve"> </w:t>
      </w:r>
      <w:r>
        <w:t xml:space="preserve">— reemplaza la evaluación directa de la clave del banco para identificar Banamex; el campo se consulta directamente con el catálogo genérico</w:t>
      </w:r>
      <w:r>
        <w:t xml:space="preserve"> </w:t>
      </w:r>
      <w:r>
        <w:rPr>
          <w:rStyle w:val="VerbatimChar"/>
        </w:rPr>
        <w:t xml:space="preserve">POST /catBanco</w:t>
      </w:r>
      <w:r>
        <w:t xml:space="preserve">, ya existente, sin necesidad de ampliar ningún selector propio de RE-006.</w:t>
      </w:r>
    </w:p>
    <w:p>
      <w:pPr>
        <w:pStyle w:val="Compact"/>
        <w:numPr>
          <w:ilvl w:val="0"/>
          <w:numId w:val="1002"/>
        </w:numPr>
      </w:pPr>
      <w:r>
        <w:t xml:space="preserve">Creación de</w:t>
      </w:r>
      <w:r>
        <w:t xml:space="preserve"> </w:t>
      </w:r>
      <w:r>
        <w:rPr>
          <w:rStyle w:val="VerbatimChar"/>
        </w:rPr>
        <w:t xml:space="preserve">ClienteDatosBancariosController</w:t>
      </w:r>
      <w:r>
        <w:t xml:space="preserve"> </w:t>
      </w:r>
      <w:r>
        <w:t xml:space="preserve">— API REST</w:t>
      </w:r>
      <w:r>
        <w:t xml:space="preserve"> </w:t>
      </w:r>
      <w:r>
        <w:rPr>
          <w:rStyle w:val="VerbatimChar"/>
        </w:rPr>
        <w:t xml:space="preserve">/ClienteDatosBancarios</w:t>
      </w:r>
      <w:r>
        <w:t xml:space="preserve">.</w:t>
      </w:r>
    </w:p>
    <w:p>
      <w:pPr>
        <w:pStyle w:val="Compact"/>
        <w:numPr>
          <w:ilvl w:val="0"/>
          <w:numId w:val="1002"/>
        </w:numPr>
      </w:pPr>
      <w:r>
        <w:t xml:space="preserve">Endpoint de consulta</w:t>
      </w:r>
      <w:r>
        <w:t xml:space="preserve"> </w:t>
      </w:r>
      <w:r>
        <w:rPr>
          <w:rStyle w:val="VerbatimChar"/>
        </w:rPr>
        <w:t xml:space="preserve">POST /vClienteDatosBancarios</w:t>
      </w:r>
      <w:r>
        <w:t xml:space="preserve"> </w:t>
      </w:r>
      <w:r>
        <w:t xml:space="preserve">con filtros flexibles (</w:t>
      </w:r>
      <w:r>
        <w:rPr>
          <w:rStyle w:val="VerbatimChar"/>
        </w:rPr>
        <w:t xml:space="preserve">IdCliente</w:t>
      </w:r>
      <w:r>
        <w:t xml:space="preserve">/</w:t>
      </w:r>
      <w:r>
        <w:rPr>
          <w:rStyle w:val="VerbatimChar"/>
        </w:rPr>
        <w:t xml:space="preserve">IdCatBanco</w:t>
      </w:r>
      <w:r>
        <w:t xml:space="preserve">/</w:t>
      </w:r>
      <w:r>
        <w:rPr>
          <w:rStyle w:val="VerbatimChar"/>
        </w:rPr>
        <w:t xml:space="preserve">IdCatMoneda</w:t>
      </w:r>
      <w:r>
        <w:t xml:space="preserve">/</w:t>
      </w:r>
      <w:r>
        <w:rPr>
          <w:rStyle w:val="VerbatimChar"/>
        </w:rPr>
        <w:t xml:space="preserve">IdEmpresa</w:t>
      </w:r>
      <w:r>
        <w:t xml:space="preserve">, todos opcionales; el endpoint resuelve internamente las relaciones; responde siempre en arreglo) como contrato de datos hacia RE-016 — reemplaza, desde v1.6, la modificación del factory que traía el v1.5.</w:t>
      </w:r>
    </w:p>
    <w:p>
      <w:pPr>
        <w:pStyle w:val="Compact"/>
        <w:numPr>
          <w:ilvl w:val="0"/>
          <w:numId w:val="1002"/>
        </w:numPr>
      </w:pPr>
      <w:r>
        <w:t xml:space="preserve">Regeneración en cascada de</w:t>
      </w:r>
      <w:r>
        <w:t xml:space="preserve"> </w:t>
      </w:r>
      <w:r>
        <w:rPr>
          <w:rStyle w:val="VerbatimChar"/>
        </w:rPr>
        <w:t xml:space="preserve">ReferenciaVigente</w:t>
      </w:r>
      <w:r>
        <w:t xml:space="preserve"> </w:t>
      </w:r>
      <w:r>
        <w:t xml:space="preserve">ante cambio de</w:t>
      </w:r>
      <w:r>
        <w:t xml:space="preserve"> </w:t>
      </w:r>
      <w:r>
        <w:rPr>
          <w:rStyle w:val="VerbatimChar"/>
        </w:rPr>
        <w:t xml:space="preserve">Cliente.Nombre</w:t>
      </w:r>
      <w:r>
        <w:t xml:space="preserve"> </w:t>
      </w:r>
      <w:r>
        <w:t xml:space="preserve">(Flujo 3, RF-15): hook transaccional que recalcula todas las asignaciones activas del cliente. Se incorpora en v1.6.</w:t>
      </w:r>
    </w:p>
    <w:p>
      <w:pPr>
        <w:pStyle w:val="Compact"/>
        <w:numPr>
          <w:ilvl w:val="0"/>
          <w:numId w:val="1002"/>
        </w:numPr>
      </w:pPr>
      <w:r>
        <w:t xml:space="preserve">Reutilización del catálogo ya existente</w:t>
      </w:r>
      <w:r>
        <w:t xml:space="preserve"> </w:t>
      </w:r>
      <w:r>
        <w:rPr>
          <w:rStyle w:val="VerbatimChar"/>
        </w:rPr>
        <w:t xml:space="preserve">vEmpresaDatosBancarios</w:t>
      </w:r>
      <w:r>
        <w:t xml:space="preserve"> </w:t>
      </w:r>
      <w:r>
        <w:t xml:space="preserve">(vista + BO + controller construidos fuera de RE-006) para el selector de Cuenta de la pantalla</w:t>
      </w:r>
      <w:r>
        <w:t xml:space="preserve"> </w:t>
      </w:r>
      <w:r>
        <w:t xml:space="preserve">“Referencia de Pago”</w:t>
      </w:r>
      <w:r>
        <w:t xml:space="preserve"> </w:t>
      </w:r>
      <w:r>
        <w:t xml:space="preserve">— sin desarrollo nuevo. El selector de Banco se resuelve con el catálogo genérico</w:t>
      </w:r>
      <w:r>
        <w:t xml:space="preserve"> </w:t>
      </w:r>
      <w:r>
        <w:rPr>
          <w:rStyle w:val="VerbatimChar"/>
        </w:rPr>
        <w:t xml:space="preserve">POST /catBanco</w:t>
      </w:r>
      <w:r>
        <w:t xml:space="preserve">, también ya existente.</w:t>
      </w:r>
    </w:p>
    <w:p>
      <w:pPr>
        <w:pStyle w:val="Compact"/>
        <w:numPr>
          <w:ilvl w:val="0"/>
          <w:numId w:val="1002"/>
        </w:numPr>
      </w:pPr>
      <w:r>
        <w:t xml:space="preserve">Creación de</w:t>
      </w:r>
      <w:r>
        <w:t xml:space="preserve"> </w:t>
      </w:r>
      <w:r>
        <w:rPr>
          <w:rStyle w:val="VerbatimChar"/>
        </w:rPr>
        <w:t xml:space="preserve">vClienteDatosBancarios</w:t>
      </w:r>
      <w:r>
        <w:t xml:space="preserve"> </w:t>
      </w:r>
      <w:r>
        <w:t xml:space="preserve">— proyección LINQ en código (no vista SQL — comentario JD) con relaciones completas de la asignación cliente-cuenta, implementada en</w:t>
      </w:r>
      <w:r>
        <w:t xml:space="preserve"> </w:t>
      </w:r>
      <w:r>
        <w:rPr>
          <w:rStyle w:val="VerbatimChar"/>
        </w:rPr>
        <w:t xml:space="preserve">vClienteDatosBancariosBO</w:t>
      </w:r>
      <w:r>
        <w:t xml:space="preserve">.</w:t>
      </w:r>
    </w:p>
    <w:p>
      <w:pPr>
        <w:pStyle w:val="Compact"/>
        <w:numPr>
          <w:ilvl w:val="0"/>
          <w:numId w:val="1002"/>
        </w:numPr>
      </w:pPr>
      <w:r>
        <w:t xml:space="preserve">Migración inicial de datos Legacy: cuentas asignadas por cliente y sus Códigos Validadores desde PConnect mediante script SQL de una sola ejecución (no paquete SSIS — comentario JD; Flujo A, OBS-010). La sincronización ongoing PQF2 → Legacy (Flujo B) se mantiene como paquete SSIS existente,</w:t>
      </w:r>
      <w:r>
        <w:t xml:space="preserve"> </w:t>
      </w:r>
      <w:r>
        <w:rPr>
          <w:b/>
          <w:bCs/>
        </w:rPr>
        <w:t xml:space="preserve">propiedad del cliente</w:t>
      </w:r>
      <w:r>
        <w:t xml:space="preserve">; se extiende mapeando a columnas Legacy existentes,</w:t>
      </w:r>
      <w:r>
        <w:t xml:space="preserve"> </w:t>
      </w:r>
      <w:r>
        <w:rPr>
          <w:b/>
          <w:bCs/>
        </w:rPr>
        <w:t xml:space="preserve">sin modificar el esquema de Legacy</w:t>
      </w:r>
      <w:r>
        <w:t xml:space="preserve"> </w:t>
      </w:r>
      <w:r>
        <w:t xml:space="preserve">(comentario JD).</w:t>
      </w:r>
    </w:p>
    <w:p>
      <w:pPr>
        <w:pStyle w:val="Heading3"/>
      </w:pPr>
      <w:r>
        <w:rPr>
          <w:b/>
          <w:bCs/>
        </w:rPr>
        <w:t xml:space="preserve">No se consideran:</w:t>
      </w:r>
    </w:p>
    <w:p>
      <w:pPr>
        <w:pStyle w:val="Compact"/>
        <w:numPr>
          <w:ilvl w:val="0"/>
          <w:numId w:val="1003"/>
        </w:numPr>
      </w:pPr>
      <w:r>
        <w:t xml:space="preserve">Diseño de pantallas o componentes Angular de la sub-sección</w:t>
      </w:r>
      <w:r>
        <w:t xml:space="preserve"> </w:t>
      </w:r>
      <w:r>
        <w:t xml:space="preserve">“Referencia de Pago”</w:t>
      </w:r>
      <w:r>
        <w:t xml:space="preserve"> </w:t>
      </w:r>
      <w:r>
        <w:t xml:space="preserve">(scope de FE).</w:t>
      </w:r>
    </w:p>
    <w:p>
      <w:pPr>
        <w:pStyle w:val="Compact"/>
        <w:numPr>
          <w:ilvl w:val="0"/>
          <w:numId w:val="1003"/>
        </w:numPr>
      </w:pPr>
      <w:r>
        <w:t xml:space="preserve">Validación de formato o longitud del Código Validador — pendiente definir con cliente (DUDA-015).</w:t>
      </w:r>
      <w:r>
        <w:t xml:space="preserve"> </w:t>
      </w:r>
      <w:r>
        <w:rPr>
          <w:i/>
          <w:iCs/>
        </w:rPr>
        <w:t xml:space="preserve">(Cuando se defina, la validación irá en el servicio de Guardado —POST/PUT—, no en un endpoint nuevo — comentario JD.)</w:t>
      </w:r>
    </w:p>
    <w:p>
      <w:pPr>
        <w:pStyle w:val="Compact"/>
        <w:numPr>
          <w:ilvl w:val="0"/>
          <w:numId w:val="1003"/>
        </w:numPr>
      </w:pPr>
      <w:r>
        <w:rPr>
          <w:strike/>
        </w:rPr>
        <w:t xml:space="preserve">Clientes de Perú — modelo bancario peruano no definido; brecha abierta (BRECHA-03)</w:t>
      </w:r>
      <w:r>
        <w:t xml:space="preserve"> </w:t>
      </w:r>
      <w:r>
        <w:t xml:space="preserve">— cerrado parcialmente en v1.11: la referencia bancaria no-Banamex ya cubre clientes Perú (ver Específicamente incluye).</w:t>
      </w:r>
    </w:p>
    <w:p>
      <w:pPr>
        <w:pStyle w:val="Compact"/>
        <w:numPr>
          <w:ilvl w:val="0"/>
          <w:numId w:val="1003"/>
        </w:numPr>
      </w:pPr>
      <w:r>
        <w:t xml:space="preserve">Historial completo (bitácora) del Código Validador — se persiste solo el último cambio (OBS-014). La vista en pantalla del historial queda fuera del scope de R16 hasta confirmar con cliente (DUDA-120).</w:t>
      </w:r>
    </w:p>
    <w:p>
      <w:pPr>
        <w:pStyle w:val="Compact"/>
        <w:numPr>
          <w:ilvl w:val="0"/>
          <w:numId w:val="1003"/>
        </w:numPr>
      </w:pPr>
      <w:r>
        <w:t xml:space="preserve">Restricción de rol para asignar cuentas — desestimada en versión inicial (DUDA-017 cerrada).</w:t>
      </w:r>
    </w:p>
    <w:p>
      <w:pPr>
        <w:pStyle w:val="Compact"/>
        <w:numPr>
          <w:ilvl w:val="0"/>
          <w:numId w:val="1003"/>
        </w:numPr>
      </w:pPr>
      <w:r>
        <w:t xml:space="preserve">Modificación de</w:t>
      </w:r>
      <w:r>
        <w:t xml:space="preserve"> </w:t>
      </w:r>
      <w:r>
        <w:rPr>
          <w:rStyle w:val="VerbatimChar"/>
        </w:rPr>
        <w:t xml:space="preserve">tpProformaPedidoFactory</w:t>
      </w:r>
      <w:r>
        <w:t xml:space="preserve">, generación de la proforma y casado de</w:t>
      </w:r>
      <w:r>
        <w:t xml:space="preserve"> </w:t>
      </w:r>
      <w:r>
        <w:rPr>
          <w:rStyle w:val="VerbatimChar"/>
        </w:rPr>
        <w:t xml:space="preserve">ReferenciaPago</w:t>
      </w:r>
      <w:r>
        <w:t xml:space="preserve"> </w:t>
      </w:r>
      <w:r>
        <w:t xml:space="preserve">— desde v1.6 son de RE-016 (Javi, solución</w:t>
      </w:r>
      <w:r>
        <w:t xml:space="preserve"> </w:t>
      </w:r>
      <w:r>
        <w:rPr>
          <w:rStyle w:val="VerbatimChar"/>
        </w:rPr>
        <w:t xml:space="preserve">ProquifaDotNet.Finanzas</w:t>
      </w:r>
      <w:r>
        <w:t xml:space="preserve">, no</w:t>
      </w:r>
      <w:r>
        <w:t xml:space="preserve"> </w:t>
      </w:r>
      <w:r>
        <w:rPr>
          <w:rStyle w:val="VerbatimChar"/>
        </w:rPr>
        <w:t xml:space="preserve">Logistica</w:t>
      </w:r>
      <w:r>
        <w:t xml:space="preserve">); RE-006 sólo expone el endpoint que ese factory consume (comentarios JD; mapa §3).</w:t>
      </w:r>
    </w:p>
    <w:p>
      <w:pPr>
        <w:pStyle w:val="Compact"/>
        <w:numPr>
          <w:ilvl w:val="0"/>
          <w:numId w:val="1003"/>
        </w:numPr>
      </w:pPr>
      <w:r>
        <w:t xml:space="preserve">Paquete SSIS para la carga inicial — reemplazado por script SQL de una sola ejecución (comentario JD). El SSIS del Flujo B (ongoing) sí se mantiene (propiedad del cliente).</w:t>
      </w:r>
    </w:p>
    <w:p>
      <w:pPr>
        <w:pStyle w:val="Compact"/>
        <w:numPr>
          <w:ilvl w:val="0"/>
          <w:numId w:val="1003"/>
        </w:numPr>
      </w:pPr>
      <w:r>
        <w:t xml:space="preserve">Modificación del esquema de Legacy (</w:t>
      </w:r>
      <w:r>
        <w:rPr>
          <w:rStyle w:val="VerbatimChar"/>
        </w:rPr>
        <w:t xml:space="preserve">ALTER TABLE</w:t>
      </w:r>
      <w:r>
        <w:t xml:space="preserve">, tablas/columnas nuevas) — comentario JD: Legacy no se modifica. Los campos de RE-006 que sincroniza el Flujo B se mapean a columnas Legacy ya existentes (</w:t>
      </w:r>
      <w:r>
        <w:rPr>
          <w:rStyle w:val="VerbatimChar"/>
        </w:rPr>
        <w:t xml:space="preserve">CuentaCliente.CodValidador</w:t>
      </w:r>
      <w:r>
        <w:t xml:space="preserve">); cualquier cambio estructural en Legacy o en el paquete SSIS (propiedad del cliente) se coordina y ejecuta del lado del cliente.</w:t>
      </w:r>
    </w:p>
    <w:p>
      <w:r>
        <w:pict>
          <v:rect style="width:0;height:1.5pt" o:hralign="center" o:hrstd="t" o:hr="t"/>
        </w:pict>
      </w:r>
    </w:p>
    <w:p>
      <w:pPr>
        <w:pStyle w:val="Heading1"/>
      </w:pPr>
      <w:r>
        <w:rPr>
          <w:b/>
          <w:bCs/>
        </w:rPr>
        <w:t xml:space="preserve">Visión general del diseño</w:t>
      </w:r>
    </w:p>
    <w:p>
      <w:pPr>
        <w:pStyle w:val="Heading2"/>
      </w:pPr>
      <w:r>
        <w:rPr>
          <w:b/>
          <w:bCs/>
        </w:rPr>
        <w:t xml:space="preserve">1. Objetivo técnico</w:t>
      </w:r>
    </w:p>
    <w:p>
      <w:pPr>
        <w:pStyle w:val="FirstParagraph"/>
      </w:pPr>
      <w:r>
        <w:t xml:space="preserve">Implementar la persistencia de la relación cliente-cuenta bancaria con Código Validador en la nueva tabla</w:t>
      </w:r>
      <w:r>
        <w:t xml:space="preserve"> </w:t>
      </w:r>
      <w:r>
        <w:rPr>
          <w:rStyle w:val="VerbatimChar"/>
        </w:rPr>
        <w:t xml:space="preserve">ClienteDatosBancarios</w:t>
      </w:r>
      <w:r>
        <w:t xml:space="preserve">, calcular y persistir la referencia bancaria resultante en</w:t>
      </w:r>
      <w:r>
        <w:t xml:space="preserve"> </w:t>
      </w:r>
      <w:r>
        <w:rPr>
          <w:rStyle w:val="VerbatimChar"/>
        </w:rPr>
        <w:t xml:space="preserve">ReferenciaVigente</w:t>
      </w:r>
      <w:r>
        <w:t xml:space="preserve"> </w:t>
      </w:r>
      <w:r>
        <w:t xml:space="preserve">al momento de asignar o actualizar la cuenta, mantenerla vigente ante cambios del nombre del cliente (regeneración en cascada, Flujo 3), y exponerla vía un endpoint de consulta para que RE-016 la lea y la case en la proforma. Se busca consistencia entre proformas y con el módulo Buzón de Pagos mediante un contrato de datos limpio (RE-006 produce y expone; RE-016 consume), sin que RE-006 modifique la fábrica de proformas.</w:t>
      </w:r>
    </w:p>
    <w:p>
      <w:pPr>
        <w:pStyle w:val="Heading2"/>
      </w:pPr>
      <w:r>
        <w:rPr>
          <w:b/>
          <w:bCs/>
        </w:rPr>
        <w:t xml:space="preserve">2. Componentes involucrados</w:t>
      </w:r>
    </w:p>
    <w:tbl>
      <w:tblPr>
        <w:tblStyle w:val="Table"/>
        <w:tblW w:type="pct" w:w="5000"/>
        <w:tblLayout w:type="fixed"/>
        <w:tblLook w:firstRow="1" w:lastRow="0" w:firstColumn="0" w:lastColumn="0" w:noHBand="0" w:noVBand="0" w:val="0020"/>
      </w:tblPr>
      <w:tblGrid>
        <w:gridCol w:w="1439"/>
        <w:gridCol w:w="1405"/>
        <w:gridCol w:w="4816"/>
        <w:gridCol w:w="1700"/>
      </w:tblGrid>
      <w:tr>
        <w:trPr>
          <w:tblHeader w:val="on"/>
        </w:trPr>
        <w:tc>
          <w:tcPr>
            <w:tcW w:w="1439" w:type="dxa"/>
            <w:shd w:val="clear" w:color="auto" w:fill="434343"/>
          </w:tcPr>
          <w:p>
            <w:pPr>
              <w:pStyle w:val="Compact"/>
              <w:jc w:val="left"/>
            </w:pPr>
            <w:r>
              <w:rPr>
                <w:b/>
                <w:color w:val="FFFFFF"/>
              </w:rPr>
              <w:t xml:space="preserve">Aplicativo</w:t>
            </w:r>
          </w:p>
        </w:tc>
        <w:tc>
          <w:tcPr>
            <w:tcW w:w="1405" w:type="dxa"/>
            <w:shd w:val="clear" w:color="auto" w:fill="434343"/>
          </w:tcPr>
          <w:p>
            <w:pPr>
              <w:pStyle w:val="Compact"/>
              <w:jc w:val="left"/>
            </w:pPr>
            <w:r>
              <w:rPr>
                <w:b/>
                <w:color w:val="FFFFFF"/>
              </w:rPr>
              <w:t xml:space="preserve">Componente</w:t>
            </w:r>
          </w:p>
        </w:tc>
        <w:tc>
          <w:tcPr>
            <w:tcW w:w="4816" w:type="dxa"/>
            <w:shd w:val="clear" w:color="auto" w:fill="434343"/>
          </w:tcPr>
          <w:p>
            <w:pPr>
              <w:pStyle w:val="Compact"/>
              <w:jc w:val="left"/>
            </w:pPr>
            <w:r>
              <w:rPr>
                <w:b/>
                <w:color w:val="FFFFFF"/>
              </w:rPr>
              <w:t xml:space="preserve">Responsabilidad</w:t>
            </w:r>
          </w:p>
        </w:tc>
        <w:tc>
          <w:tcPr>
            <w:tcW w:w="1700" w:type="dxa"/>
            <w:shd w:val="clear" w:color="auto" w:fill="434343"/>
          </w:tcPr>
          <w:p>
            <w:pPr>
              <w:pStyle w:val="Compact"/>
              <w:jc w:val="left"/>
            </w:pPr>
            <w:r>
              <w:rPr>
                <w:b/>
                <w:color w:val="FFFFFF"/>
              </w:rPr>
              <w:t xml:space="preserve">Ubicación</w:t>
            </w:r>
          </w:p>
        </w:tc>
      </w:tr>
      <w:tr>
        <w:tc>
          <w:tcPr>
            <w:tcW w:w="1439" w:type="dxa"/>
          </w:tcPr>
          <w:tcPr/>
          <w:p>
            <w:pPr>
              <w:pStyle w:val="Compact"/>
              <w:jc w:val="left"/>
            </w:pPr>
            <w:r>
              <w:t xml:space="preserve">ProquifaDotNet</w:t>
            </w:r>
          </w:p>
        </w:tc>
        <w:tc>
          <w:tcPr>
            <w:tcW w:w="1405" w:type="dxa"/>
          </w:tcPr>
          <w:tcPr/>
          <w:p>
            <w:pPr>
              <w:pStyle w:val="Compact"/>
              <w:jc w:val="left"/>
            </w:pPr>
            <w:r>
              <w:rPr>
                <w:rStyle w:val="VerbatimChar"/>
              </w:rPr>
              <w:t xml:space="preserve">ClienteDatosBancariosController</w:t>
            </w:r>
          </w:p>
        </w:tc>
        <w:tc>
          <w:tcPr>
            <w:tcW w:w="4816" w:type="dxa"/>
          </w:tcPr>
          <w:tcPr/>
          <w:p>
            <w:pPr>
              <w:pStyle w:val="Compact"/>
              <w:jc w:val="left"/>
            </w:pPr>
            <w:r>
              <w:t xml:space="preserve">Expone CRUD REST de asignaciones cliente-cuenta-CódigoValidador (alta, edición de Código Validador, baja)</w:t>
            </w:r>
          </w:p>
        </w:tc>
        <w:tc>
          <w:tcPr>
            <w:tcW w:w="1700" w:type="dxa"/>
          </w:tcPr>
          <w:tcPr/>
          <w:p>
            <w:pPr>
              <w:pStyle w:val="Compact"/>
              <w:jc w:val="left"/>
            </w:pPr>
            <w:r>
              <w:rPr>
                <w:rStyle w:val="VerbatimChar"/>
              </w:rPr>
              <w:t xml:space="preserve">WebApi.Catalogos\Controllers\Configuracion\Clientes\Relaciones\</w:t>
            </w:r>
          </w:p>
        </w:tc>
      </w:tr>
      <w:tr>
        <w:tc>
          <w:tcPr>
            <w:tcW w:w="1439" w:type="dxa"/>
          </w:tcPr>
          <w:tcPr/>
          <w:p>
            <w:pPr>
              <w:pStyle w:val="Compact"/>
              <w:jc w:val="left"/>
            </w:pPr>
            <w:r>
              <w:t xml:space="preserve">ProquifaDotNet</w:t>
            </w:r>
          </w:p>
        </w:tc>
        <w:tc>
          <w:tcPr>
            <w:tcW w:w="1405" w:type="dxa"/>
          </w:tcPr>
          <w:tcPr/>
          <w:p>
            <w:pPr>
              <w:pStyle w:val="Compact"/>
              <w:jc w:val="left"/>
            </w:pPr>
            <w:r>
              <w:rPr>
                <w:rStyle w:val="VerbatimChar"/>
              </w:rPr>
              <w:t xml:space="preserve">vClienteDatosBancariosController</w:t>
            </w:r>
          </w:p>
        </w:tc>
        <w:tc>
          <w:tcPr>
            <w:tcW w:w="4816" w:type="dxa"/>
          </w:tcPr>
          <w:tcPr/>
          <w:p>
            <w:pPr>
              <w:pStyle w:val="Compact"/>
              <w:jc w:val="left"/>
            </w:pPr>
            <w:r>
              <w:t xml:space="preserve">Endpoint de consulta con relaciones completas — proyección LINQ (</w:t>
            </w:r>
            <w:r>
              <w:rPr>
                <w:rStyle w:val="VerbatimChar"/>
              </w:rPr>
              <w:t xml:space="preserve">vClienteDatosBancariosBO</w:t>
            </w:r>
            <w:r>
              <w:t xml:space="preserve">), no vista SQL. Controller propio, separado del CRUD: son responsabilidades distintas (escritura vs. proyección de solo lectura), mismo criterio que</w:t>
            </w:r>
            <w:r>
              <w:t xml:space="preserve"> </w:t>
            </w:r>
            <w:r>
              <w:rPr>
                <w:rStyle w:val="VerbatimChar"/>
              </w:rPr>
              <w:t xml:space="preserve">EmpresaDatosBancariosBO</w:t>
            </w:r>
            <w:r>
              <w:t xml:space="preserve">/Controller vs. </w:t>
            </w:r>
            <w:r>
              <w:rPr>
                <w:rStyle w:val="VerbatimChar"/>
              </w:rPr>
              <w:t xml:space="preserve">vEmpresaDatosBancariosBO</w:t>
            </w:r>
            <w:r>
              <w:t xml:space="preserve">/Controller en el resto del ecosistema. La respuesta es un objeto plano con los campos mínimos de cada tabla relacionada (Cliente, Empresa, DatosBancarios, catMoneda, catBanco)</w:t>
            </w:r>
          </w:p>
        </w:tc>
        <w:tc>
          <w:tcPr>
            <w:tcW w:w="1700" w:type="dxa"/>
          </w:tcPr>
          <w:tcPr/>
          <w:p>
            <w:pPr>
              <w:pStyle w:val="Compact"/>
              <w:jc w:val="left"/>
            </w:pPr>
            <w:r>
              <w:rPr>
                <w:rStyle w:val="VerbatimChar"/>
              </w:rPr>
              <w:t xml:space="preserve">WebApi.Catalogos\Controllers\Configuracion\Clientes\Relaciones\</w:t>
            </w:r>
          </w:p>
        </w:tc>
      </w:tr>
      <w:tr>
        <w:tc>
          <w:tcPr>
            <w:tcW w:w="1439" w:type="dxa"/>
          </w:tcPr>
          <w:tcPr/>
          <w:p>
            <w:pPr>
              <w:pStyle w:val="Compact"/>
              <w:jc w:val="left"/>
            </w:pPr>
            <w:r>
              <w:t xml:space="preserve">ProquifaDotNet</w:t>
            </w:r>
          </w:p>
        </w:tc>
        <w:tc>
          <w:tcPr>
            <w:tcW w:w="1405" w:type="dxa"/>
          </w:tcPr>
          <w:tcPr/>
          <w:p>
            <w:pPr>
              <w:pStyle w:val="Compact"/>
              <w:jc w:val="left"/>
            </w:pPr>
            <w:r>
              <w:rPr>
                <w:rStyle w:val="VerbatimChar"/>
              </w:rPr>
              <w:t xml:space="preserve">ClienteDatosBancariosBO</w:t>
            </w:r>
          </w:p>
        </w:tc>
        <w:tc>
          <w:tcPr>
            <w:tcW w:w="4816" w:type="dxa"/>
          </w:tcPr>
          <w:tcPr/>
          <w:p>
            <w:pPr>
              <w:pStyle w:val="Compact"/>
              <w:jc w:val="left"/>
            </w:pPr>
            <w:r>
              <w:t xml:space="preserve">Lógica de persistencia: INSERT, UPDATE, DELETE lógico, GET; calcula</w:t>
            </w:r>
            <w:r>
              <w:t xml:space="preserve"> </w:t>
            </w:r>
            <w:r>
              <w:rPr>
                <w:rStyle w:val="VerbatimChar"/>
              </w:rPr>
              <w:t xml:space="preserve">ReferenciaVigente</w:t>
            </w:r>
            <w:r>
              <w:t xml:space="preserve"> </w:t>
            </w:r>
            <w:r>
              <w:t xml:space="preserve">en cada escritura</w:t>
            </w:r>
          </w:p>
        </w:tc>
        <w:tc>
          <w:tcPr>
            <w:tcW w:w="1700" w:type="dxa"/>
          </w:tcPr>
          <w:tcPr/>
          <w:p>
            <w:pPr>
              <w:pStyle w:val="Compact"/>
              <w:jc w:val="left"/>
            </w:pPr>
            <w:r>
              <w:rPr>
                <w:rStyle w:val="VerbatimChar"/>
              </w:rPr>
              <w:t xml:space="preserve">Logic.Pqf.Catalogos\Clientes\DatosBancarios\</w:t>
            </w:r>
          </w:p>
        </w:tc>
      </w:tr>
      <w:tr>
        <w:tc>
          <w:tcPr>
            <w:tcW w:w="1439" w:type="dxa"/>
          </w:tcPr>
          <w:tcPr/>
          <w:p>
            <w:pPr>
              <w:pStyle w:val="Compact"/>
              <w:jc w:val="left"/>
            </w:pPr>
            <w:r>
              <w:t xml:space="preserve">ProquifaDotNet</w:t>
            </w:r>
          </w:p>
        </w:tc>
        <w:tc>
          <w:tcPr>
            <w:tcW w:w="1405" w:type="dxa"/>
          </w:tcPr>
          <w:tcPr/>
          <w:p>
            <w:pPr>
              <w:pStyle w:val="Compact"/>
              <w:jc w:val="left"/>
            </w:pPr>
            <w:r>
              <w:rPr>
                <w:rStyle w:val="VerbatimChar"/>
              </w:rPr>
              <w:t xml:space="preserve">BankReferenceBO</w:t>
            </w:r>
          </w:p>
        </w:tc>
        <w:tc>
          <w:tcPr>
            <w:tcW w:w="4816" w:type="dxa"/>
          </w:tcPr>
          <w:tcPr/>
          <w:p>
            <w:pPr>
              <w:pStyle w:val="Compact"/>
              <w:jc w:val="left"/>
            </w:pPr>
            <w:r>
              <w:t xml:space="preserve">Algoritmo de construcción de referencia bancaria: Banamex (7 segmentos) y no-Banamex (Razón Social del cliente); invocado por</w:t>
            </w:r>
            <w:r>
              <w:t xml:space="preserve"> </w:t>
            </w:r>
            <w:r>
              <w:rPr>
                <w:rStyle w:val="VerbatimChar"/>
              </w:rPr>
              <w:t xml:space="preserve">ClienteDatosBancariosBO</w:t>
            </w:r>
          </w:p>
        </w:tc>
        <w:tc>
          <w:tcPr>
            <w:tcW w:w="1700" w:type="dxa"/>
          </w:tcPr>
          <w:tcPr/>
          <w:p>
            <w:pPr>
              <w:pStyle w:val="Compact"/>
              <w:jc w:val="left"/>
            </w:pPr>
            <w:r>
              <w:rPr>
                <w:rStyle w:val="VerbatimChar"/>
              </w:rPr>
              <w:t xml:space="preserve">Logic.Pqf.Catalogos\Clientes\DatosBancarios\</w:t>
            </w:r>
          </w:p>
        </w:tc>
      </w:tr>
      <w:tr>
        <w:tc>
          <w:tcPr>
            <w:tcW w:w="1439" w:type="dxa"/>
          </w:tcPr>
          <w:tcPr/>
          <w:p>
            <w:pPr>
              <w:pStyle w:val="Compact"/>
              <w:jc w:val="left"/>
            </w:pPr>
            <w:r>
              <w:t xml:space="preserve">RE-016 (Javi, no RE-006)</w:t>
            </w:r>
          </w:p>
        </w:tc>
        <w:tc>
          <w:tcPr>
            <w:tcW w:w="1405" w:type="dxa"/>
          </w:tcPr>
          <w:tcPr/>
          <w:p>
            <w:pPr>
              <w:pStyle w:val="Compact"/>
              <w:jc w:val="left"/>
            </w:pPr>
            <w:r>
              <w:rPr>
                <w:rStyle w:val="VerbatimChar"/>
              </w:rPr>
              <w:t xml:space="preserve">tpProformaPedidoFactory</w:t>
            </w:r>
          </w:p>
        </w:tc>
        <w:tc>
          <w:tcPr>
            <w:tcW w:w="4816" w:type="dxa"/>
          </w:tcPr>
          <w:tcPr/>
          <w:p>
            <w:pPr>
              <w:pStyle w:val="Compact"/>
              <w:jc w:val="left"/>
            </w:pPr>
            <w:r>
              <w:rPr>
                <w:b/>
                <w:bCs/>
              </w:rPr>
              <w:t xml:space="preserve">Consumidor</w:t>
            </w:r>
            <w:r>
              <w:t xml:space="preserve"> </w:t>
            </w:r>
            <w:r>
              <w:t xml:space="preserve">— llama al endpoint de RE-006 y casa la referencia en</w:t>
            </w:r>
            <w:r>
              <w:t xml:space="preserve"> </w:t>
            </w:r>
            <w:r>
              <w:rPr>
                <w:rStyle w:val="VerbatimChar"/>
              </w:rPr>
              <w:t xml:space="preserve">ReferenciaPago</w:t>
            </w:r>
            <w:r>
              <w:t xml:space="preserve">. Desde v1.6 RE-006</w:t>
            </w:r>
            <w:r>
              <w:t xml:space="preserve"> </w:t>
            </w:r>
            <w:r>
              <w:rPr>
                <w:b/>
                <w:bCs/>
              </w:rPr>
              <w:t xml:space="preserve">NO</w:t>
            </w:r>
            <w:r>
              <w:t xml:space="preserve"> </w:t>
            </w:r>
            <w:r>
              <w:t xml:space="preserve">lo modifica; vive en la solución</w:t>
            </w:r>
            <w:r>
              <w:t xml:space="preserve"> </w:t>
            </w:r>
            <w:r>
              <w:rPr>
                <w:rStyle w:val="VerbatimChar"/>
              </w:rPr>
              <w:t xml:space="preserve">Finanzas</w:t>
            </w:r>
            <w:r>
              <w:t xml:space="preserve">, no en</w:t>
            </w:r>
            <w:r>
              <w:t xml:space="preserve"> </w:t>
            </w:r>
            <w:r>
              <w:rPr>
                <w:rStyle w:val="VerbatimChar"/>
              </w:rPr>
              <w:t xml:space="preserve">Logistica</w:t>
            </w:r>
          </w:p>
        </w:tc>
        <w:tc>
          <w:tcPr>
            <w:tcW w:w="1700" w:type="dxa"/>
          </w:tcPr>
          <w:tcPr/>
          <w:p>
            <w:pPr>
              <w:pStyle w:val="Compact"/>
              <w:jc w:val="left"/>
            </w:pPr>
            <w:r>
              <w:t xml:space="preserve">(RE-016)</w:t>
            </w:r>
            <w:r>
              <w:t xml:space="preserve"> </w:t>
            </w:r>
            <w:r>
              <w:rPr>
                <w:rStyle w:val="VerbatimChar"/>
              </w:rPr>
              <w:t xml:space="preserve">ProquifaDotNet.Finanzas</w:t>
            </w:r>
          </w:p>
        </w:tc>
      </w:tr>
      <w:tr>
        <w:tc>
          <w:tcPr>
            <w:tcW w:w="1439" w:type="dxa"/>
          </w:tcPr>
          <w:tcPr/>
          <w:p>
            <w:pPr>
              <w:pStyle w:val="Compact"/>
              <w:jc w:val="left"/>
            </w:pPr>
            <w:r>
              <w:t xml:space="preserve">ProquifaDotNet</w:t>
            </w:r>
          </w:p>
        </w:tc>
        <w:tc>
          <w:tcPr>
            <w:tcW w:w="1405" w:type="dxa"/>
          </w:tcPr>
          <w:tcPr/>
          <w:p>
            <w:pPr>
              <w:pStyle w:val="Compact"/>
              <w:jc w:val="left"/>
            </w:pPr>
            <w:r>
              <w:rPr>
                <w:rStyle w:val="VerbatimChar"/>
              </w:rPr>
              <w:t xml:space="preserve">ClienteBO</w:t>
            </w:r>
            <w:r>
              <w:t xml:space="preserve"> </w:t>
            </w:r>
            <w:r>
              <w:t xml:space="preserve">(hook, Flujo 3)</w:t>
            </w:r>
          </w:p>
        </w:tc>
        <w:tc>
          <w:tcPr>
            <w:tcW w:w="4816" w:type="dxa"/>
          </w:tcPr>
          <w:tcPr/>
          <w:p>
            <w:pPr>
              <w:pStyle w:val="Compact"/>
              <w:jc w:val="left"/>
            </w:pPr>
            <w:r>
              <w:t xml:space="preserve">Regeneración en cascada: si cambia</w:t>
            </w:r>
            <w:r>
              <w:t xml:space="preserve"> </w:t>
            </w:r>
            <w:r>
              <w:rPr>
                <w:rStyle w:val="VerbatimChar"/>
              </w:rPr>
              <w:t xml:space="preserve">Cliente.Nombre</w:t>
            </w:r>
            <w:r>
              <w:t xml:space="preserve">, recalcula</w:t>
            </w:r>
            <w:r>
              <w:t xml:space="preserve"> </w:t>
            </w:r>
            <w:r>
              <w:rPr>
                <w:rStyle w:val="VerbatimChar"/>
              </w:rPr>
              <w:t xml:space="preserve">ReferenciaVigente</w:t>
            </w:r>
            <w:r>
              <w:t xml:space="preserve"> </w:t>
            </w:r>
            <w:r>
              <w:t xml:space="preserve">de todas las asignaciones activas del cliente en la misma transacción (RF-15)</w:t>
            </w:r>
          </w:p>
        </w:tc>
        <w:tc>
          <w:tcPr>
            <w:tcW w:w="1700" w:type="dxa"/>
          </w:tcPr>
          <w:tcPr/>
          <w:p>
            <w:pPr>
              <w:pStyle w:val="Compact"/>
              <w:jc w:val="left"/>
            </w:pPr>
            <w:r>
              <w:rPr>
                <w:rStyle w:val="VerbatimChar"/>
              </w:rPr>
              <w:t xml:space="preserve">Logic.Pqf.Catalogos\Clientes\</w:t>
            </w:r>
          </w:p>
        </w:tc>
      </w:tr>
      <w:tr>
        <w:tc>
          <w:tcPr>
            <w:tcW w:w="1439" w:type="dxa"/>
          </w:tcPr>
          <w:tcPr/>
          <w:p>
            <w:pPr>
              <w:pStyle w:val="Compact"/>
              <w:jc w:val="left"/>
            </w:pPr>
            <w:r>
              <w:t xml:space="preserve">Existente, reutilizado (ajeno a RE-006)</w:t>
            </w:r>
          </w:p>
        </w:tc>
        <w:tc>
          <w:tcPr>
            <w:tcW w:w="1405" w:type="dxa"/>
          </w:tcPr>
          <w:tcPr/>
          <w:p>
            <w:pPr>
              <w:pStyle w:val="Compact"/>
              <w:jc w:val="left"/>
            </w:pPr>
            <w:r>
              <w:rPr>
                <w:rStyle w:val="VerbatimChar"/>
              </w:rPr>
              <w:t xml:space="preserve">vEmpresaDatosBancarios</w:t>
            </w:r>
          </w:p>
        </w:tc>
        <w:tc>
          <w:tcPr>
            <w:tcW w:w="4816" w:type="dxa"/>
          </w:tcPr>
          <w:tcPr/>
          <w:p>
            <w:pPr>
              <w:pStyle w:val="Compact"/>
              <w:jc w:val="left"/>
            </w:pPr>
            <w:r>
              <w:t xml:space="preserve">Selector de Cuenta de la pantalla</w:t>
            </w:r>
            <w:r>
              <w:t xml:space="preserve"> </w:t>
            </w:r>
            <w:r>
              <w:t xml:space="preserve">“Referencia de Pago”</w:t>
            </w:r>
            <w:r>
              <w:t xml:space="preserve"> </w:t>
            </w:r>
            <w:r>
              <w:t xml:space="preserve">— catálogo de cuentas bancarias del grupo PROQUIFA. Vista + BO + controller ya construidos por otro desarrollo; RE-006 lo consume tal cual, sin código nuevo. Estructura real (verificada live 29-jun):</w:t>
            </w:r>
            <w:r>
              <w:t xml:space="preserve"> </w:t>
            </w:r>
            <w:r>
              <w:rPr>
                <w:rStyle w:val="VerbatimChar"/>
              </w:rPr>
              <w:t xml:space="preserve">EmpresaDatosBancarios</w:t>
            </w:r>
            <w:r>
              <w:t xml:space="preserve"> </w:t>
            </w:r>
            <w:r>
              <w:t xml:space="preserve">es junction (</w:t>
            </w:r>
            <w:r>
              <w:rPr>
                <w:rStyle w:val="VerbatimChar"/>
              </w:rPr>
              <w:t xml:space="preserve">IdEmpresaDatosBancarios</w:t>
            </w:r>
            <w:r>
              <w:t xml:space="preserve">,</w:t>
            </w:r>
            <w:r>
              <w:t xml:space="preserve"> </w:t>
            </w:r>
            <w:r>
              <w:rPr>
                <w:rStyle w:val="VerbatimChar"/>
              </w:rPr>
              <w:t xml:space="preserve">IdDatosBancarios</w:t>
            </w:r>
            <w:r>
              <w:t xml:space="preserve">,</w:t>
            </w:r>
            <w:r>
              <w:t xml:space="preserve"> </w:t>
            </w:r>
            <w:r>
              <w:rPr>
                <w:rStyle w:val="VerbatimChar"/>
              </w:rPr>
              <w:t xml:space="preserve">IdEmpresa</w:t>
            </w:r>
            <w:r>
              <w:t xml:space="preserve">,</w:t>
            </w:r>
            <w:r>
              <w:t xml:space="preserve"> </w:t>
            </w:r>
            <w:r>
              <w:rPr>
                <w:rStyle w:val="VerbatimChar"/>
              </w:rPr>
              <w:t xml:space="preserve">Activo</w:t>
            </w:r>
            <w:r>
              <w:t xml:space="preserve">); el detalle de cuenta (</w:t>
            </w:r>
            <w:r>
              <w:rPr>
                <w:rStyle w:val="VerbatimChar"/>
              </w:rPr>
              <w:t xml:space="preserve">NumeroDeCuenta</w:t>
            </w:r>
            <w:r>
              <w:t xml:space="preserve">,</w:t>
            </w:r>
            <w:r>
              <w:t xml:space="preserve"> </w:t>
            </w:r>
            <w:r>
              <w:rPr>
                <w:rStyle w:val="VerbatimChar"/>
              </w:rPr>
              <w:t xml:space="preserve">Beneficiario</w:t>
            </w:r>
            <w:r>
              <w:t xml:space="preserve">,</w:t>
            </w:r>
            <w:r>
              <w:t xml:space="preserve"> </w:t>
            </w:r>
            <w:r>
              <w:rPr>
                <w:rStyle w:val="VerbatimChar"/>
              </w:rPr>
              <w:t xml:space="preserve">Sucursal</w:t>
            </w:r>
            <w:r>
              <w:t xml:space="preserve">,</w:t>
            </w:r>
            <w:r>
              <w:t xml:space="preserve"> </w:t>
            </w:r>
            <w:r>
              <w:rPr>
                <w:rStyle w:val="VerbatimChar"/>
              </w:rPr>
              <w:t xml:space="preserve">Clabe</w:t>
            </w:r>
            <w:r>
              <w:t xml:space="preserve">,</w:t>
            </w:r>
            <w:r>
              <w:t xml:space="preserve"> </w:t>
            </w:r>
            <w:r>
              <w:rPr>
                <w:rStyle w:val="VerbatimChar"/>
              </w:rPr>
              <w:t xml:space="preserve">IdCatMoneda</w:t>
            </w:r>
            <w:r>
              <w:t xml:space="preserve">,</w:t>
            </w:r>
            <w:r>
              <w:t xml:space="preserve"> </w:t>
            </w:r>
            <w:r>
              <w:rPr>
                <w:rStyle w:val="VerbatimChar"/>
              </w:rPr>
              <w:t xml:space="preserve">NumeroTarjeta</w:t>
            </w:r>
            <w:r>
              <w:t xml:space="preserve">) vive en</w:t>
            </w:r>
            <w:r>
              <w:t xml:space="preserve"> </w:t>
            </w:r>
            <w:r>
              <w:rPr>
                <w:rStyle w:val="VerbatimChar"/>
              </w:rPr>
              <w:t xml:space="preserve">DatosBancarios</w:t>
            </w:r>
          </w:p>
        </w:tc>
        <w:tc>
          <w:tcPr>
            <w:tcW w:w="1700" w:type="dxa"/>
          </w:tcPr>
          <w:tcPr/>
          <w:p>
            <w:pPr>
              <w:pStyle w:val="Compact"/>
              <w:jc w:val="left"/>
            </w:pPr>
            <w:r>
              <w:rPr>
                <w:rStyle w:val="VerbatimChar"/>
              </w:rPr>
              <w:t xml:space="preserve">Logic.Pqf.Catalogos\Cuentas\</w:t>
            </w:r>
            <w:r>
              <w:t xml:space="preserve"> </w:t>
            </w:r>
            <w:r>
              <w:t xml:space="preserve">(no modificado por RE-006)</w:t>
            </w:r>
          </w:p>
        </w:tc>
      </w:tr>
      <w:tr>
        <w:tc>
          <w:tcPr>
            <w:tcW w:w="1439" w:type="dxa"/>
          </w:tcPr>
          <w:tcPr/>
          <w:p>
            <w:pPr>
              <w:pStyle w:val="Compact"/>
              <w:jc w:val="left"/>
            </w:pPr>
            <w:r>
              <w:t xml:space="preserve">Existente, reutilizado (catálogo genérico)</w:t>
            </w:r>
          </w:p>
        </w:tc>
        <w:tc>
          <w:tcPr>
            <w:tcW w:w="1405" w:type="dxa"/>
          </w:tcPr>
          <w:tcPr/>
          <w:p>
            <w:pPr>
              <w:pStyle w:val="Compact"/>
              <w:jc w:val="left"/>
            </w:pPr>
            <w:r>
              <w:rPr>
                <w:rStyle w:val="VerbatimChar"/>
              </w:rPr>
              <w:t xml:space="preserve">catBanco</w:t>
            </w:r>
          </w:p>
        </w:tc>
        <w:tc>
          <w:tcPr>
            <w:tcW w:w="4816" w:type="dxa"/>
          </w:tcPr>
          <w:tcPr/>
          <w:p>
            <w:pPr>
              <w:pStyle w:val="Compact"/>
              <w:jc w:val="left"/>
            </w:pPr>
            <w:r>
              <w:t xml:space="preserve">Selector de Banco de la pantalla</w:t>
            </w:r>
            <w:r>
              <w:t xml:space="preserve"> </w:t>
            </w:r>
            <w:r>
              <w:t xml:space="preserve">“Referencia de Pago”</w:t>
            </w:r>
            <w:r>
              <w:t xml:space="preserve"> </w:t>
            </w:r>
            <w:r>
              <w:t xml:space="preserve">— catálogo genérico ya existente (</w:t>
            </w:r>
            <w:r>
              <w:rPr>
                <w:rStyle w:val="VerbatimChar"/>
              </w:rPr>
              <w:t xml:space="preserve">IdCatBanco</w:t>
            </w:r>
            <w:r>
              <w:t xml:space="preserve">,</w:t>
            </w:r>
            <w:r>
              <w:t xml:space="preserve"> </w:t>
            </w:r>
            <w:r>
              <w:rPr>
                <w:rStyle w:val="VerbatimChar"/>
              </w:rPr>
              <w:t xml:space="preserve">Banco</w:t>
            </w:r>
            <w:r>
              <w:t xml:space="preserve">,</w:t>
            </w:r>
            <w:r>
              <w:t xml:space="preserve"> </w:t>
            </w:r>
            <w:r>
              <w:rPr>
                <w:rStyle w:val="VerbatimChar"/>
              </w:rPr>
              <w:t xml:space="preserve">Clave</w:t>
            </w:r>
            <w:r>
              <w:t xml:space="preserve">,</w:t>
            </w:r>
            <w:r>
              <w:t xml:space="preserve"> </w:t>
            </w:r>
            <w:r>
              <w:rPr>
                <w:rStyle w:val="VerbatimChar"/>
              </w:rPr>
              <w:t xml:space="preserve">RequiereCodigoValidador</w:t>
            </w:r>
            <w:r>
              <w:t xml:space="preserve">); RE-006 lo consume directo, sin endpoint propio</w:t>
            </w:r>
          </w:p>
        </w:tc>
        <w:tc>
          <w:tcPr>
            <w:tcW w:w="1700" w:type="dxa"/>
          </w:tcPr>
          <w:tcPr/>
          <w:p>
            <w:pPr>
              <w:pStyle w:val="Compact"/>
              <w:jc w:val="left"/>
            </w:pPr>
            <w:r>
              <w:t xml:space="preserve">Catálogo genérico existente (fuera del alcance de desarrollo de RE-006)</w:t>
            </w:r>
          </w:p>
        </w:tc>
      </w:tr>
      <w:tr>
        <w:tc>
          <w:tcPr>
            <w:tcW w:w="1439" w:type="dxa"/>
          </w:tcPr>
          <w:tcPr/>
          <w:p>
            <w:pPr>
              <w:pStyle w:val="Compact"/>
              <w:jc w:val="left"/>
            </w:pPr>
            <w:r>
              <w:t xml:space="preserve">BD ProquifaDotNet</w:t>
            </w:r>
          </w:p>
        </w:tc>
        <w:tc>
          <w:tcPr>
            <w:tcW w:w="1405" w:type="dxa"/>
          </w:tcPr>
          <w:tcPr/>
          <w:p>
            <w:pPr>
              <w:pStyle w:val="Compact"/>
              <w:jc w:val="left"/>
            </w:pPr>
            <w:r>
              <w:rPr>
                <w:rStyle w:val="VerbatimChar"/>
              </w:rPr>
              <w:t xml:space="preserve">dbo.ClienteDatosBancarios</w:t>
            </w:r>
          </w:p>
        </w:tc>
        <w:tc>
          <w:tcPr>
            <w:tcW w:w="4816" w:type="dxa"/>
          </w:tcPr>
          <w:tcPr/>
          <w:p>
            <w:pPr>
              <w:pStyle w:val="Compact"/>
              <w:jc w:val="left"/>
            </w:pPr>
            <w:r>
              <w:t xml:space="preserve">Tabla nueva — relación N:N</w:t>
            </w:r>
            <w:r>
              <w:t xml:space="preserve"> </w:t>
            </w:r>
            <w:r>
              <w:rPr>
                <w:rStyle w:val="VerbatimChar"/>
              </w:rPr>
              <w:t xml:space="preserve">Cliente</w:t>
            </w:r>
            <w:r>
              <w:t xml:space="preserve"> </w:t>
            </w:r>
            <w:r>
              <w:t xml:space="preserve">↔</w:t>
            </w:r>
            <w:r>
              <w:t xml:space="preserve"> </w:t>
            </w:r>
            <w:r>
              <w:rPr>
                <w:rStyle w:val="VerbatimChar"/>
              </w:rPr>
              <w:t xml:space="preserve">EmpresaDatosBancarios</w:t>
            </w:r>
            <w:r>
              <w:t xml:space="preserve"> </w:t>
            </w:r>
            <w:r>
              <w:t xml:space="preserve">con</w:t>
            </w:r>
            <w:r>
              <w:t xml:space="preserve"> </w:t>
            </w:r>
            <w:r>
              <w:rPr>
                <w:rStyle w:val="VerbatimChar"/>
              </w:rPr>
              <w:t xml:space="preserve">CodigoValidador</w:t>
            </w:r>
            <w:r>
              <w:t xml:space="preserve">,</w:t>
            </w:r>
            <w:r>
              <w:t xml:space="preserve"> </w:t>
            </w:r>
            <w:r>
              <w:rPr>
                <w:rStyle w:val="VerbatimChar"/>
              </w:rPr>
              <w:t xml:space="preserve">ReferenciaVigente</w:t>
            </w:r>
            <w:r>
              <w:t xml:space="preserve"> </w:t>
            </w:r>
            <w:r>
              <w:t xml:space="preserve">e historial de último cambio</w:t>
            </w:r>
          </w:p>
        </w:tc>
        <w:tc>
          <w:tcPr>
            <w:tcW w:w="1700" w:type="dxa"/>
          </w:tcPr>
          <w:tcPr/>
          <w:p>
            <w:pPr>
              <w:pStyle w:val="Compact"/>
              <w:jc w:val="left"/>
            </w:pPr>
            <w:r>
              <w:t xml:space="preserve">BD ProquifaDotNet</w:t>
            </w:r>
          </w:p>
        </w:tc>
      </w:tr>
      <w:tr>
        <w:tc>
          <w:tcPr>
            <w:tcW w:w="1439" w:type="dxa"/>
          </w:tcPr>
          <w:tcPr/>
          <w:p>
            <w:pPr>
              <w:pStyle w:val="Compact"/>
              <w:jc w:val="left"/>
            </w:pPr>
            <w:r>
              <w:t xml:space="preserve">PConnect (Legacy)</w:t>
            </w:r>
          </w:p>
        </w:tc>
        <w:tc>
          <w:tcPr>
            <w:tcW w:w="1405" w:type="dxa"/>
          </w:tcPr>
          <w:tcPr/>
          <w:p>
            <w:pPr>
              <w:pStyle w:val="Compact"/>
              <w:jc w:val="left"/>
            </w:pPr>
            <w:r>
              <w:rPr>
                <w:rStyle w:val="VerbatimChar"/>
              </w:rPr>
              <w:t xml:space="preserve">CuentaCliente</w:t>
            </w:r>
          </w:p>
        </w:tc>
        <w:tc>
          <w:tcPr>
            <w:tcW w:w="4816" w:type="dxa"/>
          </w:tcPr>
          <w:tcPr/>
          <w:p>
            <w:pPr>
              <w:pStyle w:val="Compact"/>
              <w:jc w:val="left"/>
            </w:pPr>
            <w:r>
              <w:t xml:space="preserve">Fuente de datos para la migración inicial (script SQL, Flujo A) de RE-006 (asignaciones cliente-cuenta +</w:t>
            </w:r>
            <w:r>
              <w:t xml:space="preserve"> </w:t>
            </w:r>
            <w:r>
              <w:rPr>
                <w:rStyle w:val="VerbatimChar"/>
              </w:rPr>
              <w:t xml:space="preserve">CodValidador</w:t>
            </w:r>
            <w:r>
              <w:t xml:space="preserve">) — tabla en BD Legacy, solo lectura.</w:t>
            </w:r>
            <w:r>
              <w:t xml:space="preserve"> </w:t>
            </w:r>
            <w:r>
              <w:rPr>
                <w:rStyle w:val="VerbatimChar"/>
              </w:rPr>
              <w:t xml:space="preserve">CuentaBanco</w:t>
            </w:r>
            <w:r>
              <w:t xml:space="preserve"> </w:t>
            </w:r>
            <w:r>
              <w:t xml:space="preserve">corresponde a la migración de</w:t>
            </w:r>
            <w:r>
              <w:t xml:space="preserve"> </w:t>
            </w:r>
            <w:r>
              <w:rPr>
                <w:rStyle w:val="VerbatimChar"/>
              </w:rPr>
              <w:t xml:space="preserve">EmpresaDatosBancarios</w:t>
            </w:r>
            <w:r>
              <w:t xml:space="preserve"> </w:t>
            </w:r>
            <w:r>
              <w:t xml:space="preserve">(RE-FU-001), no a RE-006.</w:t>
            </w:r>
          </w:p>
        </w:tc>
        <w:tc>
          <w:tcPr>
            <w:tcW w:w="1700" w:type="dxa"/>
          </w:tcPr>
          <w:tcPr/>
          <w:p>
            <w:pPr>
              <w:pStyle w:val="Compact"/>
              <w:jc w:val="left"/>
            </w:pPr>
            <w:r>
              <w:t xml:space="preserve">BD PConnect</w:t>
            </w:r>
          </w:p>
        </w:tc>
      </w:tr>
      <w:tr>
        <w:tc>
          <w:tcPr>
            <w:tcW w:w="1439" w:type="dxa"/>
          </w:tcPr>
          <w:tcPr/>
          <w:p>
            <w:pPr>
              <w:pStyle w:val="Compact"/>
              <w:jc w:val="left"/>
            </w:pPr>
            <w:r>
              <w:t xml:space="preserve">Script SQL (Flujo A)</w:t>
            </w:r>
          </w:p>
        </w:tc>
        <w:tc>
          <w:tcPr>
            <w:tcW w:w="1405" w:type="dxa"/>
          </w:tcPr>
          <w:tcPr/>
          <w:p>
            <w:pPr>
              <w:pStyle w:val="Compact"/>
              <w:jc w:val="left"/>
            </w:pPr>
            <w:r>
              <w:t xml:space="preserve">Migración inicial RE-006</w:t>
            </w:r>
          </w:p>
        </w:tc>
        <w:tc>
          <w:tcPr>
            <w:tcW w:w="4816" w:type="dxa"/>
          </w:tcPr>
          <w:tcPr/>
          <w:p>
            <w:pPr>
              <w:pStyle w:val="Compact"/>
              <w:jc w:val="left"/>
            </w:pPr>
            <w:r>
              <w:t xml:space="preserve">Migra asignaciones cliente-cuenta + CódigoValidador de PConnect a</w:t>
            </w:r>
            <w:r>
              <w:t xml:space="preserve"> </w:t>
            </w:r>
            <w:r>
              <w:rPr>
                <w:rStyle w:val="VerbatimChar"/>
              </w:rPr>
              <w:t xml:space="preserve">ClienteDatosBancarios</w:t>
            </w:r>
            <w:r>
              <w:t xml:space="preserve"> </w:t>
            </w:r>
            <w:r>
              <w:t xml:space="preserve">en PQF2 — una sola ejecución, no SSIS (comentario JD)</w:t>
            </w:r>
          </w:p>
        </w:tc>
        <w:tc>
          <w:tcPr>
            <w:tcW w:w="1700" w:type="dxa"/>
          </w:tcPr>
          <w:tcPr/>
          <w:p>
            <w:pPr>
              <w:pStyle w:val="Compact"/>
              <w:jc w:val="left"/>
            </w:pPr>
            <w:r>
              <w:t xml:space="preserve">BD ProquifaDotNet</w:t>
            </w:r>
          </w:p>
        </w:tc>
      </w:tr>
      <w:tr>
        <w:tc>
          <w:tcPr>
            <w:tcW w:w="1439" w:type="dxa"/>
          </w:tcPr>
          <w:tcPr/>
          <w:p>
            <w:pPr>
              <w:pStyle w:val="Compact"/>
              <w:jc w:val="left"/>
            </w:pPr>
            <w:r>
              <w:t xml:space="preserve">SSIS (Flujo B, existente, del cliente)</w:t>
            </w:r>
          </w:p>
        </w:tc>
        <w:tc>
          <w:tcPr>
            <w:tcW w:w="1405" w:type="dxa"/>
          </w:tcPr>
          <w:tcPr/>
          <w:p>
            <w:pPr>
              <w:pStyle w:val="Compact"/>
              <w:jc w:val="left"/>
            </w:pPr>
            <w:r>
              <w:t xml:space="preserve">Sincronización ongoing</w:t>
            </w:r>
          </w:p>
        </w:tc>
        <w:tc>
          <w:tcPr>
            <w:tcW w:w="4816" w:type="dxa"/>
          </w:tcPr>
          <w:tcPr/>
          <w:p>
            <w:pPr>
              <w:pStyle w:val="Compact"/>
              <w:jc w:val="left"/>
            </w:pPr>
            <w:r>
              <w:t xml:space="preserve">Transfiere cambios PQF2 → Legacy;</w:t>
            </w:r>
            <w:r>
              <w:t xml:space="preserve"> </w:t>
            </w:r>
            <w:r>
              <w:rPr>
                <w:b/>
                <w:bCs/>
              </w:rPr>
              <w:t xml:space="preserve">propiedad del cliente</w:t>
            </w:r>
            <w:r>
              <w:t xml:space="preserve">, se extiende con campos RE-006 mapeando a columnas Legacy existentes (sin</w:t>
            </w:r>
            <w:r>
              <w:t xml:space="preserve"> </w:t>
            </w:r>
            <w:r>
              <w:rPr>
                <w:rStyle w:val="VerbatimChar"/>
              </w:rPr>
              <w:t xml:space="preserve">ALTER TABLE</w:t>
            </w:r>
            <w:r>
              <w:t xml:space="preserve">)</w:t>
            </w:r>
          </w:p>
        </w:tc>
        <w:tc>
          <w:tcPr>
            <w:tcW w:w="1700" w:type="dxa"/>
          </w:tcPr>
          <w:tcPr/>
          <w:p>
            <w:pPr>
              <w:pStyle w:val="Compact"/>
              <w:jc w:val="left"/>
            </w:pPr>
            <w:r>
              <w:t xml:space="preserve">PConnect / SSIS</w:t>
            </w:r>
          </w:p>
        </w:tc>
      </w:tr>
      <w:tr>
        <w:tc>
          <w:tcPr>
            <w:tcW w:w="1439" w:type="dxa"/>
          </w:tcPr>
          <w:tcPr/>
          <w:p>
            <w:pPr>
              <w:pStyle w:val="Compact"/>
              <w:jc w:val="left"/>
            </w:pPr>
            <w:r>
              <w:t xml:space="preserve">Aplicativo de Bitácora (externo, nuevo)</w:t>
            </w:r>
          </w:p>
        </w:tc>
        <w:tc>
          <w:tcPr>
            <w:tcW w:w="1405" w:type="dxa"/>
          </w:tcPr>
          <w:tcPr/>
          <w:p>
            <w:pPr>
              <w:pStyle w:val="Compact"/>
              <w:jc w:val="left"/>
            </w:pPr>
            <w:r>
              <w:t xml:space="preserve">Evento de auditoría</w:t>
            </w:r>
          </w:p>
        </w:tc>
        <w:tc>
          <w:tcPr>
            <w:tcW w:w="4816" w:type="dxa"/>
          </w:tcPr>
          <w:tcPr/>
          <w:p>
            <w:pPr>
              <w:pStyle w:val="Compact"/>
              <w:jc w:val="left"/>
            </w:pPr>
            <w:r>
              <w:t xml:space="preserve">RE-006</w:t>
            </w:r>
            <w:r>
              <w:t xml:space="preserve"> </w:t>
            </w:r>
            <w:r>
              <w:rPr>
                <w:b/>
                <w:bCs/>
              </w:rPr>
              <w:t xml:space="preserve">publica un evento</w:t>
            </w:r>
            <w:r>
              <w:t xml:space="preserve"> </w:t>
            </w:r>
            <w:r>
              <w:t xml:space="preserve">hacia el aplicativo de Bitácora tras cada alta/baja/modificación de asignación o</w:t>
            </w:r>
            <w:r>
              <w:t xml:space="preserve"> </w:t>
            </w:r>
            <w:r>
              <w:rPr>
                <w:rStyle w:val="VerbatimChar"/>
              </w:rPr>
              <w:t xml:space="preserve">CodigoValidador</w:t>
            </w:r>
            <w:r>
              <w:t xml:space="preserve">.</w:t>
            </w:r>
            <w:r>
              <w:t xml:space="preserve"> </w:t>
            </w:r>
            <w:r>
              <w:rPr>
                <w:highlight w:val="yellow"/>
              </w:rPr>
              <w:t xml:space="preserve">Firma del endpoint/contrato del evento pendiente de definir</w:t>
            </w:r>
            <w:r>
              <w:t xml:space="preserve"> </w:t>
            </w:r>
            <w:r>
              <w:t xml:space="preserve">— propuesta aprobada; infra y endpoints por detallar; sólo se sabe que es por eventos</w:t>
            </w:r>
          </w:p>
        </w:tc>
        <w:tc>
          <w:tcPr>
            <w:tcW w:w="1700" w:type="dxa"/>
          </w:tcPr>
          <w:tcPr/>
          <w:p>
            <w:pPr>
              <w:pStyle w:val="Compact"/>
              <w:jc w:val="left"/>
            </w:pPr>
            <w:r>
              <w:t xml:space="preserve">Externo (aplicativo de Bitácora)</w:t>
            </w:r>
          </w:p>
        </w:tc>
      </w:tr>
    </w:tbl>
    <w:p>
      <w:r>
        <w:pict>
          <v:rect style="width:0;height:1.5pt" o:hralign="center" o:hrstd="t" o:hr="t"/>
        </w:pict>
      </w:r>
    </w:p>
    <w:p>
      <w:pPr>
        <w:pStyle w:val="Heading1"/>
      </w:pPr>
      <w:r>
        <w:rPr>
          <w:b/>
          <w:bCs/>
        </w:rPr>
        <w:t xml:space="preserve">Diseño funcional detallado</w:t>
      </w:r>
    </w:p>
    <w:p>
      <w:pPr>
        <w:pStyle w:val="Heading2"/>
      </w:pPr>
      <w:r>
        <w:rPr>
          <w:b/>
          <w:bCs/>
        </w:rPr>
        <w:t xml:space="preserve">1. Flujo 1 — Asignación de cuenta bancaria al cliente (CREATE / UPDATE)</w:t>
      </w:r>
    </w:p>
    <w:p>
      <w:pPr>
        <w:pStyle w:val="FirstParagraph"/>
      </w:pPr>
      <w:r>
        <w:t xml:space="preserve">Flujo iniciado desde Frontend cuando el usuario guarda una asignación nueva o modifica una existente en la sub-sección</w:t>
      </w:r>
      <w:r>
        <w:t xml:space="preserve"> </w:t>
      </w:r>
      <w:r>
        <w:t xml:space="preserve">“Referencia de Pago”</w:t>
      </w:r>
      <w:r>
        <w:t xml:space="preserve"> </w:t>
      </w:r>
      <w:r>
        <w:t xml:space="preserve">del Catálogo de Clientes.</w:t>
      </w:r>
    </w:p>
    <w:p>
      <w:pPr>
        <w:pStyle w:val="Compact"/>
        <w:numPr>
          <w:ilvl w:val="0"/>
          <w:numId w:val="1004"/>
        </w:numPr>
      </w:pPr>
      <w:r>
        <w:t xml:space="preserve">El Frontend realiza</w:t>
      </w:r>
      <w:r>
        <w:t xml:space="preserve"> </w:t>
      </w:r>
      <w:r>
        <w:rPr>
          <w:rStyle w:val="VerbatimChar"/>
        </w:rPr>
        <w:t xml:space="preserve">PUT /ClienteDatosBancarios</w:t>
      </w:r>
      <w:r>
        <w:t xml:space="preserve"> </w:t>
      </w:r>
      <w:r>
        <w:t xml:space="preserve">(nueva asignación) o</w:t>
      </w:r>
      <w:r>
        <w:t xml:space="preserve"> </w:t>
      </w:r>
      <w:r>
        <w:rPr>
          <w:rStyle w:val="VerbatimChar"/>
        </w:rPr>
        <w:t xml:space="preserve">PUT /ClienteDatosBancarios/Codigo</w:t>
      </w:r>
      <w:r>
        <w:t xml:space="preserve"> </w:t>
      </w:r>
      <w:r>
        <w:t xml:space="preserve">(modificación de Código Validador) —</w:t>
      </w:r>
      <w:r>
        <w:t xml:space="preserve"> </w:t>
      </w:r>
      <w:r>
        <w:rPr>
          <w:rStyle w:val="VerbatimChar"/>
        </w:rPr>
        <w:t xml:space="preserve">POST</w:t>
      </w:r>
      <w:r>
        <w:t xml:space="preserve"> </w:t>
      </w:r>
      <w:r>
        <w:t xml:space="preserve">queda reservado a los endpoints de consulta en toda la convención del repo. Bodies (ver</w:t>
      </w:r>
      <w:r>
        <w:t xml:space="preserve"> </w:t>
      </w:r>
      <w:r>
        <w:rPr>
          <w:rStyle w:val="VerbatimChar"/>
        </w:rPr>
        <w:t xml:space="preserve">json</w:t>
      </w:r>
      <w:r>
        <w:t xml:space="preserve"> </w:t>
      </w:r>
      <w:r>
        <w:t xml:space="preserve">abajo).</w:t>
      </w:r>
    </w:p>
    <w:p>
      <w:pPr>
        <w:pStyle w:val="Compact"/>
        <w:numPr>
          <w:ilvl w:val="0"/>
          <w:numId w:val="1004"/>
        </w:numPr>
      </w:pPr>
      <w:r>
        <w:rPr>
          <w:rStyle w:val="VerbatimChar"/>
        </w:rPr>
        <w:t xml:space="preserve">ClienteDatosBancariosController</w:t>
      </w:r>
      <w:r>
        <w:t xml:space="preserve"> </w:t>
      </w:r>
      <w:r>
        <w:t xml:space="preserve">recibe la solicitud y delega en</w:t>
      </w:r>
      <w:r>
        <w:t xml:space="preserve"> </w:t>
      </w:r>
      <w:r>
        <w:rPr>
          <w:rStyle w:val="VerbatimChar"/>
        </w:rPr>
        <w:t xml:space="preserve">ClienteDatosBancariosBO</w:t>
      </w:r>
      <w:r>
        <w:t xml:space="preserve">.</w:t>
      </w:r>
    </w:p>
    <w:p>
      <w:pPr>
        <w:pStyle w:val="Compact"/>
        <w:numPr>
          <w:ilvl w:val="0"/>
          <w:numId w:val="1004"/>
        </w:numPr>
      </w:pPr>
      <w:r>
        <w:rPr>
          <w:b/>
          <w:bCs/>
        </w:rPr>
        <w:t xml:space="preserve">Validaciones previas en el BO:</w:t>
      </w:r>
    </w:p>
    <w:p>
      <w:pPr>
        <w:pStyle w:val="Compact"/>
        <w:numPr>
          <w:ilvl w:val="1"/>
          <w:numId w:val="1005"/>
        </w:numPr>
      </w:pPr>
      <w:r>
        <w:t xml:space="preserve">Verificar que</w:t>
      </w:r>
      <w:r>
        <w:t xml:space="preserve"> </w:t>
      </w:r>
      <w:r>
        <w:rPr>
          <w:rStyle w:val="VerbatimChar"/>
        </w:rPr>
        <w:t xml:space="preserve">EmpresaDatosBancarios.Activo = 1</w:t>
      </w:r>
      <w:r>
        <w:t xml:space="preserve"> </w:t>
      </w:r>
      <w:r>
        <w:t xml:space="preserve">para la cuenta seleccionada (RT-01).</w:t>
      </w:r>
    </w:p>
    <w:p>
      <w:pPr>
        <w:pStyle w:val="Compact"/>
        <w:numPr>
          <w:ilvl w:val="1"/>
          <w:numId w:val="1005"/>
        </w:numPr>
      </w:pPr>
      <w:r>
        <w:t xml:space="preserve">Verificar que no exista ya una asignación activa con el mismo par (</w:t>
      </w:r>
      <w:r>
        <w:rPr>
          <w:rStyle w:val="VerbatimChar"/>
        </w:rPr>
        <w:t xml:space="preserve">IdCliente</w:t>
      </w:r>
      <w:r>
        <w:t xml:space="preserve">,</w:t>
      </w:r>
      <w:r>
        <w:t xml:space="preserve"> </w:t>
      </w:r>
      <w:r>
        <w:rPr>
          <w:rStyle w:val="VerbatimChar"/>
        </w:rPr>
        <w:t xml:space="preserve">IdEmpresaDatosBancarios</w:t>
      </w:r>
      <w:r>
        <w:t xml:space="preserve">) — prevenir duplicados (RT-02).</w:t>
      </w:r>
    </w:p>
    <w:p>
      <w:pPr>
        <w:pStyle w:val="Compact"/>
        <w:numPr>
          <w:ilvl w:val="1"/>
          <w:numId w:val="1005"/>
        </w:numPr>
      </w:pPr>
      <w:r>
        <w:t xml:space="preserve">Verificar que</w:t>
      </w:r>
      <w:r>
        <w:t xml:space="preserve"> </w:t>
      </w:r>
      <w:r>
        <w:rPr>
          <w:rStyle w:val="VerbatimChar"/>
        </w:rPr>
        <w:t xml:space="preserve">CodigoValidador</w:t>
      </w:r>
      <w:r>
        <w:t xml:space="preserve"> </w:t>
      </w:r>
      <w:r>
        <w:t xml:space="preserve">no sea nulo ni vacío —</w:t>
      </w:r>
      <w:r>
        <w:t xml:space="preserve"> </w:t>
      </w:r>
      <w:r>
        <w:rPr>
          <w:b/>
          <w:bCs/>
        </w:rPr>
        <w:t xml:space="preserve">solo para cuentas Banamex</w:t>
      </w:r>
      <w:r>
        <w:t xml:space="preserve"> </w:t>
      </w:r>
      <w:r>
        <w:t xml:space="preserve">(CA-E1; no aplica a cuentas no-Banamex, que no lo usan en su referencia).</w:t>
      </w:r>
    </w:p>
    <w:p>
      <w:pPr>
        <w:pStyle w:val="Compact"/>
        <w:numPr>
          <w:ilvl w:val="0"/>
          <w:numId w:val="1004"/>
        </w:numPr>
      </w:pPr>
      <w:r>
        <w:t xml:space="preserve">Si es nueva asignación (</w:t>
      </w:r>
      <w:r>
        <w:rPr>
          <w:rStyle w:val="VerbatimChar"/>
        </w:rPr>
        <w:t xml:space="preserve">POST</w:t>
      </w:r>
      <w:r>
        <w:t xml:space="preserve">):</w:t>
      </w:r>
    </w:p>
    <w:p>
      <w:pPr>
        <w:pStyle w:val="Compact"/>
        <w:numPr>
          <w:ilvl w:val="1"/>
          <w:numId w:val="1006"/>
        </w:numPr>
      </w:pPr>
      <w:r>
        <w:t xml:space="preserve">Insertar registro en</w:t>
      </w:r>
      <w:r>
        <w:t xml:space="preserve"> </w:t>
      </w:r>
      <w:r>
        <w:rPr>
          <w:rStyle w:val="VerbatimChar"/>
        </w:rPr>
        <w:t xml:space="preserve">ClienteDatosBancarios</w:t>
      </w:r>
      <w:r>
        <w:t xml:space="preserve"> </w:t>
      </w:r>
      <w:r>
        <w:t xml:space="preserve">con</w:t>
      </w:r>
      <w:r>
        <w:t xml:space="preserve"> </w:t>
      </w:r>
      <w:r>
        <w:rPr>
          <w:rStyle w:val="VerbatimChar"/>
        </w:rPr>
        <w:t xml:space="preserve">IdCliente</w:t>
      </w:r>
      <w:r>
        <w:t xml:space="preserve">,</w:t>
      </w:r>
      <w:r>
        <w:t xml:space="preserve"> </w:t>
      </w:r>
      <w:r>
        <w:rPr>
          <w:rStyle w:val="VerbatimChar"/>
        </w:rPr>
        <w:t xml:space="preserve">IdEmpresaDatosBancarios</w:t>
      </w:r>
      <w:r>
        <w:t xml:space="preserve">,</w:t>
      </w:r>
      <w:r>
        <w:t xml:space="preserve"> </w:t>
      </w:r>
      <w:r>
        <w:rPr>
          <w:rStyle w:val="VerbatimChar"/>
        </w:rPr>
        <w:t xml:space="preserve">CodigoValidador</w:t>
      </w:r>
      <w:r>
        <w:t xml:space="preserve">,</w:t>
      </w:r>
      <w:r>
        <w:t xml:space="preserve"> </w:t>
      </w:r>
      <w:r>
        <w:rPr>
          <w:rStyle w:val="VerbatimChar"/>
        </w:rPr>
        <w:t xml:space="preserve">FechaRegistro = GETDATE()</w:t>
      </w:r>
      <w:r>
        <w:t xml:space="preserve">,</w:t>
      </w:r>
      <w:r>
        <w:t xml:space="preserve"> </w:t>
      </w:r>
      <w:r>
        <w:rPr>
          <w:rStyle w:val="VerbatimChar"/>
        </w:rPr>
        <w:t xml:space="preserve">IdUsuarioModificacion = ObtenerUsuarioAutenticado().IdUsuario</w:t>
      </w:r>
      <w:r>
        <w:t xml:space="preserve"> </w:t>
      </w:r>
      <w:r>
        <w:t xml:space="preserve">(usuario autenticado de la sesión — RT-09),</w:t>
      </w:r>
      <w:r>
        <w:t xml:space="preserve"> </w:t>
      </w:r>
      <w:r>
        <w:rPr>
          <w:rStyle w:val="VerbatimChar"/>
        </w:rPr>
        <w:t xml:space="preserve">Activo = 1</w:t>
      </w:r>
      <w:r>
        <w:t xml:space="preserve">.</w:t>
      </w:r>
    </w:p>
    <w:p>
      <w:pPr>
        <w:pStyle w:val="Compact"/>
        <w:numPr>
          <w:ilvl w:val="1"/>
          <w:numId w:val="1006"/>
        </w:numPr>
      </w:pPr>
      <w:r>
        <w:t xml:space="preserve">Los campos de historial (</w:t>
      </w:r>
      <w:r>
        <w:rPr>
          <w:rStyle w:val="VerbatimChar"/>
        </w:rPr>
        <w:t xml:space="preserve">CodigoValidadorAnterior</w:t>
      </w:r>
      <w:r>
        <w:t xml:space="preserve">,</w:t>
      </w:r>
      <w:r>
        <w:t xml:space="preserve"> </w:t>
      </w:r>
      <w:r>
        <w:rPr>
          <w:rStyle w:val="VerbatimChar"/>
        </w:rPr>
        <w:t xml:space="preserve">FechaModificacionAnterior</w:t>
      </w:r>
      <w:r>
        <w:t xml:space="preserve">,</w:t>
      </w:r>
      <w:r>
        <w:t xml:space="preserve"> </w:t>
      </w:r>
      <w:r>
        <w:rPr>
          <w:rStyle w:val="VerbatimChar"/>
        </w:rPr>
        <w:t xml:space="preserve">IdUsuarioModificacionAnterior</w:t>
      </w:r>
      <w:r>
        <w:t xml:space="preserve">) quedan en</w:t>
      </w:r>
      <w:r>
        <w:t xml:space="preserve"> </w:t>
      </w:r>
      <w:r>
        <w:rPr>
          <w:rStyle w:val="VerbatimChar"/>
        </w:rPr>
        <w:t xml:space="preserve">NULL</w:t>
      </w:r>
      <w:r>
        <w:t xml:space="preserve">.</w:t>
      </w:r>
    </w:p>
    <w:p>
      <w:pPr>
        <w:pStyle w:val="Compact"/>
        <w:numPr>
          <w:ilvl w:val="1"/>
          <w:numId w:val="1006"/>
        </w:numPr>
      </w:pPr>
      <w:r>
        <w:t xml:space="preserve">Invocar</w:t>
      </w:r>
      <w:r>
        <w:t xml:space="preserve"> </w:t>
      </w:r>
      <w:r>
        <w:rPr>
          <w:rStyle w:val="VerbatimChar"/>
        </w:rPr>
        <w:t xml:space="preserve">BankReferenceBO.Build(cliente, empresaDatosBancarios, codigoValidador)</w:t>
      </w:r>
      <w:r>
        <w:t xml:space="preserve"> </w:t>
      </w:r>
      <w:r>
        <w:t xml:space="preserve">para calcular la referencia bancaria.</w:t>
      </w:r>
    </w:p>
    <w:p>
      <w:pPr>
        <w:pStyle w:val="Compact"/>
        <w:numPr>
          <w:ilvl w:val="1"/>
          <w:numId w:val="1006"/>
        </w:numPr>
      </w:pPr>
      <w:r>
        <w:t xml:space="preserve">Persistir resultado en</w:t>
      </w:r>
      <w:r>
        <w:t xml:space="preserve"> </w:t>
      </w:r>
      <w:r>
        <w:rPr>
          <w:rStyle w:val="VerbatimChar"/>
        </w:rPr>
        <w:t xml:space="preserve">ReferenciaVigente</w:t>
      </w:r>
      <w:r>
        <w:t xml:space="preserve"> </w:t>
      </w:r>
      <w:r>
        <w:t xml:space="preserve">y</w:t>
      </w:r>
      <w:r>
        <w:t xml:space="preserve"> </w:t>
      </w:r>
      <w:r>
        <w:rPr>
          <w:rStyle w:val="VerbatimChar"/>
        </w:rPr>
        <w:t xml:space="preserve">FechaReferenciaVigente = GETDATE()</w:t>
      </w:r>
      <w:r>
        <w:t xml:space="preserve">.</w:t>
      </w:r>
    </w:p>
    <w:p>
      <w:pPr>
        <w:pStyle w:val="Compact"/>
        <w:numPr>
          <w:ilvl w:val="0"/>
          <w:numId w:val="1004"/>
        </w:numPr>
      </w:pPr>
      <w:r>
        <w:t xml:space="preserve">Si es modificación de CódigoValidador (</w:t>
      </w:r>
      <w:r>
        <w:rPr>
          <w:rStyle w:val="VerbatimChar"/>
        </w:rPr>
        <w:t xml:space="preserve">PUT /ClienteDatosBancarios/Codigo</w:t>
      </w:r>
      <w:r>
        <w:t xml:space="preserve">):</w:t>
      </w:r>
    </w:p>
    <w:p>
      <w:pPr>
        <w:pStyle w:val="Compact"/>
        <w:numPr>
          <w:ilvl w:val="1"/>
          <w:numId w:val="1007"/>
        </w:numPr>
      </w:pPr>
      <w:r>
        <w:t xml:space="preserve">Leer el registro actual en</w:t>
      </w:r>
      <w:r>
        <w:t xml:space="preserve"> </w:t>
      </w:r>
      <w:r>
        <w:rPr>
          <w:rStyle w:val="VerbatimChar"/>
        </w:rPr>
        <w:t xml:space="preserve">ClienteDatosBancarios</w:t>
      </w:r>
      <w:r>
        <w:t xml:space="preserve">.</w:t>
      </w:r>
    </w:p>
    <w:p>
      <w:pPr>
        <w:pStyle w:val="Compact"/>
        <w:numPr>
          <w:ilvl w:val="1"/>
          <w:numId w:val="1007"/>
        </w:numPr>
      </w:pPr>
      <w:r>
        <w:t xml:space="preserve">Copiar</w:t>
      </w:r>
      <w:r>
        <w:t xml:space="preserve"> </w:t>
      </w:r>
      <w:r>
        <w:rPr>
          <w:rStyle w:val="VerbatimChar"/>
        </w:rPr>
        <w:t xml:space="preserve">CodigoValidador</w:t>
      </w:r>
      <w:r>
        <w:t xml:space="preserve"> </w:t>
      </w:r>
      <w:r>
        <w:t xml:space="preserve">vigente →</w:t>
      </w:r>
      <w:r>
        <w:t xml:space="preserve"> </w:t>
      </w:r>
      <w:r>
        <w:rPr>
          <w:rStyle w:val="VerbatimChar"/>
        </w:rPr>
        <w:t xml:space="preserve">CodigoValidadorAnterior</w:t>
      </w:r>
      <w:r>
        <w:t xml:space="preserve">.</w:t>
      </w:r>
    </w:p>
    <w:p>
      <w:pPr>
        <w:pStyle w:val="Compact"/>
        <w:numPr>
          <w:ilvl w:val="1"/>
          <w:numId w:val="1007"/>
        </w:numPr>
      </w:pPr>
      <w:r>
        <w:t xml:space="preserve">Copiar</w:t>
      </w:r>
      <w:r>
        <w:t xml:space="preserve"> </w:t>
      </w:r>
      <w:r>
        <w:rPr>
          <w:rStyle w:val="VerbatimChar"/>
        </w:rPr>
        <w:t xml:space="preserve">FechaUltimaActualizacion</w:t>
      </w:r>
      <w:r>
        <w:t xml:space="preserve"> </w:t>
      </w:r>
      <w:r>
        <w:t xml:space="preserve">vigente →</w:t>
      </w:r>
      <w:r>
        <w:t xml:space="preserve"> </w:t>
      </w:r>
      <w:r>
        <w:rPr>
          <w:rStyle w:val="VerbatimChar"/>
        </w:rPr>
        <w:t xml:space="preserve">FechaModificacionAnterior</w:t>
      </w:r>
      <w:r>
        <w:t xml:space="preserve">.</w:t>
      </w:r>
    </w:p>
    <w:p>
      <w:pPr>
        <w:pStyle w:val="Compact"/>
        <w:numPr>
          <w:ilvl w:val="1"/>
          <w:numId w:val="1007"/>
        </w:numPr>
      </w:pPr>
      <w:r>
        <w:t xml:space="preserve">Copiar</w:t>
      </w:r>
      <w:r>
        <w:t xml:space="preserve"> </w:t>
      </w:r>
      <w:r>
        <w:rPr>
          <w:rStyle w:val="VerbatimChar"/>
        </w:rPr>
        <w:t xml:space="preserve">IdUsuarioModificacion</w:t>
      </w:r>
      <w:r>
        <w:t xml:space="preserve"> </w:t>
      </w:r>
      <w:r>
        <w:t xml:space="preserve">vigente →</w:t>
      </w:r>
      <w:r>
        <w:t xml:space="preserve"> </w:t>
      </w:r>
      <w:r>
        <w:rPr>
          <w:rStyle w:val="VerbatimChar"/>
        </w:rPr>
        <w:t xml:space="preserve">IdUsuarioModificacionAnterior</w:t>
      </w:r>
      <w:r>
        <w:t xml:space="preserve">.</w:t>
      </w:r>
    </w:p>
    <w:p>
      <w:pPr>
        <w:pStyle w:val="Compact"/>
        <w:numPr>
          <w:ilvl w:val="1"/>
          <w:numId w:val="1007"/>
        </w:numPr>
      </w:pPr>
      <w:r>
        <w:t xml:space="preserve">Actualizar</w:t>
      </w:r>
      <w:r>
        <w:t xml:space="preserve"> </w:t>
      </w:r>
      <w:r>
        <w:rPr>
          <w:rStyle w:val="VerbatimChar"/>
        </w:rPr>
        <w:t xml:space="preserve">CodigoValidador</w:t>
      </w:r>
      <w:r>
        <w:t xml:space="preserve"> </w:t>
      </w:r>
      <w:r>
        <w:t xml:space="preserve">con el nuevo valor,</w:t>
      </w:r>
      <w:r>
        <w:t xml:space="preserve"> </w:t>
      </w:r>
      <w:r>
        <w:rPr>
          <w:rStyle w:val="VerbatimChar"/>
        </w:rPr>
        <w:t xml:space="preserve">FechaUltimaActualizacion = GETDATE()</w:t>
      </w:r>
      <w:r>
        <w:t xml:space="preserve">,</w:t>
      </w:r>
      <w:r>
        <w:t xml:space="preserve"> </w:t>
      </w:r>
      <w:r>
        <w:rPr>
          <w:rStyle w:val="VerbatimChar"/>
        </w:rPr>
        <w:t xml:space="preserve">IdUsuarioModificacion = ObtenerUsuarioAutenticado().IdUsuario</w:t>
      </w:r>
      <w:r>
        <w:t xml:space="preserve"> </w:t>
      </w:r>
      <w:r>
        <w:t xml:space="preserve">(usuario autenticado de la sesión — RT-09) (OBS-014).</w:t>
      </w:r>
    </w:p>
    <w:p>
      <w:pPr>
        <w:pStyle w:val="Compact"/>
        <w:numPr>
          <w:ilvl w:val="1"/>
          <w:numId w:val="1007"/>
        </w:numPr>
      </w:pPr>
      <w:r>
        <w:t xml:space="preserve">Recalcular</w:t>
      </w:r>
      <w:r>
        <w:t xml:space="preserve"> </w:t>
      </w:r>
      <w:r>
        <w:rPr>
          <w:rStyle w:val="VerbatimChar"/>
        </w:rPr>
        <w:t xml:space="preserve">BankReferenceBO.Build()</w:t>
      </w:r>
      <w:r>
        <w:t xml:space="preserve"> </w:t>
      </w:r>
      <w:r>
        <w:t xml:space="preserve">con el nuevo</w:t>
      </w:r>
      <w:r>
        <w:t xml:space="preserve"> </w:t>
      </w:r>
      <w:r>
        <w:rPr>
          <w:rStyle w:val="VerbatimChar"/>
        </w:rPr>
        <w:t xml:space="preserve">CodigoValidador</w:t>
      </w:r>
      <w:r>
        <w:t xml:space="preserve">.</w:t>
      </w:r>
    </w:p>
    <w:p>
      <w:pPr>
        <w:pStyle w:val="Compact"/>
        <w:numPr>
          <w:ilvl w:val="1"/>
          <w:numId w:val="1007"/>
        </w:numPr>
      </w:pPr>
      <w:r>
        <w:t xml:space="preserve">Actualizar</w:t>
      </w:r>
      <w:r>
        <w:t xml:space="preserve"> </w:t>
      </w:r>
      <w:r>
        <w:rPr>
          <w:rStyle w:val="VerbatimChar"/>
        </w:rPr>
        <w:t xml:space="preserve">ReferenciaVigente</w:t>
      </w:r>
      <w:r>
        <w:t xml:space="preserve"> </w:t>
      </w:r>
      <w:r>
        <w:t xml:space="preserve">y</w:t>
      </w:r>
      <w:r>
        <w:t xml:space="preserve"> </w:t>
      </w:r>
      <w:r>
        <w:rPr>
          <w:rStyle w:val="VerbatimChar"/>
        </w:rPr>
        <w:t xml:space="preserve">FechaReferenciaVigente = GETDATE()</w:t>
      </w:r>
      <w:r>
        <w:t xml:space="preserve">.</w:t>
      </w:r>
    </w:p>
    <w:p>
      <w:pPr>
        <w:pStyle w:val="Compact"/>
        <w:numPr>
          <w:ilvl w:val="0"/>
          <w:numId w:val="1004"/>
        </w:numPr>
      </w:pPr>
      <w:r>
        <w:t xml:space="preserve">El BO retorna el registro actualizado.</w:t>
      </w:r>
    </w:p>
    <w:p>
      <w:pPr>
        <w:pStyle w:val="Compact"/>
        <w:numPr>
          <w:ilvl w:val="0"/>
          <w:numId w:val="1004"/>
        </w:numPr>
      </w:pPr>
      <w:r>
        <w:rPr>
          <w:rStyle w:val="VerbatimChar"/>
        </w:rPr>
        <w:t xml:space="preserve">ClienteDatosBancariosController</w:t>
      </w:r>
      <w:r>
        <w:t xml:space="preserve"> </w:t>
      </w:r>
      <w:r>
        <w:t xml:space="preserve">responde</w:t>
      </w:r>
      <w:r>
        <w:t xml:space="preserve"> </w:t>
      </w:r>
      <w:r>
        <w:rPr>
          <w:rStyle w:val="VerbatimChar"/>
        </w:rPr>
        <w:t xml:space="preserve">200 OK</w:t>
      </w:r>
      <w:r>
        <w:t xml:space="preserve"> </w:t>
      </w:r>
      <w:r>
        <w:t xml:space="preserve">con el registro, o</w:t>
      </w:r>
      <w:r>
        <w:t xml:space="preserve"> </w:t>
      </w:r>
      <w:r>
        <w:rPr>
          <w:rStyle w:val="VerbatimChar"/>
        </w:rPr>
        <w:t xml:space="preserve">400 Bad Request</w:t>
      </w:r>
      <w:r>
        <w:t xml:space="preserve"> </w:t>
      </w:r>
      <w:r>
        <w:t xml:space="preserve">con detalle si falla alguna validación (cuenta inactiva, asignación duplicada,</w:t>
      </w:r>
      <w:r>
        <w:t xml:space="preserve"> </w:t>
      </w:r>
      <w:r>
        <w:rPr>
          <w:rStyle w:val="VerbatimChar"/>
        </w:rPr>
        <w:t xml:space="preserve">CodigoValidador</w:t>
      </w:r>
      <w:r>
        <w:t xml:space="preserve"> </w:t>
      </w:r>
      <w:r>
        <w:t xml:space="preserve">vacío) — todas las validaciones de negocio de este endpoint responden con el mismo código, sin distinción de</w:t>
      </w:r>
      <w:r>
        <w:t xml:space="preserve"> </w:t>
      </w:r>
      <w:r>
        <w:rPr>
          <w:rStyle w:val="VerbatimChar"/>
        </w:rPr>
        <w:t xml:space="preserve">409</w:t>
      </w:r>
      <w:r>
        <w:t xml:space="preserve">.</w:t>
      </w:r>
    </w:p>
    <w:p>
      <w:pPr>
        <w:pStyle w:val="BlockText"/>
      </w:pPr>
      <w:r>
        <w:rPr>
          <w:b/>
          <w:bCs/>
        </w:rPr>
        <w:t xml:space="preserve">Evento de auditoría hacia el aplicativo de Bitácora (integración por eventos):</w:t>
      </w:r>
      <w:r>
        <w:t xml:space="preserve"> </w:t>
      </w:r>
      <w:r>
        <w:t xml:space="preserve">tras persistir con éxito la operación (alta/modificación de asignación o de</w:t>
      </w:r>
      <w:r>
        <w:t xml:space="preserve"> </w:t>
      </w:r>
      <w:r>
        <w:rPr>
          <w:rStyle w:val="VerbatimChar"/>
        </w:rPr>
        <w:t xml:space="preserve">CodigoValidador</w:t>
      </w:r>
      <w:r>
        <w:t xml:space="preserve">), RE-006</w:t>
      </w:r>
      <w:r>
        <w:t xml:space="preserve"> </w:t>
      </w:r>
      <w:r>
        <w:rPr>
          <w:b/>
          <w:bCs/>
        </w:rPr>
        <w:t xml:space="preserve">publicará un evento</w:t>
      </w:r>
      <w:r>
        <w:t xml:space="preserve"> </w:t>
      </w:r>
      <w:r>
        <w:t xml:space="preserve">hacia el nuevo aplicativo de Bitácora para el registro de auditoría.</w:t>
      </w:r>
      <w:r>
        <w:t xml:space="preserve"> </w:t>
      </w:r>
      <w:r>
        <w:rPr>
          <w:highlight w:val="yellow"/>
        </w:rPr>
        <w:t xml:space="preserve">La firma del endpoint/contrato del evento está pendiente de definir.</w:t>
      </w:r>
      <w:r>
        <w:t xml:space="preserve"> </w:t>
      </w:r>
      <w:r>
        <w:t xml:space="preserve">La propuesta del aplicativo de Bitácora está</w:t>
      </w:r>
      <w:r>
        <w:t xml:space="preserve"> </w:t>
      </w:r>
      <w:r>
        <w:rPr>
          <w:b/>
          <w:bCs/>
        </w:rPr>
        <w:t xml:space="preserve">aprobada</w:t>
      </w:r>
      <w:r>
        <w:t xml:space="preserve">, pero aún falta detallar la infraestructura y los endpoints; sólo se sabe que la integración será</w:t>
      </w:r>
      <w:r>
        <w:t xml:space="preserve"> </w:t>
      </w:r>
      <w:r>
        <w:rPr>
          <w:b/>
          <w:bCs/>
        </w:rPr>
        <w:t xml:space="preserve">por eventos</w:t>
      </w:r>
      <w:r>
        <w:t xml:space="preserve">.</w:t>
      </w:r>
    </w:p>
    <w:p>
      <w:pPr>
        <w:pStyle w:val="FirstParagraph"/>
      </w:pPr>
      <w:r>
        <w:t xml:space="preserve">Bodies del paso 1:</w:t>
      </w:r>
    </w:p>
    <w:p>
      <w:pPr>
        <w:pStyle w:val="SourceCode"/>
      </w:pPr>
      <w:r>
        <w:rPr>
          <w:rStyle w:val="ErrorTok"/>
        </w:rPr>
        <w:t xml:space="preserve">//</w:t>
      </w:r>
      <w:r>
        <w:rPr>
          <w:rStyle w:val="NormalTok"/>
        </w:rPr>
        <w:t xml:space="preserve"> </w:t>
      </w:r>
      <w:r>
        <w:rPr>
          <w:rStyle w:val="ErrorTok"/>
        </w:rPr>
        <w:t xml:space="preserve">PUT</w:t>
      </w:r>
      <w:r>
        <w:rPr>
          <w:rStyle w:val="NormalTok"/>
        </w:rPr>
        <w:t xml:space="preserve"> </w:t>
      </w:r>
      <w:r>
        <w:rPr>
          <w:rStyle w:val="ErrorTok"/>
        </w:rPr>
        <w:t xml:space="preserve">/ClienteDatosBancarios</w:t>
      </w:r>
      <w:r>
        <w:br/>
      </w:r>
      <w:r>
        <w:rPr>
          <w:rStyle w:val="FunctionTok"/>
        </w:rPr>
        <w:t xml:space="preserve">{</w:t>
      </w:r>
      <w:r>
        <w:br/>
      </w:r>
      <w:r>
        <w:rPr>
          <w:rStyle w:val="NormalTok"/>
        </w:rPr>
        <w:t xml:space="preserve">  </w:t>
      </w:r>
      <w:r>
        <w:rPr>
          <w:rStyle w:val="DataTypeTok"/>
        </w:rPr>
        <w:t xml:space="preserve">"IdCliente"</w:t>
      </w:r>
      <w:r>
        <w:rPr>
          <w:rStyle w:val="FunctionTok"/>
        </w:rPr>
        <w:t xml:space="preserve">:</w:t>
      </w:r>
      <w:r>
        <w:rPr>
          <w:rStyle w:val="NormalTok"/>
        </w:rPr>
        <w:t xml:space="preserve"> </w:t>
      </w:r>
      <w:r>
        <w:rPr>
          <w:rStyle w:val="StringTok"/>
        </w:rPr>
        <w:t xml:space="preserve">"Guid"</w:t>
      </w:r>
      <w:r>
        <w:rPr>
          <w:rStyle w:val="FunctionTok"/>
        </w:rPr>
        <w:t xml:space="preserve">,</w:t>
      </w:r>
      <w:r>
        <w:br/>
      </w:r>
      <w:r>
        <w:rPr>
          <w:rStyle w:val="NormalTok"/>
        </w:rPr>
        <w:t xml:space="preserve">  </w:t>
      </w:r>
      <w:r>
        <w:rPr>
          <w:rStyle w:val="DataTypeTok"/>
        </w:rPr>
        <w:t xml:space="preserve">"IdEmpresaDatosBancarios"</w:t>
      </w:r>
      <w:r>
        <w:rPr>
          <w:rStyle w:val="FunctionTok"/>
        </w:rPr>
        <w:t xml:space="preserve">:</w:t>
      </w:r>
      <w:r>
        <w:rPr>
          <w:rStyle w:val="NormalTok"/>
        </w:rPr>
        <w:t xml:space="preserve"> </w:t>
      </w:r>
      <w:r>
        <w:rPr>
          <w:rStyle w:val="StringTok"/>
        </w:rPr>
        <w:t xml:space="preserve">"Guid"</w:t>
      </w:r>
      <w:r>
        <w:rPr>
          <w:rStyle w:val="FunctionTok"/>
        </w:rPr>
        <w:t xml:space="preserve">,</w:t>
      </w:r>
      <w:r>
        <w:br/>
      </w:r>
      <w:r>
        <w:rPr>
          <w:rStyle w:val="NormalTok"/>
        </w:rPr>
        <w:t xml:space="preserve">  </w:t>
      </w:r>
      <w:r>
        <w:rPr>
          <w:rStyle w:val="DataTypeTok"/>
        </w:rPr>
        <w:t xml:space="preserve">"CodigoValidador"</w:t>
      </w:r>
      <w:r>
        <w:rPr>
          <w:rStyle w:val="FunctionTok"/>
        </w:rPr>
        <w:t xml:space="preserve">:</w:t>
      </w:r>
      <w:r>
        <w:rPr>
          <w:rStyle w:val="NormalTok"/>
        </w:rPr>
        <w:t xml:space="preserve"> </w:t>
      </w:r>
      <w:r>
        <w:rPr>
          <w:rStyle w:val="StringTok"/>
        </w:rPr>
        <w:t xml:space="preserve">"string"</w:t>
      </w:r>
      <w:r>
        <w:br/>
      </w:r>
      <w:r>
        <w:rPr>
          <w:rStyle w:val="FunctionTok"/>
        </w:rPr>
        <w:t xml:space="preserve">}</w:t>
      </w:r>
    </w:p>
    <w:p>
      <w:pPr>
        <w:pStyle w:val="SourceCode"/>
      </w:pPr>
      <w:r>
        <w:rPr>
          <w:rStyle w:val="ErrorTok"/>
        </w:rPr>
        <w:t xml:space="preserve">//</w:t>
      </w:r>
      <w:r>
        <w:rPr>
          <w:rStyle w:val="NormalTok"/>
        </w:rPr>
        <w:t xml:space="preserve"> </w:t>
      </w:r>
      <w:r>
        <w:rPr>
          <w:rStyle w:val="ErrorTok"/>
        </w:rPr>
        <w:t xml:space="preserve">PUT</w:t>
      </w:r>
      <w:r>
        <w:rPr>
          <w:rStyle w:val="NormalTok"/>
        </w:rPr>
        <w:t xml:space="preserve"> </w:t>
      </w:r>
      <w:r>
        <w:rPr>
          <w:rStyle w:val="ErrorTok"/>
        </w:rPr>
        <w:t xml:space="preserve">/ClienteDatosBancarios/Codigo</w:t>
      </w:r>
      <w:r>
        <w:br/>
      </w:r>
      <w:r>
        <w:rPr>
          <w:rStyle w:val="FunctionTok"/>
        </w:rPr>
        <w:t xml:space="preserve">{</w:t>
      </w:r>
      <w:r>
        <w:br/>
      </w:r>
      <w:r>
        <w:rPr>
          <w:rStyle w:val="NormalTok"/>
        </w:rPr>
        <w:t xml:space="preserve">  </w:t>
      </w:r>
      <w:r>
        <w:rPr>
          <w:rStyle w:val="DataTypeTok"/>
        </w:rPr>
        <w:t xml:space="preserve">"IdClienteDatosBancarios"</w:t>
      </w:r>
      <w:r>
        <w:rPr>
          <w:rStyle w:val="FunctionTok"/>
        </w:rPr>
        <w:t xml:space="preserve">:</w:t>
      </w:r>
      <w:r>
        <w:rPr>
          <w:rStyle w:val="NormalTok"/>
        </w:rPr>
        <w:t xml:space="preserve"> </w:t>
      </w:r>
      <w:r>
        <w:rPr>
          <w:rStyle w:val="StringTok"/>
        </w:rPr>
        <w:t xml:space="preserve">"Guid"</w:t>
      </w:r>
      <w:r>
        <w:rPr>
          <w:rStyle w:val="FunctionTok"/>
        </w:rPr>
        <w:t xml:space="preserve">,</w:t>
      </w:r>
      <w:r>
        <w:br/>
      </w:r>
      <w:r>
        <w:rPr>
          <w:rStyle w:val="NormalTok"/>
        </w:rPr>
        <w:t xml:space="preserve">  </w:t>
      </w:r>
      <w:r>
        <w:rPr>
          <w:rStyle w:val="DataTypeTok"/>
        </w:rPr>
        <w:t xml:space="preserve">"CodigoValidador"</w:t>
      </w:r>
      <w:r>
        <w:rPr>
          <w:rStyle w:val="FunctionTok"/>
        </w:rPr>
        <w:t xml:space="preserve">:</w:t>
      </w:r>
      <w:r>
        <w:rPr>
          <w:rStyle w:val="NormalTok"/>
        </w:rPr>
        <w:t xml:space="preserve"> </w:t>
      </w:r>
      <w:r>
        <w:rPr>
          <w:rStyle w:val="StringTok"/>
        </w:rPr>
        <w:t xml:space="preserve">"string"</w:t>
      </w:r>
      <w:r>
        <w:br/>
      </w:r>
      <w:r>
        <w:rPr>
          <w:rStyle w:val="FunctionTok"/>
        </w:rPr>
        <w:t xml:space="preserve">}</w:t>
      </w:r>
    </w:p>
    <w:p>
      <w:pPr>
        <w:pStyle w:val="Heading2"/>
      </w:pPr>
      <w:r>
        <w:rPr>
          <w:b/>
          <w:bCs/>
        </w:rPr>
        <w:t xml:space="preserve">2. Flujo 2 — Exposición de la referencia vía endpoint (contrato hacia RE-016)</w:t>
      </w:r>
    </w:p>
    <w:p>
      <w:pPr>
        <w:pStyle w:val="FirstParagraph"/>
      </w:pPr>
      <w:r>
        <w:rPr>
          <w:b/>
          <w:bCs/>
        </w:rPr>
        <w:t xml:space="preserve">Cambio de alcance v1.6:</w:t>
      </w:r>
      <w:r>
        <w:t xml:space="preserve"> </w:t>
      </w:r>
      <w:r>
        <w:t xml:space="preserve">RE-006 ya no modifica el factory. Su responsabilidad en la proforma se reduce a exponer la referencia mediante el endpoint de consulta; el consumo y casado los realiza RE-016 (Javi, solución</w:t>
      </w:r>
      <w:r>
        <w:t xml:space="preserve"> </w:t>
      </w:r>
      <w:r>
        <w:rPr>
          <w:rStyle w:val="VerbatimChar"/>
        </w:rPr>
        <w:t xml:space="preserve">Finanzas</w:t>
      </w:r>
      <w:r>
        <w:t xml:space="preserve">). La referencia se calcula en el Flujo 1 (asignación) y se mantiene vigente por el Flujo 3 (cambio de nombre); el factory sólo lee — no recalcula — garantizando consistencia con el Buzón de Pagos.</w:t>
      </w:r>
    </w:p>
    <w:p>
      <w:pPr>
        <w:pStyle w:val="BodyText"/>
      </w:pPr>
      <w:r>
        <w:rPr>
          <w:b/>
          <w:bCs/>
        </w:rPr>
        <w:t xml:space="preserve">Parte de RE-006 (el contrato):</w:t>
      </w:r>
      <w:r>
        <w:t xml:space="preserve"> </w:t>
      </w:r>
      <w:r>
        <w:t xml:space="preserve">1. RE-006 expone</w:t>
      </w:r>
      <w:r>
        <w:t xml:space="preserve"> </w:t>
      </w:r>
      <w:r>
        <w:rPr>
          <w:rStyle w:val="VerbatimChar"/>
        </w:rPr>
        <w:t xml:space="preserve">POST /vClienteDatosBancarios</w:t>
      </w:r>
      <w:r>
        <w:t xml:space="preserve"> </w:t>
      </w:r>
      <w:r>
        <w:t xml:space="preserve">con</w:t>
      </w:r>
      <w:r>
        <w:t xml:space="preserve"> </w:t>
      </w:r>
      <w:r>
        <w:rPr>
          <w:rStyle w:val="VerbatimChar"/>
        </w:rPr>
        <w:t xml:space="preserve">IdCliente</w:t>
      </w:r>
      <w:r>
        <w:t xml:space="preserve">,</w:t>
      </w:r>
      <w:r>
        <w:t xml:space="preserve"> </w:t>
      </w:r>
      <w:r>
        <w:rPr>
          <w:rStyle w:val="VerbatimChar"/>
        </w:rPr>
        <w:t xml:space="preserve">IdCatBanco</w:t>
      </w:r>
      <w:r>
        <w:t xml:space="preserve">,</w:t>
      </w:r>
      <w:r>
        <w:t xml:space="preserve"> </w:t>
      </w:r>
      <w:r>
        <w:rPr>
          <w:rStyle w:val="VerbatimChar"/>
        </w:rPr>
        <w:t xml:space="preserve">IdCatMoneda</w:t>
      </w:r>
      <w:r>
        <w:t xml:space="preserve"> </w:t>
      </w:r>
      <w:r>
        <w:t xml:space="preserve">e</w:t>
      </w:r>
      <w:r>
        <w:t xml:space="preserve"> </w:t>
      </w:r>
      <w:r>
        <w:rPr>
          <w:rStyle w:val="VerbatimChar"/>
        </w:rPr>
        <w:t xml:space="preserve">IdEmpresa</w:t>
      </w:r>
      <w:r>
        <w:t xml:space="preserve"> </w:t>
      </w:r>
      <w:r>
        <w:t xml:space="preserve">— todos opcionales; el endpoint resuelve internamente las relaciones (</w:t>
      </w:r>
      <w:r>
        <w:rPr>
          <w:rStyle w:val="VerbatimChar"/>
        </w:rPr>
        <w:t xml:space="preserve">ClienteDatosBancarios</w:t>
      </w:r>
      <w:r>
        <w:t xml:space="preserve"> </w:t>
      </w:r>
      <w:r>
        <w:t xml:space="preserve">→</w:t>
      </w:r>
      <w:r>
        <w:t xml:space="preserve"> </w:t>
      </w:r>
      <w:r>
        <w:rPr>
          <w:rStyle w:val="VerbatimChar"/>
        </w:rPr>
        <w:t xml:space="preserve">EmpresaDatosBancarios</w:t>
      </w:r>
      <w:r>
        <w:t xml:space="preserve"> </w:t>
      </w:r>
      <w:r>
        <w:t xml:space="preserve">→</w:t>
      </w:r>
      <w:r>
        <w:t xml:space="preserve"> </w:t>
      </w:r>
      <w:r>
        <w:rPr>
          <w:rStyle w:val="VerbatimChar"/>
        </w:rPr>
        <w:t xml:space="preserve">DatosBancarios</w:t>
      </w:r>
      <w:r>
        <w:t xml:space="preserve"> </w:t>
      </w:r>
      <w:r>
        <w:t xml:space="preserve">→</w:t>
      </w:r>
      <w:r>
        <w:t xml:space="preserve"> </w:t>
      </w:r>
      <w:r>
        <w:rPr>
          <w:rStyle w:val="VerbatimChar"/>
        </w:rPr>
        <w:t xml:space="preserve">catBanco</w:t>
      </w:r>
      <w:r>
        <w:t xml:space="preserve">/</w:t>
      </w:r>
      <w:r>
        <w:rPr>
          <w:rStyle w:val="VerbatimChar"/>
        </w:rPr>
        <w:t xml:space="preserve">catMoneda</w:t>
      </w:r>
      <w:r>
        <w:t xml:space="preserve">) y responde siempre un arreglo con</w:t>
      </w:r>
      <w:r>
        <w:t xml:space="preserve"> </w:t>
      </w:r>
      <w:r>
        <w:rPr>
          <w:rStyle w:val="VerbatimChar"/>
        </w:rPr>
        <w:t xml:space="preserve">ReferenciaVigente</w:t>
      </w:r>
      <w:r>
        <w:t xml:space="preserve"> </w:t>
      </w:r>
      <w:r>
        <w:t xml:space="preserve">incluida (RT-10). Sin ningún filtro, regresa todas las asignaciones activas del sistema.</w:t>
      </w:r>
      <w:r>
        <w:t xml:space="preserve"> </w:t>
      </w:r>
      <w:r>
        <w:t xml:space="preserve">2. La tupla</w:t>
      </w:r>
      <w:r>
        <w:t xml:space="preserve"> </w:t>
      </w:r>
      <w:r>
        <w:rPr>
          <w:rStyle w:val="VerbatimChar"/>
        </w:rPr>
        <w:t xml:space="preserve">(cliente, banco, moneda, empresa)</w:t>
      </w:r>
      <w:r>
        <w:t xml:space="preserve"> </w:t>
      </w:r>
      <w:r>
        <w:t xml:space="preserve">no garantiza un único registro (una empresa puede tener 2 cuentas mismo banco+moneda); el único discriminador a 1 registro es</w:t>
      </w:r>
      <w:r>
        <w:t xml:space="preserve"> </w:t>
      </w:r>
      <w:r>
        <w:rPr>
          <w:rStyle w:val="VerbatimChar"/>
        </w:rPr>
        <w:t xml:space="preserve">IdEmpresaDatosBancarios</w:t>
      </w:r>
      <w:r>
        <w:t xml:space="preserve">. Por eso el endpoint devuelve arreglo (RT-11).</w:t>
      </w:r>
    </w:p>
    <w:p>
      <w:pPr>
        <w:pStyle w:val="BodyText"/>
      </w:pPr>
      <w:r>
        <w:rPr>
          <w:b/>
          <w:bCs/>
        </w:rPr>
        <w:t xml:space="preserve">Parte de RE-016 (consumidor — fuera del alcance de RE-006, se documenta para contexto):</w:t>
      </w:r>
      <w:r>
        <w:t xml:space="preserve"> </w:t>
      </w:r>
      <w:r>
        <w:t xml:space="preserve">3.</w:t>
      </w:r>
      <w:r>
        <w:t xml:space="preserve"> </w:t>
      </w:r>
      <w:r>
        <w:rPr>
          <w:rStyle w:val="VerbatimChar"/>
        </w:rPr>
        <w:t xml:space="preserve">tpProformaPedidoFactory</w:t>
      </w:r>
      <w:r>
        <w:t xml:space="preserve"> </w:t>
      </w:r>
      <w:r>
        <w:t xml:space="preserve">—que ya recibe la Empresa emisora en su constructor (</w:t>
      </w:r>
      <w:r>
        <w:rPr>
          <w:rStyle w:val="VerbatimChar"/>
        </w:rPr>
        <w:t xml:space="preserve">tpProformaPedidoFactory(Empresa empresa)</w:t>
      </w:r>
      <w:r>
        <w:t xml:space="preserve">)— llama al endpoint filtrando por</w:t>
      </w:r>
      <w:r>
        <w:t xml:space="preserve"> </w:t>
      </w:r>
      <w:r>
        <w:rPr>
          <w:rStyle w:val="VerbatimChar"/>
        </w:rPr>
        <w:t xml:space="preserve">IdEmpresa = empresa.IdEmpresa</w:t>
      </w:r>
      <w:r>
        <w:t xml:space="preserve"> </w:t>
      </w:r>
      <w:r>
        <w:t xml:space="preserve">y toma la</w:t>
      </w:r>
      <w:r>
        <w:t xml:space="preserve"> </w:t>
      </w:r>
      <w:r>
        <w:rPr>
          <w:rStyle w:val="VerbatimChar"/>
        </w:rPr>
        <w:t xml:space="preserve">ReferenciaVigente</w:t>
      </w:r>
      <w:r>
        <w:t xml:space="preserve"> </w:t>
      </w:r>
      <w:r>
        <w:t xml:space="preserve">de la asignación activa correspondiente. Resuelve DUDA-118: el cliente paga a la cuenta de la entidad que le factura.</w:t>
      </w:r>
      <w:r>
        <w:t xml:space="preserve"> </w:t>
      </w:r>
      <w:r>
        <w:t xml:space="preserve">4. Si hay más de una asignación activa para esa empresa (caso residual, ej. 2 cuentas STP), RE-016 desempata por</w:t>
      </w:r>
      <w:r>
        <w:t xml:space="preserve"> </w:t>
      </w:r>
      <w:r>
        <w:rPr>
          <w:rStyle w:val="VerbatimChar"/>
        </w:rPr>
        <w:t xml:space="preserve">FechaUltimaActualizacion DESC</w:t>
      </w:r>
      <w:r>
        <w:t xml:space="preserve">. Si no hay ninguna,</w:t>
      </w:r>
      <w:r>
        <w:t xml:space="preserve"> </w:t>
      </w:r>
      <w:r>
        <w:rPr>
          <w:rStyle w:val="VerbatimChar"/>
        </w:rPr>
        <w:t xml:space="preserve">ReferenciaPago = null</w:t>
      </w:r>
      <w:r>
        <w:t xml:space="preserve"> </w:t>
      </w:r>
      <w:r>
        <w:t xml:space="preserve">— no bloquea la generación.</w:t>
      </w:r>
      <w:r>
        <w:t xml:space="preserve"> </w:t>
      </w:r>
      <w:r>
        <w:t xml:space="preserve">5. RE-016 casa</w:t>
      </w:r>
      <w:r>
        <w:t xml:space="preserve"> </w:t>
      </w:r>
      <w:r>
        <w:rPr>
          <w:rStyle w:val="VerbatimChar"/>
        </w:rPr>
        <w:t xml:space="preserve">tpProformaPedido.ReferenciaPago = ReferenciaVigente</w:t>
      </w:r>
      <w:r>
        <w:t xml:space="preserve"> </w:t>
      </w:r>
      <w:r>
        <w:t xml:space="preserve">como snapshot inmutable; el PDF conserva la referencia aunque cambien después los datos del cliente o la cuenta.</w:t>
      </w:r>
      <w:r>
        <w:t xml:space="preserve"> </w:t>
      </w:r>
      <w:r>
        <w:t xml:space="preserve">6. Al consultar un PDF almacenado, se sirve el archivo guardado sin regenerar.</w:t>
      </w:r>
    </w:p>
    <w:p>
      <w:pPr>
        <w:pStyle w:val="Heading3"/>
      </w:pPr>
      <w:r>
        <w:rPr>
          <w:b/>
          <w:bCs/>
        </w:rPr>
        <w:t xml:space="preserve">Algoritmo Banamex — 7 segmentos (invocado en Flujo 1)</w:t>
      </w:r>
    </w:p>
    <w:p>
      <w:pPr>
        <w:pStyle w:val="FirstParagraph"/>
      </w:pPr>
      <w:r>
        <w:rPr>
          <w:b/>
          <w:bCs/>
        </w:rPr>
        <w:t xml:space="preserve">GAP-E cerrado:</w:t>
      </w:r>
      <w:r>
        <w:t xml:space="preserve"> </w:t>
      </w:r>
      <w:r>
        <w:rPr>
          <w:rStyle w:val="VerbatimChar"/>
        </w:rPr>
        <w:t xml:space="preserve">dbo.Cliente</w:t>
      </w:r>
      <w:r>
        <w:t xml:space="preserve"> </w:t>
      </w:r>
      <w:r>
        <w:t xml:space="preserve">en PQF2 no tiene campo</w:t>
      </w:r>
      <w:r>
        <w:t xml:space="preserve"> </w:t>
      </w:r>
      <w:r>
        <w:rPr>
          <w:rStyle w:val="VerbatimChar"/>
        </w:rPr>
        <w:t xml:space="preserve">Clave</w:t>
      </w:r>
      <w:r>
        <w:t xml:space="preserve">. La clave numérica de Legacy se obtiene desde</w:t>
      </w:r>
      <w:r>
        <w:t xml:space="preserve"> </w:t>
      </w:r>
      <w:r>
        <w:rPr>
          <w:rStyle w:val="VerbatimChar"/>
        </w:rPr>
        <w:t xml:space="preserve">PConnectProquifaDotNet.dbo.Clientes</w:t>
      </w:r>
      <w:r>
        <w:t xml:space="preserve"> </w:t>
      </w:r>
      <w:r>
        <w:t xml:space="preserve">(columna</w:t>
      </w:r>
      <w:r>
        <w:t xml:space="preserve"> </w:t>
      </w:r>
      <w:r>
        <w:rPr>
          <w:rStyle w:val="VerbatimChar"/>
        </w:rPr>
        <w:t xml:space="preserve">ClienteLegacy int</w:t>
      </w:r>
      <w:r>
        <w:t xml:space="preserve">; cruce por</w:t>
      </w:r>
      <w:r>
        <w:t xml:space="preserve"> </w:t>
      </w:r>
      <w:r>
        <w:rPr>
          <w:rStyle w:val="VerbatimChar"/>
        </w:rPr>
        <w:t xml:space="preserve">ClientePQF = IdCliente</w:t>
      </w:r>
      <w:r>
        <w:t xml:space="preserve">). El código actual de Juan David en</w:t>
      </w:r>
      <w:r>
        <w:t xml:space="preserve"> </w:t>
      </w:r>
      <w:r>
        <w:rPr>
          <w:rStyle w:val="VerbatimChar"/>
        </w:rPr>
        <w:t xml:space="preserve">BankReferenceBO</w:t>
      </w:r>
      <w:r>
        <w:t xml:space="preserve"> </w:t>
      </w:r>
      <w:r>
        <w:t xml:space="preserve">usa</w:t>
      </w:r>
      <w:r>
        <w:t xml:space="preserve"> </w:t>
      </w:r>
      <w:r>
        <w:rPr>
          <w:rStyle w:val="VerbatimChar"/>
        </w:rPr>
        <w:t xml:space="preserve">cliente.Clave</w:t>
      </w:r>
      <w:r>
        <w:t xml:space="preserve"> </w:t>
      </w:r>
      <w:r>
        <w:t xml:space="preserve">— bug crítico que producirá S4 =</w:t>
      </w:r>
      <w:r>
        <w:t xml:space="preserve"> </w:t>
      </w:r>
      <w:r>
        <w:rPr>
          <w:rStyle w:val="VerbatimChar"/>
        </w:rPr>
        <w:t xml:space="preserve">"0000"</w:t>
      </w:r>
      <w:r>
        <w:t xml:space="preserve"> </w:t>
      </w:r>
      <w:r>
        <w:t xml:space="preserve">para todos los clientes. Fix requerido: sustituir por consulta a</w:t>
      </w:r>
      <w:r>
        <w:t xml:space="preserve"> </w:t>
      </w:r>
      <w:r>
        <w:rPr>
          <w:rStyle w:val="VerbatimChar"/>
        </w:rPr>
        <w:t xml:space="preserve">PConnectProquifaDotNet.dbo.Clientes</w:t>
      </w:r>
      <w:r>
        <w:t xml:space="preserve">. Ver sección Impacto Técnico.</w:t>
      </w:r>
      <w:r>
        <w:t xml:space="preserve"> </w:t>
      </w:r>
      <w:r>
        <w:rPr>
          <w:i/>
          <w:iCs/>
        </w:rPr>
        <w:t xml:space="preserve">(Verificado live 29-jun:</w:t>
      </w:r>
      <w:r>
        <w:rPr>
          <w:i/>
          <w:iCs/>
        </w:rPr>
        <w:t xml:space="preserve"> </w:t>
      </w:r>
      <w:r>
        <w:rPr>
          <w:rStyle w:val="VerbatimChar"/>
          <w:i/>
          <w:iCs/>
        </w:rPr>
        <w:t xml:space="preserve">ProquifaDotNet.dbo.Carga_ClientesR1</w:t>
      </w:r>
      <w:r>
        <w:rPr>
          <w:i/>
          <w:iCs/>
        </w:rPr>
        <w:t xml:space="preserve"> </w:t>
      </w:r>
      <w:r>
        <w:rPr>
          <w:i/>
          <w:iCs/>
        </w:rPr>
        <w:t xml:space="preserve">DESCARTADA como fuente — cobertura ~19% (268 IdCliente distintos vs 1,400 clientes PQF2) y filas duplicadas.</w:t>
      </w:r>
      <w:r>
        <w:rPr>
          <w:i/>
          <w:iCs/>
        </w:rPr>
        <w:t xml:space="preserve"> </w:t>
      </w:r>
      <w:r>
        <w:rPr>
          <w:rStyle w:val="VerbatimChar"/>
          <w:i/>
          <w:iCs/>
        </w:rPr>
        <w:t xml:space="preserve">PConnectProquifaDotNet.dbo.Clientes</w:t>
      </w:r>
      <w:r>
        <w:rPr>
          <w:i/>
          <w:iCs/>
        </w:rPr>
        <w:t xml:space="preserve"> </w:t>
      </w:r>
      <w:r>
        <w:rPr>
          <w:i/>
          <w:iCs/>
        </w:rPr>
        <w:t xml:space="preserve">verificada live 29-jun vía cross-DB desde</w:t>
      </w:r>
      <w:r>
        <w:rPr>
          <w:i/>
          <w:iCs/>
        </w:rPr>
        <w:t xml:space="preserve"> </w:t>
      </w:r>
      <w:r>
        <w:rPr>
          <w:rStyle w:val="VerbatimChar"/>
          <w:i/>
          <w:iCs/>
        </w:rPr>
        <w:t xml:space="preserve">proquifa-db-dev</w:t>
      </w:r>
      <w:r>
        <w:rPr>
          <w:i/>
          <w:iCs/>
        </w:rPr>
        <w:t xml:space="preserve">: columnas</w:t>
      </w:r>
      <w:r>
        <w:rPr>
          <w:i/>
          <w:iCs/>
        </w:rPr>
        <w:t xml:space="preserve"> </w:t>
      </w:r>
      <w:r>
        <w:rPr>
          <w:rStyle w:val="VerbatimChar"/>
          <w:i/>
          <w:iCs/>
        </w:rPr>
        <w:t xml:space="preserve">ClienteLegacy int</w:t>
      </w:r>
      <w:r>
        <w:rPr>
          <w:i/>
          <w:iCs/>
        </w:rPr>
        <w:t xml:space="preserve"> </w:t>
      </w:r>
      <w:r>
        <w:rPr>
          <w:i/>
          <w:iCs/>
        </w:rPr>
        <w:t xml:space="preserve">/</w:t>
      </w:r>
      <w:r>
        <w:rPr>
          <w:i/>
          <w:iCs/>
        </w:rPr>
        <w:t xml:space="preserve"> </w:t>
      </w:r>
      <w:r>
        <w:rPr>
          <w:rStyle w:val="VerbatimChar"/>
          <w:i/>
          <w:iCs/>
        </w:rPr>
        <w:t xml:space="preserve">ClientePQF uniqueidentifier</w:t>
      </w:r>
      <w:r>
        <w:rPr>
          <w:i/>
          <w:iCs/>
        </w:rPr>
        <w:t xml:space="preserve"> </w:t>
      </w:r>
      <w:r>
        <w:rPr>
          <w:i/>
          <w:iCs/>
        </w:rPr>
        <w:t xml:space="preserve">confirmadas; cobertura 1,398 / 1,400 clientes PQF2 (99.9%). Los 2 clientes sin mapeo (</w:t>
      </w:r>
      <w:r>
        <w:rPr>
          <w:i/>
          <w:iCs/>
        </w:rPr>
        <w:t xml:space="preserve">“ACCESORIOS, SUMINISTROS Y EQUIPO MEDICO DE MEXICO”</w:t>
      </w:r>
      <w:r>
        <w:rPr>
          <w:i/>
          <w:iCs/>
        </w:rPr>
        <w:t xml:space="preserve"> </w:t>
      </w:r>
      <w:r>
        <w:rPr>
          <w:i/>
          <w:iCs/>
        </w:rPr>
        <w:t xml:space="preserve">y</w:t>
      </w:r>
      <w:r>
        <w:rPr>
          <w:i/>
          <w:iCs/>
        </w:rPr>
        <w:t xml:space="preserve"> </w:t>
      </w:r>
      <w:r>
        <w:rPr>
          <w:i/>
          <w:iCs/>
        </w:rPr>
        <w:t xml:space="preserve">“REHIDRATACION TOTAL R”</w:t>
      </w:r>
      <w:r>
        <w:rPr>
          <w:i/>
          <w:iCs/>
        </w:rPr>
        <w:t xml:space="preserve">) producirán S4 =</w:t>
      </w:r>
      <w:r>
        <w:rPr>
          <w:i/>
          <w:iCs/>
        </w:rPr>
        <w:t xml:space="preserve"> </w:t>
      </w:r>
      <w:r>
        <w:rPr>
          <w:i/>
          <w:iCs/>
        </w:rPr>
        <w:t xml:space="preserve">“0000”</w:t>
      </w:r>
      <w:r>
        <w:rPr>
          <w:i/>
          <w:iCs/>
        </w:rPr>
        <w:t xml:space="preserve"> </w:t>
      </w:r>
      <w:r>
        <w:rPr>
          <w:i/>
          <w:iCs/>
        </w:rPr>
        <w:t xml:space="preserve">— fallback aceptado. La tabla contiene 4,173 filas por bug del job de sync (INSERT sin dedup): el lookup usa</w:t>
      </w:r>
      <w:r>
        <w:rPr>
          <w:i/>
          <w:iCs/>
        </w:rPr>
        <w:t xml:space="preserve"> </w:t>
      </w:r>
      <w:r>
        <w:rPr>
          <w:rStyle w:val="VerbatimChar"/>
          <w:i/>
          <w:iCs/>
        </w:rPr>
        <w:t xml:space="preserve">TOP 1 ORDER BY FechaRegistro ASC</w:t>
      </w:r>
      <w:r>
        <w:rPr>
          <w:i/>
          <w:iCs/>
        </w:rPr>
        <w:t xml:space="preserve"> </w:t>
      </w:r>
      <w:r>
        <w:rPr>
          <w:i/>
          <w:iCs/>
        </w:rPr>
        <w:t xml:space="preserve">como tiebreaker. 6</w:t>
      </w:r>
      <w:r>
        <w:rPr>
          <w:i/>
          <w:iCs/>
        </w:rPr>
        <w:t xml:space="preserve"> </w:t>
      </w:r>
      <w:r>
        <w:rPr>
          <w:rStyle w:val="VerbatimChar"/>
          <w:i/>
          <w:iCs/>
        </w:rPr>
        <w:t xml:space="preserve">ClienteLegacy</w:t>
      </w:r>
      <w:r>
        <w:rPr>
          <w:i/>
          <w:iCs/>
        </w:rPr>
        <w:t xml:space="preserve"> </w:t>
      </w:r>
      <w:r>
        <w:rPr>
          <w:i/>
          <w:iCs/>
        </w:rPr>
        <w:t xml:space="preserve">mapean a 2</w:t>
      </w:r>
      <w:r>
        <w:rPr>
          <w:i/>
          <w:iCs/>
        </w:rPr>
        <w:t xml:space="preserve"> </w:t>
      </w:r>
      <w:r>
        <w:rPr>
          <w:rStyle w:val="VerbatimChar"/>
          <w:i/>
          <w:iCs/>
        </w:rPr>
        <w:t xml:space="preserve">ClientePQF</w:t>
      </w:r>
      <w:r>
        <w:rPr>
          <w:i/>
          <w:iCs/>
        </w:rPr>
        <w:t xml:space="preserve"> </w:t>
      </w:r>
      <w:r>
        <w:rPr>
          <w:i/>
          <w:iCs/>
        </w:rPr>
        <w:t xml:space="preserve">distintos cada uno; no afecta el lookup porque la query filtra por</w:t>
      </w:r>
      <w:r>
        <w:rPr>
          <w:i/>
          <w:iCs/>
        </w:rPr>
        <w:t xml:space="preserve"> </w:t>
      </w:r>
      <w:r>
        <w:rPr>
          <w:rStyle w:val="VerbatimChar"/>
          <w:i/>
          <w:iCs/>
        </w:rPr>
        <w:t xml:space="preserve">ClientePQF = @IdCliente</w:t>
      </w:r>
      <w:r>
        <w:rPr>
          <w:i/>
          <w:iCs/>
        </w:rPr>
        <w:t xml:space="preserve">.)</w:t>
      </w:r>
    </w:p>
    <w:tbl>
      <w:tblPr>
        <w:tblStyle w:val="Table"/>
        <w:tblW w:type="pct" w:w="5000"/>
        <w:tblLayout w:type="fixed"/>
        <w:tblLook w:firstRow="1" w:lastRow="0" w:firstColumn="0" w:lastColumn="0" w:noHBand="0" w:noVBand="0" w:val="0020"/>
      </w:tblPr>
      <w:tblGrid>
        <w:gridCol w:w="1157"/>
        <w:gridCol w:w="5608"/>
        <w:gridCol w:w="2595"/>
      </w:tblGrid>
      <w:tr>
        <w:trPr>
          <w:tblHeader w:val="on"/>
        </w:trPr>
        <w:tc>
          <w:tcPr>
            <w:tcW w:w="1157" w:type="dxa"/>
            <w:shd w:val="clear" w:color="auto" w:fill="434343"/>
          </w:tcPr>
          <w:p>
            <w:pPr>
              <w:pStyle w:val="Compact"/>
              <w:jc w:val="left"/>
            </w:pPr>
            <w:r>
              <w:rPr>
                <w:b/>
                <w:color w:val="FFFFFF"/>
              </w:rPr>
              <w:t xml:space="preserve">Segmento</w:t>
            </w:r>
          </w:p>
        </w:tc>
        <w:tc>
          <w:tcPr>
            <w:tcW w:w="5608" w:type="dxa"/>
            <w:shd w:val="clear" w:color="auto" w:fill="434343"/>
          </w:tcPr>
          <w:p>
            <w:pPr>
              <w:pStyle w:val="Compact"/>
              <w:jc w:val="left"/>
            </w:pPr>
            <w:r>
              <w:rPr>
                <w:b/>
                <w:color w:val="FFFFFF"/>
              </w:rPr>
              <w:t xml:space="preserve">Fuente en PQF2</w:t>
            </w:r>
          </w:p>
        </w:tc>
        <w:tc>
          <w:tcPr>
            <w:tcW w:w="2595" w:type="dxa"/>
            <w:shd w:val="clear" w:color="auto" w:fill="434343"/>
          </w:tcPr>
          <w:p>
            <w:pPr>
              <w:pStyle w:val="Compact"/>
              <w:jc w:val="left"/>
            </w:pPr>
            <w:r>
              <w:rPr>
                <w:b/>
                <w:color w:val="FFFFFF"/>
              </w:rPr>
              <w:t xml:space="preserve">Fallback</w:t>
            </w:r>
          </w:p>
        </w:tc>
      </w:tr>
      <w:tr>
        <w:tc>
          <w:tcPr>
            <w:tcW w:w="1157" w:type="dxa"/>
          </w:tcPr>
          <w:tcPr/>
          <w:p>
            <w:pPr>
              <w:pStyle w:val="Compact"/>
              <w:jc w:val="left"/>
            </w:pPr>
            <w:r>
              <w:t xml:space="preserve">S1</w:t>
            </w:r>
          </w:p>
        </w:tc>
        <w:tc>
          <w:tcPr>
            <w:tcW w:w="5608" w:type="dxa"/>
          </w:tcPr>
          <w:tcPr/>
          <w:p>
            <w:pPr>
              <w:pStyle w:val="Compact"/>
              <w:jc w:val="left"/>
            </w:pPr>
            <w:r>
              <w:rPr>
                <w:rStyle w:val="VerbatimChar"/>
              </w:rPr>
              <w:t xml:space="preserve">Cliente.Nombre[0]</w:t>
            </w:r>
            <w:r>
              <w:t xml:space="preserve"> </w:t>
            </w:r>
            <w:r>
              <w:t xml:space="preserve">— primera letra</w:t>
            </w:r>
          </w:p>
        </w:tc>
        <w:tc>
          <w:tcPr>
            <w:tcW w:w="2595" w:type="dxa"/>
          </w:tcPr>
          <w:tcPr/>
          <w:p>
            <w:pPr>
              <w:pStyle w:val="Compact"/>
              <w:jc w:val="left"/>
            </w:pPr>
            <w:r>
              <w:rPr>
                <w:rStyle w:val="VerbatimChar"/>
              </w:rPr>
              <w:t xml:space="preserve">'X'</w:t>
            </w:r>
            <w:r>
              <w:t xml:space="preserve"> </w:t>
            </w:r>
            <w:r>
              <w:t xml:space="preserve">si nombre vacío o nulo</w:t>
            </w:r>
          </w:p>
        </w:tc>
      </w:tr>
      <w:tr>
        <w:tc>
          <w:tcPr>
            <w:tcW w:w="1157" w:type="dxa"/>
          </w:tcPr>
          <w:tcPr/>
          <w:p>
            <w:pPr>
              <w:pStyle w:val="Compact"/>
              <w:jc w:val="left"/>
            </w:pPr>
            <w:r>
              <w:t xml:space="preserve">S2</w:t>
            </w:r>
          </w:p>
        </w:tc>
        <w:tc>
          <w:tcPr>
            <w:tcW w:w="5608" w:type="dxa"/>
          </w:tcPr>
          <w:tcPr/>
          <w:p>
            <w:pPr>
              <w:pStyle w:val="Compact"/>
              <w:jc w:val="left"/>
            </w:pPr>
            <w:r>
              <w:rPr>
                <w:rStyle w:val="VerbatimChar"/>
              </w:rPr>
              <w:t xml:space="preserve">Cliente.Nombre[1]</w:t>
            </w:r>
            <w:r>
              <w:t xml:space="preserve"> </w:t>
            </w:r>
            <w:r>
              <w:t xml:space="preserve">— segunda letra</w:t>
            </w:r>
          </w:p>
        </w:tc>
        <w:tc>
          <w:tcPr>
            <w:tcW w:w="2595" w:type="dxa"/>
          </w:tcPr>
          <w:tcPr/>
          <w:p>
            <w:pPr>
              <w:pStyle w:val="Compact"/>
              <w:jc w:val="left"/>
            </w:pPr>
            <w:r>
              <w:rPr>
                <w:rStyle w:val="VerbatimChar"/>
              </w:rPr>
              <w:t xml:space="preserve">'X'</w:t>
            </w:r>
            <w:r>
              <w:t xml:space="preserve"> </w:t>
            </w:r>
            <w:r>
              <w:t xml:space="preserve">si nombre tiene &lt; 2 chars</w:t>
            </w:r>
          </w:p>
        </w:tc>
      </w:tr>
      <w:tr>
        <w:tc>
          <w:tcPr>
            <w:tcW w:w="1157" w:type="dxa"/>
          </w:tcPr>
          <w:tcPr/>
          <w:p>
            <w:pPr>
              <w:pStyle w:val="Compact"/>
              <w:jc w:val="left"/>
            </w:pPr>
            <w:r>
              <w:t xml:space="preserve">S3</w:t>
            </w:r>
          </w:p>
        </w:tc>
        <w:tc>
          <w:tcPr>
            <w:tcW w:w="5608" w:type="dxa"/>
          </w:tcPr>
          <w:tcPr/>
          <w:p>
            <w:pPr>
              <w:pStyle w:val="Compact"/>
              <w:jc w:val="left"/>
            </w:pPr>
            <w:r>
              <w:rPr>
                <w:rStyle w:val="VerbatimChar"/>
              </w:rPr>
              <w:t xml:space="preserve">Cliente.Nombre[2]</w:t>
            </w:r>
            <w:r>
              <w:t xml:space="preserve"> </w:t>
            </w:r>
            <w:r>
              <w:t xml:space="preserve">— tercera letra</w:t>
            </w:r>
          </w:p>
        </w:tc>
        <w:tc>
          <w:tcPr>
            <w:tcW w:w="2595" w:type="dxa"/>
          </w:tcPr>
          <w:tcPr/>
          <w:p>
            <w:pPr>
              <w:pStyle w:val="Compact"/>
              <w:jc w:val="left"/>
            </w:pPr>
            <w:r>
              <w:rPr>
                <w:rStyle w:val="VerbatimChar"/>
              </w:rPr>
              <w:t xml:space="preserve">'X'</w:t>
            </w:r>
            <w:r>
              <w:t xml:space="preserve"> </w:t>
            </w:r>
            <w:r>
              <w:t xml:space="preserve">si nombre tiene &lt; 3 chars</w:t>
            </w:r>
          </w:p>
        </w:tc>
      </w:tr>
      <w:tr>
        <w:tc>
          <w:tcPr>
            <w:tcW w:w="1157" w:type="dxa"/>
          </w:tcPr>
          <w:tcPr/>
          <w:p>
            <w:pPr>
              <w:pStyle w:val="Compact"/>
              <w:jc w:val="left"/>
            </w:pPr>
            <w:r>
              <w:t xml:space="preserve">S4</w:t>
            </w:r>
          </w:p>
        </w:tc>
        <w:tc>
          <w:tcPr>
            <w:tcW w:w="5608" w:type="dxa"/>
          </w:tcPr>
          <w:tcPr/>
          <w:p>
            <w:pPr>
              <w:pStyle w:val="Compact"/>
              <w:jc w:val="left"/>
            </w:pPr>
            <w:r>
              <w:t xml:space="preserve">Últimos 4 chars de</w:t>
            </w:r>
            <w:r>
              <w:t xml:space="preserve"> </w:t>
            </w:r>
            <w:r>
              <w:rPr>
                <w:rStyle w:val="VerbatimChar"/>
              </w:rPr>
              <w:t xml:space="preserve">CAST(ClienteLegacy AS varchar)</w:t>
            </w:r>
            <w:r>
              <w:t xml:space="preserve"> </w:t>
            </w:r>
            <w:r>
              <w:t xml:space="preserve">desde</w:t>
            </w:r>
            <w:r>
              <w:t xml:space="preserve"> </w:t>
            </w:r>
            <w:r>
              <w:rPr>
                <w:rStyle w:val="VerbatimChar"/>
              </w:rPr>
              <w:t xml:space="preserve">PConnectProquifaDotNet.dbo.Clientes WHERE ClientePQF = @IdCliente</w:t>
            </w:r>
          </w:p>
        </w:tc>
        <w:tc>
          <w:tcPr>
            <w:tcW w:w="2595" w:type="dxa"/>
          </w:tcPr>
          <w:tcPr/>
          <w:p>
            <w:pPr>
              <w:pStyle w:val="Compact"/>
              <w:jc w:val="left"/>
            </w:pPr>
            <w:r>
              <w:t xml:space="preserve">Padding</w:t>
            </w:r>
            <w:r>
              <w:t xml:space="preserve"> </w:t>
            </w:r>
            <w:r>
              <w:rPr>
                <w:rStyle w:val="VerbatimChar"/>
              </w:rPr>
              <w:t xml:space="preserve">'0'</w:t>
            </w:r>
            <w:r>
              <w:t xml:space="preserve"> </w:t>
            </w:r>
            <w:r>
              <w:t xml:space="preserve">izq. si &lt; 4 chars;</w:t>
            </w:r>
            <w:r>
              <w:t xml:space="preserve"> </w:t>
            </w:r>
            <w:r>
              <w:rPr>
                <w:rStyle w:val="VerbatimChar"/>
              </w:rPr>
              <w:t xml:space="preserve">"0000"</w:t>
            </w:r>
            <w:r>
              <w:t xml:space="preserve"> </w:t>
            </w:r>
            <w:r>
              <w:t xml:space="preserve">si cliente no existe en tabla de mapeo</w:t>
            </w:r>
          </w:p>
        </w:tc>
      </w:tr>
      <w:tr>
        <w:tc>
          <w:tcPr>
            <w:tcW w:w="1157" w:type="dxa"/>
          </w:tcPr>
          <w:tcPr/>
          <w:p>
            <w:pPr>
              <w:pStyle w:val="Compact"/>
              <w:jc w:val="left"/>
            </w:pPr>
            <w:r>
              <w:t xml:space="preserve">S5</w:t>
            </w:r>
          </w:p>
        </w:tc>
        <w:tc>
          <w:tcPr>
            <w:tcW w:w="5608" w:type="dxa"/>
          </w:tcPr>
          <w:tcPr/>
          <w:p>
            <w:pPr>
              <w:pStyle w:val="Compact"/>
              <w:jc w:val="left"/>
            </w:pPr>
            <w:r>
              <w:rPr>
                <w:rStyle w:val="VerbatimChar"/>
              </w:rPr>
              <w:t xml:space="preserve">catBanco.Clave</w:t>
            </w:r>
            <w:r>
              <w:t xml:space="preserve"> </w:t>
            </w:r>
            <w:r>
              <w:t xml:space="preserve">— código del banco (</w:t>
            </w:r>
            <w:r>
              <w:rPr>
                <w:rStyle w:val="VerbatimChar"/>
              </w:rPr>
              <w:t xml:space="preserve">'002'</w:t>
            </w:r>
            <w:r>
              <w:t xml:space="preserve"> </w:t>
            </w:r>
            <w:r>
              <w:t xml:space="preserve">para Banamex)</w:t>
            </w:r>
          </w:p>
        </w:tc>
        <w:tc>
          <w:tcPr>
            <w:tcW w:w="2595" w:type="dxa"/>
          </w:tcPr>
          <w:tcPr/>
          <w:p>
            <w:pPr>
              <w:pStyle w:val="Compact"/>
              <w:jc w:val="left"/>
            </w:pPr>
            <w:r>
              <w:t xml:space="preserve">—</w:t>
            </w:r>
          </w:p>
        </w:tc>
      </w:tr>
      <w:tr>
        <w:tc>
          <w:tcPr>
            <w:tcW w:w="1157" w:type="dxa"/>
          </w:tcPr>
          <w:tcPr/>
          <w:p>
            <w:pPr>
              <w:pStyle w:val="Compact"/>
              <w:jc w:val="left"/>
            </w:pPr>
            <w:r>
              <w:t xml:space="preserve">S6</w:t>
            </w:r>
          </w:p>
        </w:tc>
        <w:tc>
          <w:tcPr>
            <w:tcW w:w="5608" w:type="dxa"/>
          </w:tcPr>
          <w:tcPr/>
          <w:p>
            <w:pPr>
              <w:pStyle w:val="Compact"/>
              <w:jc w:val="left"/>
            </w:pPr>
            <w:r>
              <w:rPr>
                <w:rStyle w:val="VerbatimChar"/>
              </w:rPr>
              <w:t xml:space="preserve">'P'</w:t>
            </w:r>
            <w:r>
              <w:t xml:space="preserve"> </w:t>
            </w:r>
            <w:r>
              <w:t xml:space="preserve">si la</w:t>
            </w:r>
            <w:r>
              <w:t xml:space="preserve"> </w:t>
            </w:r>
            <w:r>
              <w:rPr>
                <w:b/>
                <w:bCs/>
              </w:rPr>
              <w:t xml:space="preserve">primera letra</w:t>
            </w:r>
            <w:r>
              <w:t xml:space="preserve"> </w:t>
            </w:r>
            <w:r>
              <w:t xml:space="preserve">de</w:t>
            </w:r>
            <w:r>
              <w:t xml:space="preserve"> </w:t>
            </w:r>
            <w:r>
              <w:rPr>
                <w:rStyle w:val="VerbatimChar"/>
              </w:rPr>
              <w:t xml:space="preserve">catMoneda.ClaveMoneda</w:t>
            </w:r>
            <w:r>
              <w:t xml:space="preserve"> </w:t>
            </w:r>
            <w:r>
              <w:t xml:space="preserve">es</w:t>
            </w:r>
            <w:r>
              <w:t xml:space="preserve"> </w:t>
            </w:r>
            <w:r>
              <w:rPr>
                <w:rStyle w:val="VerbatimChar"/>
              </w:rPr>
              <w:t xml:space="preserve">'M'</w:t>
            </w:r>
            <w:r>
              <w:t xml:space="preserve">;</w:t>
            </w:r>
            <w:r>
              <w:t xml:space="preserve"> </w:t>
            </w:r>
            <w:r>
              <w:rPr>
                <w:rStyle w:val="VerbatimChar"/>
              </w:rPr>
              <w:t xml:space="preserve">'D'</w:t>
            </w:r>
            <w:r>
              <w:t xml:space="preserve"> </w:t>
            </w:r>
            <w:r>
              <w:t xml:space="preserve">en otro caso (regla literal de Regla 7/Criterio C3 de la matriz — replica Legacy 1:1, no es igualdad exacta a</w:t>
            </w:r>
            <w:r>
              <w:t xml:space="preserve"> </w:t>
            </w:r>
            <w:r>
              <w:t xml:space="preserve">“MXN”</w:t>
            </w:r>
            <w:r>
              <w:t xml:space="preserve">). Ruta real:</w:t>
            </w:r>
            <w:r>
              <w:t xml:space="preserve"> </w:t>
            </w:r>
            <w:r>
              <w:rPr>
                <w:rStyle w:val="VerbatimChar"/>
              </w:rPr>
              <w:t xml:space="preserve">DatosBancarios.IdCatMoneda → catMoneda.ClaveMoneda</w:t>
            </w:r>
            <w:r>
              <w:t xml:space="preserve"> </w:t>
            </w:r>
            <w:r>
              <w:t xml:space="preserve">(la moneda NO está en EmpresaDatosBancarios)</w:t>
            </w:r>
          </w:p>
        </w:tc>
        <w:tc>
          <w:tcPr>
            <w:tcW w:w="2595" w:type="dxa"/>
          </w:tcPr>
          <w:tcPr/>
          <w:p>
            <w:pPr>
              <w:pStyle w:val="Compact"/>
              <w:jc w:val="left"/>
            </w:pPr>
            <w:r>
              <w:t xml:space="preserve">—</w:t>
            </w:r>
          </w:p>
        </w:tc>
      </w:tr>
      <w:tr>
        <w:tc>
          <w:tcPr>
            <w:tcW w:w="1157" w:type="dxa"/>
          </w:tcPr>
          <w:tcPr/>
          <w:p>
            <w:pPr>
              <w:pStyle w:val="Compact"/>
              <w:jc w:val="left"/>
            </w:pPr>
            <w:r>
              <w:t xml:space="preserve">S7</w:t>
            </w:r>
          </w:p>
        </w:tc>
        <w:tc>
          <w:tcPr>
            <w:tcW w:w="5608" w:type="dxa"/>
          </w:tcPr>
          <w:tcPr/>
          <w:p>
            <w:pPr>
              <w:pStyle w:val="Compact"/>
              <w:jc w:val="left"/>
            </w:pPr>
            <w:r>
              <w:rPr>
                <w:rStyle w:val="VerbatimChar"/>
              </w:rPr>
              <w:t xml:space="preserve">ClienteDatosBancarios.CodigoValidador</w:t>
            </w:r>
          </w:p>
        </w:tc>
        <w:tc>
          <w:tcPr>
            <w:tcW w:w="2595" w:type="dxa"/>
          </w:tcPr>
          <w:tcPr/>
          <w:p>
            <w:pPr>
              <w:pStyle w:val="Compact"/>
              <w:jc w:val="left"/>
            </w:pPr>
            <w:r>
              <w:t xml:space="preserve">—</w:t>
            </w:r>
          </w:p>
        </w:tc>
      </w:tr>
    </w:tbl>
    <w:p>
      <w:pPr>
        <w:pStyle w:val="BodyText"/>
      </w:pPr>
      <w:r>
        <w:rPr>
          <w:b/>
          <w:bCs/>
        </w:rPr>
        <w:t xml:space="preserve">Ejemplo:</w:t>
      </w:r>
      <w:r>
        <w:t xml:space="preserve"> </w:t>
      </w:r>
      <w:r>
        <w:t xml:space="preserve">Cliente</w:t>
      </w:r>
      <w:r>
        <w:t xml:space="preserve"> </w:t>
      </w:r>
      <w:r>
        <w:rPr>
          <w:rStyle w:val="VerbatimChar"/>
        </w:rPr>
        <w:t xml:space="preserve">QUIMICOS SA DE CV</w:t>
      </w:r>
      <w:r>
        <w:t xml:space="preserve">,</w:t>
      </w:r>
      <w:r>
        <w:t xml:space="preserve"> </w:t>
      </w:r>
      <w:r>
        <w:rPr>
          <w:rStyle w:val="VerbatimChar"/>
        </w:rPr>
        <w:t xml:space="preserve">ClienteLegacy = 12345</w:t>
      </w:r>
      <w:r>
        <w:t xml:space="preserve">, Banamex (</w:t>
      </w:r>
      <w:r>
        <w:rPr>
          <w:rStyle w:val="VerbatimChar"/>
        </w:rPr>
        <w:t xml:space="preserve">002</w:t>
      </w:r>
      <w:r>
        <w:t xml:space="preserve">), Moneda</w:t>
      </w:r>
      <w:r>
        <w:t xml:space="preserve"> </w:t>
      </w:r>
      <w:r>
        <w:rPr>
          <w:rStyle w:val="VerbatimChar"/>
        </w:rPr>
        <w:t xml:space="preserve">MXN</w:t>
      </w:r>
      <w:r>
        <w:t xml:space="preserve">, CodValidador</w:t>
      </w:r>
      <w:r>
        <w:t xml:space="preserve"> </w:t>
      </w:r>
      <w:r>
        <w:rPr>
          <w:rStyle w:val="VerbatimChar"/>
        </w:rPr>
        <w:t xml:space="preserve">ABC</w:t>
      </w:r>
      <w:r>
        <w:t xml:space="preserve"> </w:t>
      </w:r>
      <w:r>
        <w:t xml:space="preserve">→ referencia =</w:t>
      </w:r>
      <w:r>
        <w:t xml:space="preserve"> </w:t>
      </w:r>
      <w:r>
        <w:rPr>
          <w:rStyle w:val="VerbatimChar"/>
        </w:rPr>
        <w:t xml:space="preserve">QUI2345002PABC</w:t>
      </w:r>
    </w:p>
    <w:p>
      <w:pPr>
        <w:pStyle w:val="BodyText"/>
      </w:pPr>
      <w:r>
        <w:rPr>
          <w:b/>
          <w:bCs/>
        </w:rPr>
        <w:t xml:space="preserve">GAP-D cerrado:</w:t>
      </w:r>
      <w:r>
        <w:t xml:space="preserve"> </w:t>
      </w:r>
      <w:r>
        <w:t xml:space="preserve">identificación de Banamex ya no depende de comparar la clave del banco (</w:t>
      </w:r>
      <w:r>
        <w:rPr>
          <w:rStyle w:val="VerbatimChar"/>
        </w:rPr>
        <w:t xml:space="preserve">catBanco.Clave = '002'</w:t>
      </w:r>
      <w:r>
        <w:t xml:space="preserve">) — se agrega la columna</w:t>
      </w:r>
      <w:r>
        <w:t xml:space="preserve"> </w:t>
      </w:r>
      <w:r>
        <w:rPr>
          <w:rStyle w:val="VerbatimChar"/>
        </w:rPr>
        <w:t xml:space="preserve">catBanco.RequiereCodigoValidador</w:t>
      </w:r>
      <w:r>
        <w:t xml:space="preserve"> </w:t>
      </w:r>
      <w:r>
        <w:t xml:space="preserve">(bit) como condición definitiva:</w:t>
      </w:r>
      <w:r>
        <w:t xml:space="preserve"> </w:t>
      </w:r>
      <w:r>
        <w:rPr>
          <w:rStyle w:val="VerbatimChar"/>
        </w:rPr>
        <w:t xml:space="preserve">RequiereCodigoValidador = 1</w:t>
      </w:r>
      <w:r>
        <w:t xml:space="preserve"> </w:t>
      </w:r>
      <w:r>
        <w:t xml:space="preserve">para Banamex,</w:t>
      </w:r>
      <w:r>
        <w:t xml:space="preserve"> </w:t>
      </w:r>
      <w:r>
        <w:rPr>
          <w:rStyle w:val="VerbatimChar"/>
        </w:rPr>
        <w:t xml:space="preserve">0</w:t>
      </w:r>
      <w:r>
        <w:t xml:space="preserve"> </w:t>
      </w:r>
      <w:r>
        <w:t xml:space="preserve">para el resto. El catálogo genérico</w:t>
      </w:r>
      <w:r>
        <w:t xml:space="preserve"> </w:t>
      </w:r>
      <w:r>
        <w:rPr>
          <w:rStyle w:val="VerbatimChar"/>
        </w:rPr>
        <w:t xml:space="preserve">POST /catBanco</w:t>
      </w:r>
      <w:r>
        <w:t xml:space="preserve"> </w:t>
      </w:r>
      <w:r>
        <w:t xml:space="preserve">(ya existente, sin ampliar) expone este campo directamente al consumidor, sin necesidad de un selector propio de RE-006. El cruce con tabla</w:t>
      </w:r>
      <w:r>
        <w:t xml:space="preserve"> </w:t>
      </w:r>
      <w:r>
        <w:rPr>
          <w:rStyle w:val="VerbatimChar"/>
        </w:rPr>
        <w:t xml:space="preserve">Empresas</w:t>
      </w:r>
      <w:r>
        <w:t xml:space="preserve"> </w:t>
      </w:r>
      <w:r>
        <w:t xml:space="preserve">descrito en P72 (DUDA-016) sigue descartado.</w:t>
      </w:r>
    </w:p>
    <w:p>
      <w:pPr>
        <w:pStyle w:val="BodyText"/>
      </w:pPr>
      <w:r>
        <w:rPr>
          <w:b/>
          <w:bCs/>
        </w:rPr>
        <w:t xml:space="preserve">Desbordamiento S4:</w:t>
      </w:r>
      <w:r>
        <w:t xml:space="preserve"> </w:t>
      </w:r>
      <w:r>
        <w:t xml:space="preserve">registro actual en PConnect ~7,237 clientes. Al superar 9,999,</w:t>
      </w:r>
      <w:r>
        <w:t xml:space="preserve"> </w:t>
      </w:r>
      <w:r>
        <w:rPr>
          <w:rStyle w:val="VerbatimChar"/>
        </w:rPr>
        <w:t xml:space="preserve">ClienteLegacy</w:t>
      </w:r>
      <w:r>
        <w:t xml:space="preserve"> </w:t>
      </w:r>
      <w:r>
        <w:t xml:space="preserve">con 5+ dígitos genera S4 repetido (ej. cliente 10,001 → S4 =</w:t>
      </w:r>
      <w:r>
        <w:t xml:space="preserve"> </w:t>
      </w:r>
      <w:r>
        <w:rPr>
          <w:rStyle w:val="VerbatimChar"/>
        </w:rPr>
        <w:t xml:space="preserve">"0001"</w:t>
      </w:r>
      <w:r>
        <w:t xml:space="preserve">). Riesgo aceptado: la unicidad de la referencia completa la aporta S7 (</w:t>
      </w:r>
      <w:r>
        <w:rPr>
          <w:rStyle w:val="VerbatimChar"/>
        </w:rPr>
        <w:t xml:space="preserve">CodigoValidador</w:t>
      </w:r>
      <w:r>
        <w:t xml:space="preserve">). Si Banamex exige S4 único en el futuro, escalar a 5 chars requiere coordinación con el banco.</w:t>
      </w:r>
    </w:p>
    <w:p>
      <w:pPr>
        <w:pStyle w:val="Heading2"/>
      </w:pPr>
      <w:r>
        <w:rPr>
          <w:b/>
          <w:bCs/>
        </w:rPr>
        <w:t xml:space="preserve">3. Flujo 3 — Regeneración en cascada por cambio de</w:t>
      </w:r>
      <w:r>
        <w:rPr>
          <w:b/>
          <w:bCs/>
        </w:rPr>
        <w:t xml:space="preserve"> </w:t>
      </w:r>
      <w:r>
        <w:rPr>
          <w:rStyle w:val="VerbatimChar"/>
          <w:b/>
          <w:bCs/>
        </w:rPr>
        <w:t xml:space="preserve">Cliente.Nombre</w:t>
      </w:r>
      <w:r>
        <w:rPr>
          <w:b/>
          <w:bCs/>
        </w:rPr>
        <w:t xml:space="preserve"> </w:t>
      </w:r>
      <w:r>
        <w:rPr>
          <w:b/>
          <w:bCs/>
        </w:rPr>
        <w:t xml:space="preserve">(RF-15 / GAP-07)</w:t>
      </w:r>
    </w:p>
    <w:p>
      <w:pPr>
        <w:pStyle w:val="FirstParagraph"/>
      </w:pPr>
      <w:r>
        <w:t xml:space="preserve">Incorporado en v1.6.</w:t>
      </w:r>
      <w:r>
        <w:t xml:space="preserve"> </w:t>
      </w:r>
      <w:r>
        <w:rPr>
          <w:b/>
          <w:bCs/>
        </w:rPr>
        <w:t xml:space="preserve">Requisito de matriz (Regla 4 nivel 1):</w:t>
      </w:r>
      <w:r>
        <w:t xml:space="preserve"> </w:t>
      </w:r>
      <w:r>
        <w:rPr>
          <w:i/>
          <w:iCs/>
        </w:rPr>
        <w:t xml:space="preserve">“solo se regenera si cambia un dato fuente… o datos del cliente que la componen”</w:t>
      </w:r>
      <w:r>
        <w:t xml:space="preserve">. Los segmentos S1–S3 de la referencia Banamex dependen de</w:t>
      </w:r>
      <w:r>
        <w:t xml:space="preserve"> </w:t>
      </w:r>
      <w:r>
        <w:rPr>
          <w:rStyle w:val="VerbatimChar"/>
        </w:rPr>
        <w:t xml:space="preserve">Cliente.Nombre</w:t>
      </w:r>
      <w:r>
        <w:t xml:space="preserve">, y la referencia no-Banamex es el nombre — un cambio de nombre deja</w:t>
      </w:r>
      <w:r>
        <w:t xml:space="preserve"> </w:t>
      </w:r>
      <w:r>
        <w:rPr>
          <w:rStyle w:val="VerbatimChar"/>
        </w:rPr>
        <w:t xml:space="preserve">ReferenciaVigente</w:t>
      </w:r>
      <w:r>
        <w:t xml:space="preserve"> </w:t>
      </w:r>
      <w:r>
        <w:t xml:space="preserve">obsoleta y contaminaría el Buzón en proformas futuras.</w:t>
      </w:r>
    </w:p>
    <w:p>
      <w:pPr>
        <w:pStyle w:val="BodyText"/>
      </w:pPr>
      <w:r>
        <w:rPr>
          <w:b/>
          <w:bCs/>
        </w:rPr>
        <w:t xml:space="preserve">Reducción de superficie:</w:t>
      </w:r>
      <w:r>
        <w:t xml:space="preserve"> </w:t>
      </w:r>
      <w:r>
        <w:t xml:space="preserve">como S4 usa</w:t>
      </w:r>
      <w:r>
        <w:t xml:space="preserve"> </w:t>
      </w:r>
      <w:r>
        <w:rPr>
          <w:rStyle w:val="VerbatimChar"/>
        </w:rPr>
        <w:t xml:space="preserve">ClienteLegacy</w:t>
      </w:r>
      <w:r>
        <w:t xml:space="preserve"> </w:t>
      </w:r>
      <w:r>
        <w:t xml:space="preserve">(id legacy inmutable) y no</w:t>
      </w:r>
      <w:r>
        <w:t xml:space="preserve"> </w:t>
      </w:r>
      <w:r>
        <w:rPr>
          <w:rStyle w:val="VerbatimChar"/>
        </w:rPr>
        <w:t xml:space="preserve">Cliente.Clave</w:t>
      </w:r>
      <w:r>
        <w:t xml:space="preserve">, el único dato del cliente que caduca la referencia es</w:t>
      </w:r>
      <w:r>
        <w:t xml:space="preserve"> </w:t>
      </w:r>
      <w:r>
        <w:rPr>
          <w:rStyle w:val="VerbatimChar"/>
        </w:rPr>
        <w:t xml:space="preserve">Cliente.Nombre</w:t>
      </w:r>
      <w:r>
        <w:t xml:space="preserve">. El disparador se limita a ese campo.</w:t>
      </w:r>
    </w:p>
    <w:p>
      <w:pPr>
        <w:pStyle w:val="BodyText"/>
      </w:pPr>
      <w:r>
        <w:rPr>
          <w:b/>
          <w:bCs/>
        </w:rPr>
        <w:t xml:space="preserve">Alcance del cambio de fuente de dato (v1.11):</w:t>
      </w:r>
      <w:r>
        <w:t xml:space="preserve"> </w:t>
      </w:r>
      <w:r>
        <w:t xml:space="preserve">de los dos caminos de</w:t>
      </w:r>
      <w:r>
        <w:t xml:space="preserve"> </w:t>
      </w:r>
      <w:r>
        <w:rPr>
          <w:rStyle w:val="VerbatimChar"/>
        </w:rPr>
        <w:t xml:space="preserve">BankReferenceBO</w:t>
      </w:r>
      <w:r>
        <w:t xml:space="preserve">, solo cambia la fuente de dato del fallback no-Banamex, que ahora toma</w:t>
      </w:r>
      <w:r>
        <w:t xml:space="preserve"> </w:t>
      </w:r>
      <w:r>
        <w:rPr>
          <w:rStyle w:val="VerbatimChar"/>
        </w:rPr>
        <w:t xml:space="preserve">DatosFacturacionCliente.RazonSocial</w:t>
      </w:r>
      <w:r>
        <w:t xml:space="preserve"> </w:t>
      </w:r>
      <w:r>
        <w:t xml:space="preserve">en vez de</w:t>
      </w:r>
      <w:r>
        <w:t xml:space="preserve"> </w:t>
      </w:r>
      <w:r>
        <w:rPr>
          <w:rStyle w:val="VerbatimChar"/>
        </w:rPr>
        <w:t xml:space="preserve">Cliente.Nombre</w:t>
      </w:r>
      <w:r>
        <w:t xml:space="preserve">. El algoritmo Banamex (segmentos S1-S3, 7 segmentos) no se modifica y sigue leyendo</w:t>
      </w:r>
      <w:r>
        <w:t xml:space="preserve"> </w:t>
      </w:r>
      <w:r>
        <w:rPr>
          <w:rStyle w:val="VerbatimChar"/>
        </w:rPr>
        <w:t xml:space="preserve">Cliente.Nombre</w:t>
      </w:r>
      <w:r>
        <w:t xml:space="preserve"> </w:t>
      </w:r>
      <w:r>
        <w:t xml:space="preserve">en su totalidad.</w:t>
      </w:r>
    </w:p>
    <w:p>
      <w:pPr>
        <w:pStyle w:val="BodyText"/>
      </w:pPr>
      <w:r>
        <w:rPr>
          <w:b/>
          <w:bCs/>
        </w:rPr>
        <w:t xml:space="preserve">Mecanismo (hook transaccional en</w:t>
      </w:r>
      <w:r>
        <w:rPr>
          <w:b/>
          <w:bCs/>
        </w:rPr>
        <w:t xml:space="preserve"> </w:t>
      </w:r>
      <w:r>
        <w:rPr>
          <w:rStyle w:val="VerbatimChar"/>
          <w:b/>
          <w:bCs/>
        </w:rPr>
        <w:t xml:space="preserve">ClienteBO</w:t>
      </w:r>
      <w:r>
        <w:rPr>
          <w:b/>
          <w:bCs/>
        </w:rPr>
        <w:t xml:space="preserve">):</w:t>
      </w:r>
      <w:r>
        <w:t xml:space="preserve"> </w:t>
      </w:r>
      <w:r>
        <w:t xml:space="preserve">1. Al guardar/actualizar un cliente,</w:t>
      </w:r>
      <w:r>
        <w:t xml:space="preserve"> </w:t>
      </w:r>
      <w:r>
        <w:rPr>
          <w:rStyle w:val="VerbatimChar"/>
        </w:rPr>
        <w:t xml:space="preserve">ClienteBO._GuardarOActualizar</w:t>
      </w:r>
      <w:r>
        <w:t xml:space="preserve"> </w:t>
      </w:r>
      <w:r>
        <w:t xml:space="preserve">detecta si cambió</w:t>
      </w:r>
      <w:r>
        <w:t xml:space="preserve"> </w:t>
      </w:r>
      <w:r>
        <w:rPr>
          <w:rStyle w:val="VerbatimChar"/>
        </w:rPr>
        <w:t xml:space="preserve">Cliente.Nombre</w:t>
      </w:r>
      <w:r>
        <w:t xml:space="preserve">.</w:t>
      </w:r>
      <w:r>
        <w:t xml:space="preserve"> </w:t>
      </w:r>
      <w:r>
        <w:t xml:space="preserve">2. Si no cambió → no-op (fin sin efecto).</w:t>
      </w:r>
      <w:r>
        <w:t xml:space="preserve"> </w:t>
      </w:r>
      <w:r>
        <w:t xml:space="preserve">3. Si cambió →</w:t>
      </w:r>
      <w:r>
        <w:t xml:space="preserve"> </w:t>
      </w:r>
      <w:r>
        <w:rPr>
          <w:rStyle w:val="VerbatimChar"/>
        </w:rPr>
        <w:t xml:space="preserve">SELECT</w:t>
      </w:r>
      <w:r>
        <w:t xml:space="preserve"> </w:t>
      </w:r>
      <w:r>
        <w:t xml:space="preserve">de todas las asignaciones activas (</w:t>
      </w:r>
      <w:r>
        <w:rPr>
          <w:rStyle w:val="VerbatimChar"/>
        </w:rPr>
        <w:t xml:space="preserve">ClienteDatosBancarios.Activo = 1</w:t>
      </w:r>
      <w:r>
        <w:t xml:space="preserve">) del cliente.</w:t>
      </w:r>
      <w:r>
        <w:t xml:space="preserve"> </w:t>
      </w:r>
      <w:r>
        <w:t xml:space="preserve">4. Para cada asignación, recalcular</w:t>
      </w:r>
      <w:r>
        <w:t xml:space="preserve"> </w:t>
      </w:r>
      <w:r>
        <w:rPr>
          <w:rStyle w:val="VerbatimChar"/>
        </w:rPr>
        <w:t xml:space="preserve">ReferenciaVigente</w:t>
      </w:r>
      <w:r>
        <w:t xml:space="preserve"> </w:t>
      </w:r>
      <w:r>
        <w:t xml:space="preserve">invocando</w:t>
      </w:r>
      <w:r>
        <w:t xml:space="preserve"> </w:t>
      </w:r>
      <w:r>
        <w:rPr>
          <w:rStyle w:val="VerbatimChar"/>
        </w:rPr>
        <w:t xml:space="preserve">BankReferenceBO.Build()</w:t>
      </w:r>
      <w:r>
        <w:t xml:space="preserve"> </w:t>
      </w:r>
      <w:r>
        <w:t xml:space="preserve">(con el</w:t>
      </w:r>
      <w:r>
        <w:t xml:space="preserve"> </w:t>
      </w:r>
      <w:r>
        <w:rPr>
          <w:rStyle w:val="VerbatimChar"/>
        </w:rPr>
        <w:t xml:space="preserve">ClienteLegacy</w:t>
      </w:r>
      <w:r>
        <w:t xml:space="preserve"> </w:t>
      </w:r>
      <w:r>
        <w:t xml:space="preserve">ya resuelto) y actualizar</w:t>
      </w:r>
      <w:r>
        <w:t xml:space="preserve"> </w:t>
      </w:r>
      <w:r>
        <w:rPr>
          <w:rStyle w:val="VerbatimChar"/>
        </w:rPr>
        <w:t xml:space="preserve">ReferenciaVigente</w:t>
      </w:r>
      <w:r>
        <w:t xml:space="preserve"> </w:t>
      </w:r>
      <w:r>
        <w:t xml:space="preserve">+</w:t>
      </w:r>
      <w:r>
        <w:t xml:space="preserve"> </w:t>
      </w:r>
      <w:r>
        <w:rPr>
          <w:rStyle w:val="VerbatimChar"/>
        </w:rPr>
        <w:t xml:space="preserve">FechaReferenciaVigente</w:t>
      </w:r>
      <w:r>
        <w:t xml:space="preserve">, en la misma transacción del guardado del cliente.</w:t>
      </w:r>
      <w:r>
        <w:t xml:space="preserve"> </w:t>
      </w:r>
      <w:r>
        <w:t xml:space="preserve">5. Registrar</w:t>
      </w:r>
      <w:r>
        <w:t xml:space="preserve"> </w:t>
      </w:r>
      <w:r>
        <w:rPr>
          <w:rStyle w:val="VerbatimChar"/>
        </w:rPr>
        <w:t xml:space="preserve">INFO</w:t>
      </w:r>
      <w:r>
        <w:t xml:space="preserve"> </w:t>
      </w:r>
      <w:r>
        <w:t xml:space="preserve">con el nº de asignaciones recalculadas.</w:t>
      </w:r>
    </w:p>
    <w:p>
      <w:pPr>
        <w:pStyle w:val="SourceCode"/>
      </w:pPr>
      <w:r>
        <w:rPr>
          <w:rStyle w:val="KeywordTok"/>
        </w:rPr>
        <w:t xml:space="preserve">flowchart</w:t>
      </w:r>
      <w:r>
        <w:rPr>
          <w:rStyle w:val="NormalTok"/>
        </w:rPr>
        <w:t xml:space="preserve"> </w:t>
      </w:r>
      <w:r>
        <w:rPr>
          <w:rStyle w:val="BuiltInTok"/>
        </w:rPr>
        <w:t xml:space="preserve">TD</w:t>
      </w:r>
      <w:r>
        <w:br/>
      </w:r>
      <w:r>
        <w:rPr>
          <w:rStyle w:val="NormalTok"/>
        </w:rPr>
        <w:t xml:space="preserve">    A</w:t>
      </w:r>
      <w:r>
        <w:rPr>
          <w:rStyle w:val="FunctionTok"/>
        </w:rPr>
        <w:t xml:space="preserve">([Guardar Cliente])</w:t>
      </w:r>
      <w:r>
        <w:rPr>
          <w:rStyle w:val="NormalTok"/>
        </w:rPr>
        <w:t xml:space="preserve"> </w:t>
      </w:r>
      <w:r>
        <w:rPr>
          <w:rStyle w:val="OperatorTok"/>
        </w:rPr>
        <w:t xml:space="preserve">--&gt;</w:t>
      </w:r>
      <w:r>
        <w:rPr>
          <w:rStyle w:val="NormalTok"/>
        </w:rPr>
        <w:t xml:space="preserve"> B</w:t>
      </w:r>
      <w:r>
        <w:rPr>
          <w:rStyle w:val="FunctionTok"/>
        </w:rPr>
        <w:t xml:space="preserve">{¿Cambió Cliente.Nombre?}</w:t>
      </w:r>
      <w:r>
        <w:br/>
      </w:r>
      <w:r>
        <w:rPr>
          <w:rStyle w:val="NormalTok"/>
        </w:rPr>
        <w:t xml:space="preserve">    B </w:t>
      </w:r>
      <w:r>
        <w:rPr>
          <w:rStyle w:val="OperatorTok"/>
        </w:rPr>
        <w:t xml:space="preserve">--</w:t>
      </w:r>
      <w:r>
        <w:rPr>
          <w:rStyle w:val="NormalTok"/>
        </w:rPr>
        <w:t xml:space="preserve"> No </w:t>
      </w:r>
      <w:r>
        <w:rPr>
          <w:rStyle w:val="OperatorTok"/>
        </w:rPr>
        <w:t xml:space="preserve">--&gt;</w:t>
      </w:r>
      <w:r>
        <w:rPr>
          <w:rStyle w:val="NormalTok"/>
        </w:rPr>
        <w:t xml:space="preserve"> Z</w:t>
      </w:r>
      <w:r>
        <w:rPr>
          <w:rStyle w:val="FunctionTok"/>
        </w:rPr>
        <w:t xml:space="preserve">([Fin sin efecto])</w:t>
      </w:r>
      <w:r>
        <w:br/>
      </w:r>
      <w:r>
        <w:rPr>
          <w:rStyle w:val="NormalTok"/>
        </w:rPr>
        <w:t xml:space="preserve">    B </w:t>
      </w:r>
      <w:r>
        <w:rPr>
          <w:rStyle w:val="OperatorTok"/>
        </w:rPr>
        <w:t xml:space="preserve">--</w:t>
      </w:r>
      <w:r>
        <w:rPr>
          <w:rStyle w:val="NormalTok"/>
        </w:rPr>
        <w:t xml:space="preserve"> Sí </w:t>
      </w:r>
      <w:r>
        <w:rPr>
          <w:rStyle w:val="OperatorTok"/>
        </w:rPr>
        <w:t xml:space="preserve">--&gt;</w:t>
      </w:r>
      <w:r>
        <w:rPr>
          <w:rStyle w:val="NormalTok"/>
        </w:rPr>
        <w:t xml:space="preserve"> C</w:t>
      </w:r>
      <w:r>
        <w:rPr>
          <w:rStyle w:val="FunctionTok"/>
        </w:rPr>
        <w:t xml:space="preserve">[(SELECT asignaciones activas del cliente)]</w:t>
      </w:r>
      <w:r>
        <w:br/>
      </w:r>
      <w:r>
        <w:rPr>
          <w:rStyle w:val="NormalTok"/>
        </w:rPr>
        <w:t xml:space="preserve">    C </w:t>
      </w:r>
      <w:r>
        <w:rPr>
          <w:rStyle w:val="OperatorTok"/>
        </w:rPr>
        <w:t xml:space="preserve">--&gt;</w:t>
      </w:r>
      <w:r>
        <w:rPr>
          <w:rStyle w:val="NormalTok"/>
        </w:rPr>
        <w:t xml:space="preserve"> D</w:t>
      </w:r>
      <w:r>
        <w:rPr>
          <w:rStyle w:val="FunctionTok"/>
        </w:rPr>
        <w:t xml:space="preserve">[Recalcular ReferenciaVigente por asignación]</w:t>
      </w:r>
      <w:r>
        <w:br/>
      </w:r>
      <w:r>
        <w:rPr>
          <w:rStyle w:val="NormalTok"/>
        </w:rPr>
        <w:t xml:space="preserve">    D </w:t>
      </w:r>
      <w:r>
        <w:rPr>
          <w:rStyle w:val="OperatorTok"/>
        </w:rPr>
        <w:t xml:space="preserve">--&gt;</w:t>
      </w:r>
      <w:r>
        <w:rPr>
          <w:rStyle w:val="NormalTok"/>
        </w:rPr>
        <w:t xml:space="preserve"> E</w:t>
      </w:r>
      <w:r>
        <w:rPr>
          <w:rStyle w:val="FunctionTok"/>
        </w:rPr>
        <w:t xml:space="preserve">[(UPDATE ReferenciaVigente + FechaReferenciaVigente)]</w:t>
      </w:r>
      <w:r>
        <w:br/>
      </w:r>
      <w:r>
        <w:rPr>
          <w:rStyle w:val="NormalTok"/>
        </w:rPr>
        <w:t xml:space="preserve">    E </w:t>
      </w:r>
      <w:r>
        <w:rPr>
          <w:rStyle w:val="OperatorTok"/>
        </w:rPr>
        <w:t xml:space="preserve">--&gt;</w:t>
      </w:r>
      <w:r>
        <w:rPr>
          <w:rStyle w:val="NormalTok"/>
        </w:rPr>
        <w:t xml:space="preserve"> F</w:t>
      </w:r>
      <w:r>
        <w:rPr>
          <w:rStyle w:val="FunctionTok"/>
        </w:rPr>
        <w:t xml:space="preserve">([Commit transacción de guardado])</w:t>
      </w:r>
    </w:p>
    <w:p>
      <w:pPr>
        <w:pStyle w:val="FirstParagraph"/>
      </w:pPr>
      <w:r>
        <w:drawing>
          <wp:inline>
            <wp:extent cx="5486400" cy="11909833"/>
            <wp:effectExtent b="0" l="0" r="0" t="0"/>
            <wp:docPr descr="" title="" id="29" name="Picture"/>
            <a:graphic>
              <a:graphicData uri="http://schemas.openxmlformats.org/drawingml/2006/picture">
                <pic:pic>
                  <pic:nvPicPr>
                    <pic:cNvPr descr="C:\Users\jose.santiago\Projects\R16\pipeline-gdocs\enhances\.cache\e22294e1.png" id="30" name="Picture"/>
                    <pic:cNvPicPr>
                      <a:picLocks noChangeArrowheads="1" noChangeAspect="1"/>
                    </pic:cNvPicPr>
                  </pic:nvPicPr>
                  <pic:blipFill>
                    <a:blip r:embed="rId28"/>
                    <a:stretch>
                      <a:fillRect/>
                    </a:stretch>
                  </pic:blipFill>
                  <pic:spPr bwMode="auto">
                    <a:xfrm>
                      <a:off x="0" y="0"/>
                      <a:ext cx="5486400" cy="11909833"/>
                    </a:xfrm>
                    <a:prstGeom prst="rect">
                      <a:avLst/>
                    </a:prstGeom>
                    <a:noFill/>
                    <a:ln w="9525">
                      <a:noFill/>
                      <a:headEnd/>
                      <a:tailEnd/>
                    </a:ln>
                  </pic:spPr>
                </pic:pic>
              </a:graphicData>
            </a:graphic>
          </wp:inline>
        </w:drawing>
      </w:r>
    </w:p>
    <w:p>
      <w:pPr>
        <w:pStyle w:val="BodyText"/>
      </w:pPr>
      <w:r>
        <w:rPr>
          <w:b/>
          <w:bCs/>
        </w:rPr>
        <w:t xml:space="preserve">Rutas de fallo:</w:t>
      </w:r>
      <w:r>
        <w:t xml:space="preserve"> </w:t>
      </w:r>
      <w:r>
        <w:t xml:space="preserve">- Cliente sin asignaciones activas → no-op.</w:t>
      </w:r>
      <w:r>
        <w:t xml:space="preserve"> </w:t>
      </w:r>
      <w:r>
        <w:t xml:space="preserve">- Fallo al recalcular una asignación → rollback de toda la transacción de guardado del cliente (consistencia sobre disponibilidad).</w:t>
      </w:r>
      <w:r>
        <w:t xml:space="preserve"> </w:t>
      </w:r>
      <w:r>
        <w:t xml:space="preserve">- Las proformas ya emitidas no se tocan (conservan su snapshot</w:t>
      </w:r>
      <w:r>
        <w:t xml:space="preserve"> </w:t>
      </w:r>
      <w:r>
        <w:rPr>
          <w:rStyle w:val="VerbatimChar"/>
        </w:rPr>
        <w:t xml:space="preserve">ReferenciaPago</w:t>
      </w:r>
      <w:r>
        <w:t xml:space="preserve">).</w:t>
      </w:r>
    </w:p>
    <w:p>
      <w:pPr>
        <w:pStyle w:val="BodyText"/>
      </w:pPr>
      <w:r>
        <w:rPr>
          <w:b/>
          <w:bCs/>
        </w:rPr>
        <w:t xml:space="preserve">Concurrencia:</w:t>
      </w:r>
      <w:r>
        <w:t xml:space="preserve"> </w:t>
      </w:r>
      <w:r>
        <w:t xml:space="preserve">el hook opera dentro de la transacción del guardado del cliente; una edición manual del Código Validador en paralelo con esta cascada resolvería por</w:t>
      </w:r>
      <w:r>
        <w:t xml:space="preserve"> </w:t>
      </w:r>
      <w:r>
        <w:rPr>
          <w:i/>
          <w:iCs/>
        </w:rPr>
        <w:t xml:space="preserve">last-write-wins</w:t>
      </w:r>
      <w:r>
        <w:t xml:space="preserve"> </w:t>
      </w:r>
      <w:r>
        <w:t xml:space="preserve">(no hay</w:t>
      </w:r>
      <w:r>
        <w:t xml:space="preserve"> </w:t>
      </w:r>
      <w:r>
        <w:rPr>
          <w:rStyle w:val="VerbatimChar"/>
        </w:rPr>
        <w:t xml:space="preserve">RowVersion</w:t>
      </w:r>
      <w:r>
        <w:t xml:space="preserve"> </w:t>
      </w:r>
      <w:r>
        <w:t xml:space="preserve">en el DDL). Contención esperada baja (editar el nombre de un cliente es infrecuente); si se requiere detección de conflicto, evaluar</w:t>
      </w:r>
      <w:r>
        <w:t xml:space="preserve"> </w:t>
      </w:r>
      <w:r>
        <w:rPr>
          <w:rStyle w:val="VerbatimChar"/>
        </w:rPr>
        <w:t xml:space="preserve">RowVersion</w:t>
      </w:r>
      <w:r>
        <w:t xml:space="preserve"> </w:t>
      </w:r>
      <w:r>
        <w:t xml:space="preserve">antes de implementar — pendiente de decisión, no bloqueante.</w:t>
      </w:r>
    </w:p>
    <w:p>
      <w:pPr>
        <w:pStyle w:val="Heading2"/>
      </w:pPr>
      <w:r>
        <w:rPr>
          <w:b/>
          <w:bCs/>
        </w:rPr>
        <w:t xml:space="preserve">4. Criterios de aceptación del requisito</w:t>
      </w:r>
    </w:p>
    <w:tbl>
      <w:tblPr>
        <w:tblStyle w:val="Table"/>
        <w:tblW w:type="pct" w:w="5000"/>
        <w:tblLayout w:type="fixed"/>
        <w:tblLook w:firstRow="1" w:lastRow="0" w:firstColumn="0" w:lastColumn="0" w:noHBand="0" w:noVBand="0" w:val="0020"/>
      </w:tblPr>
      <w:tblGrid>
        <w:gridCol w:w="1102"/>
        <w:gridCol w:w="2609"/>
        <w:gridCol w:w="1182"/>
        <w:gridCol w:w="4467"/>
      </w:tblGrid>
      <w:tr>
        <w:trPr>
          <w:tblHeader w:val="on"/>
        </w:trPr>
        <w:tc>
          <w:tcPr>
            <w:tcW w:w="1102" w:type="dxa"/>
            <w:shd w:val="clear" w:color="auto" w:fill="434343"/>
          </w:tcPr>
          <w:p>
            <w:pPr>
              <w:pStyle w:val="Compact"/>
              <w:jc w:val="left"/>
            </w:pPr>
            <w:r>
              <w:rPr>
                <w:b/>
                <w:color w:val="FFFFFF"/>
              </w:rPr>
              <w:t xml:space="preserve">CA</w:t>
            </w:r>
          </w:p>
        </w:tc>
        <w:tc>
          <w:tcPr>
            <w:tcW w:w="2609" w:type="dxa"/>
            <w:shd w:val="clear" w:color="auto" w:fill="434343"/>
          </w:tcPr>
          <w:p>
            <w:pPr>
              <w:pStyle w:val="Compact"/>
              <w:jc w:val="left"/>
            </w:pPr>
            <w:r>
              <w:rPr>
                <w:b/>
                <w:color w:val="FFFFFF"/>
              </w:rPr>
              <w:t xml:space="preserve">Descripción</w:t>
            </w:r>
          </w:p>
        </w:tc>
        <w:tc>
          <w:tcPr>
            <w:tcW w:w="1182" w:type="dxa"/>
            <w:shd w:val="clear" w:color="auto" w:fill="434343"/>
          </w:tcPr>
          <w:p>
            <w:pPr>
              <w:pStyle w:val="Compact"/>
              <w:jc w:val="left"/>
            </w:pPr>
            <w:r>
              <w:rPr>
                <w:b/>
                <w:color w:val="FFFFFF"/>
              </w:rPr>
              <w:t xml:space="preserve">Estado</w:t>
            </w:r>
          </w:p>
        </w:tc>
        <w:tc>
          <w:tcPr>
            <w:tcW w:w="4467" w:type="dxa"/>
            <w:shd w:val="clear" w:color="auto" w:fill="434343"/>
          </w:tcPr>
          <w:p>
            <w:pPr>
              <w:pStyle w:val="Compact"/>
              <w:jc w:val="left"/>
            </w:pPr>
            <w:r>
              <w:rPr>
                <w:b/>
                <w:color w:val="FFFFFF"/>
              </w:rPr>
              <w:t xml:space="preserve">Justificación</w:t>
            </w:r>
          </w:p>
        </w:tc>
      </w:tr>
      <w:tr>
        <w:tc>
          <w:tcPr>
            <w:tcW w:w="1102" w:type="dxa"/>
          </w:tcPr>
          <w:tcPr/>
          <w:p>
            <w:pPr>
              <w:pStyle w:val="Compact"/>
              <w:jc w:val="left"/>
            </w:pPr>
            <w:r>
              <w:t xml:space="preserve">CA-1</w:t>
            </w:r>
          </w:p>
        </w:tc>
        <w:tc>
          <w:tcPr>
            <w:tcW w:w="2609" w:type="dxa"/>
          </w:tcPr>
          <w:tcPr/>
          <w:p>
            <w:pPr>
              <w:pStyle w:val="Compact"/>
              <w:jc w:val="left"/>
            </w:pPr>
            <w:r>
              <w:t xml:space="preserve">Usuario navega a Cobros del cliente y la sub-sección</w:t>
            </w:r>
            <w:r>
              <w:t xml:space="preserve"> </w:t>
            </w:r>
            <w:r>
              <w:t xml:space="preserve">“Referencia de Pago”</w:t>
            </w:r>
            <w:r>
              <w:t xml:space="preserve"> </w:t>
            </w:r>
            <w:r>
              <w:t xml:space="preserve">es accesible</w:t>
            </w:r>
          </w:p>
        </w:tc>
        <w:tc>
          <w:tcPr>
            <w:tcW w:w="1182" w:type="dxa"/>
          </w:tcPr>
          <w:tcPr/>
          <w:p>
            <w:pPr>
              <w:pStyle w:val="Compact"/>
              <w:jc w:val="left"/>
            </w:pPr>
            <w:r>
              <w:t xml:space="preserve">Cubierto</w:t>
            </w:r>
          </w:p>
        </w:tc>
        <w:tc>
          <w:tcPr>
            <w:tcW w:w="4467" w:type="dxa"/>
          </w:tcPr>
          <w:tcPr/>
          <w:p>
            <w:pPr>
              <w:pStyle w:val="Compact"/>
              <w:jc w:val="left"/>
            </w:pPr>
            <w:r>
              <w:rPr>
                <w:rStyle w:val="VerbatimChar"/>
              </w:rPr>
              <w:t xml:space="preserve">POST /vClienteDatosBancarios</w:t>
            </w:r>
            <w:r>
              <w:t xml:space="preserve"> </w:t>
            </w:r>
            <w:r>
              <w:t xml:space="preserve">con</w:t>
            </w:r>
            <w:r>
              <w:t xml:space="preserve"> </w:t>
            </w:r>
            <w:r>
              <w:rPr>
                <w:rStyle w:val="VerbatimChar"/>
              </w:rPr>
              <w:t xml:space="preserve">QueryInfo { filtros: { IdCliente } }</w:t>
            </w:r>
            <w:r>
              <w:t xml:space="preserve"> </w:t>
            </w:r>
            <w:r>
              <w:t xml:space="preserve">retorna asignaciones activas del cliente con relaciones completas incluyendo</w:t>
            </w:r>
            <w:r>
              <w:t xml:space="preserve"> </w:t>
            </w:r>
            <w:r>
              <w:rPr>
                <w:rStyle w:val="VerbatimChar"/>
              </w:rPr>
              <w:t xml:space="preserve">ReferenciaVigente</w:t>
            </w:r>
          </w:p>
        </w:tc>
      </w:tr>
      <w:tr>
        <w:tc>
          <w:tcPr>
            <w:tcW w:w="1102" w:type="dxa"/>
          </w:tcPr>
          <w:tcPr/>
          <w:p>
            <w:pPr>
              <w:pStyle w:val="Compact"/>
              <w:jc w:val="left"/>
            </w:pPr>
            <w:r>
              <w:t xml:space="preserve">CA-2</w:t>
            </w:r>
          </w:p>
        </w:tc>
        <w:tc>
          <w:tcPr>
            <w:tcW w:w="2609" w:type="dxa"/>
          </w:tcPr>
          <w:tcPr/>
          <w:p>
            <w:pPr>
              <w:pStyle w:val="Compact"/>
              <w:jc w:val="left"/>
            </w:pPr>
            <w:r>
              <w:t xml:space="preserve">Selector de Banco muestra catálogo de bancos del grupo PROQUIFA</w:t>
            </w:r>
          </w:p>
        </w:tc>
        <w:tc>
          <w:tcPr>
            <w:tcW w:w="1182" w:type="dxa"/>
          </w:tcPr>
          <w:tcPr/>
          <w:p>
            <w:pPr>
              <w:pStyle w:val="Compact"/>
              <w:jc w:val="left"/>
            </w:pPr>
            <w:r>
              <w:t xml:space="preserve">Cubierto</w:t>
            </w:r>
          </w:p>
        </w:tc>
        <w:tc>
          <w:tcPr>
            <w:tcW w:w="4467" w:type="dxa"/>
          </w:tcPr>
          <w:tcPr/>
          <w:p>
            <w:pPr>
              <w:pStyle w:val="Compact"/>
              <w:jc w:val="left"/>
            </w:pPr>
            <w:r>
              <w:t xml:space="preserve">Catálogo genérico ya existente</w:t>
            </w:r>
            <w:r>
              <w:t xml:space="preserve"> </w:t>
            </w:r>
            <w:r>
              <w:rPr>
                <w:rStyle w:val="VerbatimChar"/>
              </w:rPr>
              <w:t xml:space="preserve">POST /catBanco</w:t>
            </w:r>
            <w:r>
              <w:t xml:space="preserve"> </w:t>
            </w:r>
            <w:r>
              <w:t xml:space="preserve">— retorna la entidad completa (</w:t>
            </w:r>
            <w:r>
              <w:rPr>
                <w:rStyle w:val="VerbatimChar"/>
              </w:rPr>
              <w:t xml:space="preserve">IdCatBanco</w:t>
            </w:r>
            <w:r>
              <w:t xml:space="preserve">,</w:t>
            </w:r>
            <w:r>
              <w:t xml:space="preserve"> </w:t>
            </w:r>
            <w:r>
              <w:rPr>
                <w:rStyle w:val="VerbatimChar"/>
              </w:rPr>
              <w:t xml:space="preserve">Banco</w:t>
            </w:r>
            <w:r>
              <w:t xml:space="preserve">,</w:t>
            </w:r>
            <w:r>
              <w:t xml:space="preserve"> </w:t>
            </w:r>
            <w:r>
              <w:rPr>
                <w:rStyle w:val="VerbatimChar"/>
              </w:rPr>
              <w:t xml:space="preserve">RequiereCodigoValidador</w:t>
            </w:r>
            <w:r>
              <w:t xml:space="preserve">, entre otros); no requiere endpoint propio de RE-006</w:t>
            </w:r>
          </w:p>
        </w:tc>
      </w:tr>
      <w:tr>
        <w:tc>
          <w:tcPr>
            <w:tcW w:w="1102" w:type="dxa"/>
          </w:tcPr>
          <w:tcPr/>
          <w:p>
            <w:pPr>
              <w:pStyle w:val="Compact"/>
              <w:jc w:val="left"/>
            </w:pPr>
            <w:r>
              <w:t xml:space="preserve">CA-3</w:t>
            </w:r>
          </w:p>
        </w:tc>
        <w:tc>
          <w:tcPr>
            <w:tcW w:w="2609" w:type="dxa"/>
          </w:tcPr>
          <w:tcPr/>
          <w:p>
            <w:pPr>
              <w:pStyle w:val="Compact"/>
              <w:jc w:val="left"/>
            </w:pPr>
            <w:r>
              <w:t xml:space="preserve">Selector de Cuenta filtra por banco seleccionado</w:t>
            </w:r>
          </w:p>
        </w:tc>
        <w:tc>
          <w:tcPr>
            <w:tcW w:w="1182" w:type="dxa"/>
          </w:tcPr>
          <w:tcPr/>
          <w:p>
            <w:pPr>
              <w:pStyle w:val="Compact"/>
              <w:jc w:val="left"/>
            </w:pPr>
            <w:r>
              <w:t xml:space="preserve">Cubierto</w:t>
            </w:r>
          </w:p>
        </w:tc>
        <w:tc>
          <w:tcPr>
            <w:tcW w:w="4467" w:type="dxa"/>
          </w:tcPr>
          <w:tcPr/>
          <w:p>
            <w:pPr>
              <w:pStyle w:val="Compact"/>
              <w:jc w:val="left"/>
            </w:pPr>
            <w:r>
              <w:t xml:space="preserve">Catálogo ya existente</w:t>
            </w:r>
            <w:r>
              <w:t xml:space="preserve"> </w:t>
            </w:r>
            <w:r>
              <w:rPr>
                <w:rStyle w:val="VerbatimChar"/>
              </w:rPr>
              <w:t xml:space="preserve">POST /vEmpresaDatosBancarios</w:t>
            </w:r>
            <w:r>
              <w:t xml:space="preserve"> </w:t>
            </w:r>
            <w:r>
              <w:t xml:space="preserve">(reutilizado, sin desarrollo nuevo) con</w:t>
            </w:r>
            <w:r>
              <w:t xml:space="preserve"> </w:t>
            </w:r>
            <w:r>
              <w:rPr>
                <w:rStyle w:val="VerbatimChar"/>
              </w:rPr>
              <w:t xml:space="preserve">QueryInfo { filtros: { IdCatBanco } }</w:t>
            </w:r>
            <w:r>
              <w:t xml:space="preserve"> </w:t>
            </w:r>
            <w:r>
              <w:t xml:space="preserve">— retorna cuentas del banco seleccionado; scope de FE el componente en cascada</w:t>
            </w:r>
          </w:p>
        </w:tc>
      </w:tr>
      <w:tr>
        <w:tc>
          <w:tcPr>
            <w:tcW w:w="1102" w:type="dxa"/>
          </w:tcPr>
          <w:tcPr/>
          <w:p>
            <w:pPr>
              <w:pStyle w:val="Compact"/>
              <w:jc w:val="left"/>
            </w:pPr>
            <w:r>
              <w:t xml:space="preserve">CA-4</w:t>
            </w:r>
          </w:p>
        </w:tc>
        <w:tc>
          <w:tcPr>
            <w:tcW w:w="2609" w:type="dxa"/>
          </w:tcPr>
          <w:tcPr/>
          <w:p>
            <w:pPr>
              <w:pStyle w:val="Compact"/>
              <w:jc w:val="left"/>
            </w:pPr>
            <w:r>
              <w:t xml:space="preserve">Sucursal se autopobla desde la cuenta seleccionada (solo lectura)</w:t>
            </w:r>
          </w:p>
        </w:tc>
        <w:tc>
          <w:tcPr>
            <w:tcW w:w="1182" w:type="dxa"/>
          </w:tcPr>
          <w:tcPr/>
          <w:p>
            <w:pPr>
              <w:pStyle w:val="Compact"/>
              <w:jc w:val="left"/>
            </w:pPr>
            <w:r>
              <w:t xml:space="preserve">Cubierto</w:t>
            </w:r>
          </w:p>
        </w:tc>
        <w:tc>
          <w:tcPr>
            <w:tcW w:w="4467" w:type="dxa"/>
          </w:tcPr>
          <w:tcPr/>
          <w:p>
            <w:pPr>
              <w:pStyle w:val="Compact"/>
              <w:jc w:val="left"/>
            </w:pPr>
            <w:r>
              <w:t xml:space="preserve">Campo</w:t>
            </w:r>
            <w:r>
              <w:t xml:space="preserve"> </w:t>
            </w:r>
            <w:r>
              <w:rPr>
                <w:rStyle w:val="VerbatimChar"/>
              </w:rPr>
              <w:t xml:space="preserve">Sucursal</w:t>
            </w:r>
            <w:r>
              <w:t xml:space="preserve"> </w:t>
            </w:r>
            <w:r>
              <w:t xml:space="preserve">incluido en respuesta de</w:t>
            </w:r>
            <w:r>
              <w:t xml:space="preserve"> </w:t>
            </w:r>
            <w:r>
              <w:rPr>
                <w:rStyle w:val="VerbatimChar"/>
              </w:rPr>
              <w:t xml:space="preserve">POST /vEmpresaDatosBancarios</w:t>
            </w:r>
            <w:r>
              <w:t xml:space="preserve">; read-only en FE</w:t>
            </w:r>
          </w:p>
        </w:tc>
      </w:tr>
      <w:tr>
        <w:tc>
          <w:tcPr>
            <w:tcW w:w="1102" w:type="dxa"/>
          </w:tcPr>
          <w:tcPr/>
          <w:p>
            <w:pPr>
              <w:pStyle w:val="Compact"/>
              <w:jc w:val="left"/>
            </w:pPr>
            <w:r>
              <w:t xml:space="preserve">CA-5</w:t>
            </w:r>
          </w:p>
        </w:tc>
        <w:tc>
          <w:tcPr>
            <w:tcW w:w="2609" w:type="dxa"/>
          </w:tcPr>
          <w:tcPr/>
          <w:p>
            <w:pPr>
              <w:pStyle w:val="Compact"/>
              <w:jc w:val="left"/>
            </w:pPr>
            <w:r>
              <w:t xml:space="preserve">CódigoValidador se acepta como input manual sin validación de formato/longitud</w:t>
            </w:r>
          </w:p>
        </w:tc>
        <w:tc>
          <w:tcPr>
            <w:tcW w:w="1182" w:type="dxa"/>
          </w:tcPr>
          <w:tcPr/>
          <w:p>
            <w:pPr>
              <w:pStyle w:val="Compact"/>
              <w:jc w:val="left"/>
            </w:pPr>
            <w:r>
              <w:t xml:space="preserve">Cubierto</w:t>
            </w:r>
          </w:p>
        </w:tc>
        <w:tc>
          <w:tcPr>
            <w:tcW w:w="4467" w:type="dxa"/>
          </w:tcPr>
          <w:tcPr/>
          <w:p>
            <w:pPr>
              <w:pStyle w:val="Compact"/>
              <w:jc w:val="left"/>
            </w:pPr>
            <w:r>
              <w:rPr>
                <w:rStyle w:val="VerbatimChar"/>
              </w:rPr>
              <w:t xml:space="preserve">CodigoValidador varchar(50)</w:t>
            </w:r>
            <w:r>
              <w:t xml:space="preserve"> </w:t>
            </w:r>
            <w:r>
              <w:t xml:space="preserve">sin constraint de formato; longitud provisional 50 — pendiente confirmar máximo con cliente (DUDA-015 abierta)</w:t>
            </w:r>
          </w:p>
        </w:tc>
      </w:tr>
      <w:tr>
        <w:tc>
          <w:tcPr>
            <w:tcW w:w="1102" w:type="dxa"/>
          </w:tcPr>
          <w:tcPr/>
          <w:p>
            <w:pPr>
              <w:pStyle w:val="Compact"/>
              <w:jc w:val="left"/>
            </w:pPr>
            <w:r>
              <w:t xml:space="preserve">CA-6</w:t>
            </w:r>
          </w:p>
        </w:tc>
        <w:tc>
          <w:tcPr>
            <w:tcW w:w="2609" w:type="dxa"/>
          </w:tcPr>
          <w:tcPr/>
          <w:p>
            <w:pPr>
              <w:pStyle w:val="Compact"/>
              <w:jc w:val="left"/>
            </w:pPr>
            <w:r>
              <w:t xml:space="preserve">Persistencia de nueva asignación o modificación — referencia generada/actualizada a nivel cliente</w:t>
            </w:r>
          </w:p>
        </w:tc>
        <w:tc>
          <w:tcPr>
            <w:tcW w:w="1182" w:type="dxa"/>
          </w:tcPr>
          <w:tcPr/>
          <w:p>
            <w:pPr>
              <w:pStyle w:val="Compact"/>
              <w:jc w:val="left"/>
            </w:pPr>
            <w:r>
              <w:t xml:space="preserve">Cubierto</w:t>
            </w:r>
          </w:p>
        </w:tc>
        <w:tc>
          <w:tcPr>
            <w:tcW w:w="4467" w:type="dxa"/>
          </w:tcPr>
          <w:tcPr/>
          <w:p>
            <w:pPr>
              <w:pStyle w:val="Compact"/>
              <w:jc w:val="left"/>
            </w:pPr>
            <w:r>
              <w:t xml:space="preserve">Flujo 1 pasos 4-5: referencia calculada por</w:t>
            </w:r>
            <w:r>
              <w:t xml:space="preserve"> </w:t>
            </w:r>
            <w:r>
              <w:rPr>
                <w:rStyle w:val="VerbatimChar"/>
              </w:rPr>
              <w:t xml:space="preserve">BankReferenceBO</w:t>
            </w:r>
            <w:r>
              <w:t xml:space="preserve"> </w:t>
            </w:r>
            <w:r>
              <w:t xml:space="preserve">y persistida en</w:t>
            </w:r>
            <w:r>
              <w:t xml:space="preserve"> </w:t>
            </w:r>
            <w:r>
              <w:rPr>
                <w:rStyle w:val="VerbatimChar"/>
              </w:rPr>
              <w:t xml:space="preserve">ReferenciaVigente</w:t>
            </w:r>
            <w:r>
              <w:t xml:space="preserve"> </w:t>
            </w:r>
            <w:r>
              <w:t xml:space="preserve">al guardar la asignación; Flujo 2: RE-006 la expone por endpoint y RE-016 la lee</w:t>
            </w:r>
          </w:p>
        </w:tc>
      </w:tr>
      <w:tr>
        <w:tc>
          <w:tcPr>
            <w:tcW w:w="1102" w:type="dxa"/>
          </w:tcPr>
          <w:tcPr/>
          <w:p>
            <w:pPr>
              <w:pStyle w:val="Compact"/>
              <w:jc w:val="left"/>
            </w:pPr>
            <w:r>
              <w:t xml:space="preserve">CA-7</w:t>
            </w:r>
          </w:p>
        </w:tc>
        <w:tc>
          <w:tcPr>
            <w:tcW w:w="2609" w:type="dxa"/>
          </w:tcPr>
          <w:tcPr/>
          <w:p>
            <w:pPr>
              <w:pStyle w:val="Compact"/>
              <w:jc w:val="left"/>
            </w:pPr>
            <w:r>
              <w:t xml:space="preserve">Cliente puede tener múltiples cuentas asignadas sin límite máximo definido</w:t>
            </w:r>
          </w:p>
        </w:tc>
        <w:tc>
          <w:tcPr>
            <w:tcW w:w="1182" w:type="dxa"/>
          </w:tcPr>
          <w:tcPr/>
          <w:p>
            <w:pPr>
              <w:pStyle w:val="Compact"/>
              <w:jc w:val="left"/>
            </w:pPr>
            <w:r>
              <w:t xml:space="preserve">Cubierto</w:t>
            </w:r>
          </w:p>
        </w:tc>
        <w:tc>
          <w:tcPr>
            <w:tcW w:w="4467" w:type="dxa"/>
          </w:tcPr>
          <w:tcPr/>
          <w:p>
            <w:pPr>
              <w:pStyle w:val="Compact"/>
              <w:jc w:val="left"/>
            </w:pPr>
            <w:r>
              <w:t xml:space="preserve">INSERT permite múltiples registros por cliente. La selección de cuenta al generar la proforma se resuelve por empresa emisora (RT-08, Flujo 2). El tope máximo de cuentas por cliente sigue sin definir con cliente (DUDA-118, no bloqueante)</w:t>
            </w:r>
          </w:p>
        </w:tc>
      </w:tr>
      <w:tr>
        <w:tc>
          <w:tcPr>
            <w:tcW w:w="1102" w:type="dxa"/>
          </w:tcPr>
          <w:tcPr/>
          <w:p>
            <w:pPr>
              <w:pStyle w:val="Compact"/>
              <w:jc w:val="left"/>
            </w:pPr>
            <w:r>
              <w:t xml:space="preserve">CA-8</w:t>
            </w:r>
          </w:p>
        </w:tc>
        <w:tc>
          <w:tcPr>
            <w:tcW w:w="2609" w:type="dxa"/>
          </w:tcPr>
          <w:tcPr/>
          <w:p>
            <w:pPr>
              <w:pStyle w:val="Compact"/>
              <w:jc w:val="left"/>
            </w:pPr>
            <w:r>
              <w:t xml:space="preserve">Eliminación lógica de asignación —</w:t>
            </w:r>
            <w:r>
              <w:t xml:space="preserve"> </w:t>
            </w:r>
            <w:r>
              <w:rPr>
                <w:rStyle w:val="VerbatimChar"/>
              </w:rPr>
              <w:t xml:space="preserve">Activo = 0</w:t>
            </w:r>
            <w:r>
              <w:t xml:space="preserve">, no DELETE físico</w:t>
            </w:r>
          </w:p>
        </w:tc>
        <w:tc>
          <w:tcPr>
            <w:tcW w:w="1182" w:type="dxa"/>
          </w:tcPr>
          <w:tcPr/>
          <w:p>
            <w:pPr>
              <w:pStyle w:val="Compact"/>
              <w:jc w:val="left"/>
            </w:pPr>
            <w:r>
              <w:t xml:space="preserve">Cubierto</w:t>
            </w:r>
          </w:p>
        </w:tc>
        <w:tc>
          <w:tcPr>
            <w:tcW w:w="4467" w:type="dxa"/>
          </w:tcPr>
          <w:tcPr/>
          <w:p>
            <w:pPr>
              <w:pStyle w:val="Compact"/>
              <w:jc w:val="left"/>
            </w:pPr>
            <w:r>
              <w:rPr>
                <w:rStyle w:val="VerbatimChar"/>
              </w:rPr>
              <w:t xml:space="preserve">DELETE /ClienteDatosBancarios?IdClienteDatosBancarios={guid}</w:t>
            </w:r>
            <w:r>
              <w:t xml:space="preserve"> </w:t>
            </w:r>
            <w:r>
              <w:t xml:space="preserve">ejecuta</w:t>
            </w:r>
            <w:r>
              <w:t xml:space="preserve"> </w:t>
            </w:r>
            <w:r>
              <w:rPr>
                <w:rStyle w:val="VerbatimChar"/>
              </w:rPr>
              <w:t xml:space="preserve">UPDATE Activo = 0</w:t>
            </w:r>
          </w:p>
        </w:tc>
      </w:tr>
      <w:tr>
        <w:tc>
          <w:tcPr>
            <w:tcW w:w="1102" w:type="dxa"/>
          </w:tcPr>
          <w:tcPr/>
          <w:p>
            <w:pPr>
              <w:pStyle w:val="Compact"/>
              <w:jc w:val="left"/>
            </w:pPr>
            <w:r>
              <w:t xml:space="preserve">CA-E1</w:t>
            </w:r>
          </w:p>
        </w:tc>
        <w:tc>
          <w:tcPr>
            <w:tcW w:w="2609" w:type="dxa"/>
          </w:tcPr>
          <w:tcPr/>
          <w:p>
            <w:pPr>
              <w:pStyle w:val="Compact"/>
              <w:jc w:val="left"/>
            </w:pPr>
            <w:r>
              <w:t xml:space="preserve">CódigoValidador vacío → error, no guarda (solo cuentas Banamex — no aplica a no-Banamex)</w:t>
            </w:r>
          </w:p>
        </w:tc>
        <w:tc>
          <w:tcPr>
            <w:tcW w:w="1182" w:type="dxa"/>
          </w:tcPr>
          <w:tcPr/>
          <w:p>
            <w:pPr>
              <w:pStyle w:val="Compact"/>
              <w:jc w:val="left"/>
            </w:pPr>
            <w:r>
              <w:t xml:space="preserve">Cubierto</w:t>
            </w:r>
          </w:p>
        </w:tc>
        <w:tc>
          <w:tcPr>
            <w:tcW w:w="4467" w:type="dxa"/>
          </w:tcPr>
          <w:tcPr/>
          <w:p>
            <w:pPr>
              <w:pStyle w:val="Compact"/>
              <w:jc w:val="left"/>
            </w:pPr>
            <w:r>
              <w:t xml:space="preserve">Validación en</w:t>
            </w:r>
            <w:r>
              <w:t xml:space="preserve"> </w:t>
            </w:r>
            <w:r>
              <w:rPr>
                <w:rStyle w:val="VerbatimChar"/>
              </w:rPr>
              <w:t xml:space="preserve">ClienteDatosBancariosBO</w:t>
            </w:r>
            <w:r>
              <w:t xml:space="preserve"> </w:t>
            </w:r>
            <w:r>
              <w:t xml:space="preserve">paso 3; responde</w:t>
            </w:r>
            <w:r>
              <w:t xml:space="preserve"> </w:t>
            </w:r>
            <w:r>
              <w:rPr>
                <w:rStyle w:val="VerbatimChar"/>
              </w:rPr>
              <w:t xml:space="preserve">400 Bad Request</w:t>
            </w:r>
          </w:p>
        </w:tc>
      </w:tr>
      <w:tr>
        <w:tc>
          <w:tcPr>
            <w:tcW w:w="1102" w:type="dxa"/>
          </w:tcPr>
          <w:tcPr/>
          <w:p>
            <w:pPr>
              <w:pStyle w:val="Compact"/>
              <w:jc w:val="left"/>
            </w:pPr>
            <w:r>
              <w:t xml:space="preserve">CA-E2</w:t>
            </w:r>
          </w:p>
        </w:tc>
        <w:tc>
          <w:tcPr>
            <w:tcW w:w="2609" w:type="dxa"/>
          </w:tcPr>
          <w:tcPr/>
          <w:p>
            <w:pPr>
              <w:pStyle w:val="Compact"/>
              <w:jc w:val="left"/>
            </w:pPr>
            <w:r>
              <w:t xml:space="preserve">Cuentas con</w:t>
            </w:r>
            <w:r>
              <w:t xml:space="preserve"> </w:t>
            </w:r>
            <w:r>
              <w:rPr>
                <w:rStyle w:val="VerbatimChar"/>
              </w:rPr>
              <w:t xml:space="preserve">Activo = 0</w:t>
            </w:r>
            <w:r>
              <w:t xml:space="preserve"> </w:t>
            </w:r>
            <w:r>
              <w:t xml:space="preserve">no aparecen en selector</w:t>
            </w:r>
          </w:p>
        </w:tc>
        <w:tc>
          <w:tcPr>
            <w:tcW w:w="1182" w:type="dxa"/>
          </w:tcPr>
          <w:tcPr/>
          <w:p>
            <w:pPr>
              <w:pStyle w:val="Compact"/>
              <w:jc w:val="left"/>
            </w:pPr>
            <w:r>
              <w:t xml:space="preserve">Cubierto</w:t>
            </w:r>
          </w:p>
        </w:tc>
        <w:tc>
          <w:tcPr>
            <w:tcW w:w="4467" w:type="dxa"/>
          </w:tcPr>
          <w:tcPr/>
          <w:p>
            <w:pPr>
              <w:pStyle w:val="Compact"/>
              <w:jc w:val="left"/>
            </w:pPr>
            <w:r>
              <w:t xml:space="preserve">Filtro</w:t>
            </w:r>
            <w:r>
              <w:t xml:space="preserve"> </w:t>
            </w:r>
            <w:r>
              <w:rPr>
                <w:rStyle w:val="VerbatimChar"/>
              </w:rPr>
              <w:t xml:space="preserve">EmpresaDatosBancarios.Activo = 1</w:t>
            </w:r>
            <w:r>
              <w:t xml:space="preserve"> </w:t>
            </w:r>
            <w:r>
              <w:t xml:space="preserve">en endpoint</w:t>
            </w:r>
            <w:r>
              <w:t xml:space="preserve"> </w:t>
            </w:r>
            <w:r>
              <w:rPr>
                <w:rStyle w:val="VerbatimChar"/>
              </w:rPr>
              <w:t xml:space="preserve">POST /vEmpresaDatosBancarios</w:t>
            </w:r>
          </w:p>
        </w:tc>
      </w:tr>
      <w:tr>
        <w:tc>
          <w:tcPr>
            <w:tcW w:w="1102" w:type="dxa"/>
          </w:tcPr>
          <w:tcPr/>
          <w:p>
            <w:pPr>
              <w:pStyle w:val="Compact"/>
              <w:jc w:val="left"/>
            </w:pPr>
            <w:r>
              <w:t xml:space="preserve">CA-EC1</w:t>
            </w:r>
          </w:p>
        </w:tc>
        <w:tc>
          <w:tcPr>
            <w:tcW w:w="2609" w:type="dxa"/>
          </w:tcPr>
          <w:tcPr/>
          <w:p>
            <w:pPr>
              <w:pStyle w:val="Compact"/>
              <w:jc w:val="left"/>
            </w:pPr>
            <w:r>
              <w:t xml:space="preserve">Asignación duplicada (misma cuenta al mismo cliente) bloqueada</w:t>
            </w:r>
          </w:p>
        </w:tc>
        <w:tc>
          <w:tcPr>
            <w:tcW w:w="1182" w:type="dxa"/>
          </w:tcPr>
          <w:tcPr/>
          <w:p>
            <w:pPr>
              <w:pStyle w:val="Compact"/>
              <w:jc w:val="left"/>
            </w:pPr>
            <w:r>
              <w:t xml:space="preserve">Cubierto</w:t>
            </w:r>
          </w:p>
        </w:tc>
        <w:tc>
          <w:tcPr>
            <w:tcW w:w="4467" w:type="dxa"/>
          </w:tcPr>
          <w:tcPr/>
          <w:p>
            <w:pPr>
              <w:pStyle w:val="Compact"/>
              <w:jc w:val="left"/>
            </w:pPr>
            <w:r>
              <w:t xml:space="preserve">Validación de duplicado en</w:t>
            </w:r>
            <w:r>
              <w:t xml:space="preserve"> </w:t>
            </w:r>
            <w:r>
              <w:rPr>
                <w:rStyle w:val="VerbatimChar"/>
              </w:rPr>
              <w:t xml:space="preserve">ClienteDatosBancariosBO</w:t>
            </w:r>
            <w:r>
              <w:t xml:space="preserve"> </w:t>
            </w:r>
            <w:r>
              <w:t xml:space="preserve">paso 3; responde</w:t>
            </w:r>
            <w:r>
              <w:t xml:space="preserve"> </w:t>
            </w:r>
            <w:r>
              <w:rPr>
                <w:rStyle w:val="VerbatimChar"/>
              </w:rPr>
              <w:t xml:space="preserve">400 Bad Request</w:t>
            </w:r>
            <w:r>
              <w:t xml:space="preserve"> </w:t>
            </w:r>
            <w:r>
              <w:t xml:space="preserve">(mismo código que el resto de validaciones de este endpoint, sin distinción de</w:t>
            </w:r>
            <w:r>
              <w:t xml:space="preserve"> </w:t>
            </w:r>
            <w:r>
              <w:rPr>
                <w:rStyle w:val="VerbatimChar"/>
              </w:rPr>
              <w:t xml:space="preserve">409</w:t>
            </w:r>
            <w:r>
              <w:t xml:space="preserve">)</w:t>
            </w:r>
          </w:p>
        </w:tc>
      </w:tr>
      <w:tr>
        <w:tc>
          <w:tcPr>
            <w:tcW w:w="1102" w:type="dxa"/>
          </w:tcPr>
          <w:tcPr/>
          <w:p>
            <w:pPr>
              <w:pStyle w:val="Compact"/>
              <w:jc w:val="left"/>
            </w:pPr>
            <w:r>
              <w:t xml:space="preserve">CA-EC2</w:t>
            </w:r>
          </w:p>
        </w:tc>
        <w:tc>
          <w:tcPr>
            <w:tcW w:w="2609" w:type="dxa"/>
          </w:tcPr>
          <w:tcPr/>
          <w:p>
            <w:pPr>
              <w:pStyle w:val="Compact"/>
              <w:jc w:val="left"/>
            </w:pPr>
            <w:r>
              <w:t xml:space="preserve">Cuenta inactivada/eliminada post-asignación: proformas existentes intactas; no se generan nuevas con esa cuenta</w:t>
            </w:r>
          </w:p>
        </w:tc>
        <w:tc>
          <w:tcPr>
            <w:tcW w:w="1182" w:type="dxa"/>
          </w:tcPr>
          <w:tcPr/>
          <w:p>
            <w:pPr>
              <w:pStyle w:val="Compact"/>
              <w:jc w:val="left"/>
            </w:pPr>
            <w:r>
              <w:t xml:space="preserve">Cubierto</w:t>
            </w:r>
          </w:p>
        </w:tc>
        <w:tc>
          <w:tcPr>
            <w:tcW w:w="4467" w:type="dxa"/>
          </w:tcPr>
          <w:tcPr/>
          <w:p>
            <w:pPr>
              <w:pStyle w:val="Compact"/>
              <w:jc w:val="left"/>
            </w:pPr>
            <w:r>
              <w:t xml:space="preserve">Proformas existentes conservan su snapshot en PDF (OBS-013). El endpoint de RE-006 no devuelve asignaciones cuya cuenta esté inactiva (</w:t>
            </w:r>
            <w:r>
              <w:rPr>
                <w:rStyle w:val="VerbatimChar"/>
              </w:rPr>
              <w:t xml:space="preserve">EmpresaDatosBancarios.Activo = 0</w:t>
            </w:r>
            <w:r>
              <w:t xml:space="preserve">), así que RE-016 recibe vacío →</w:t>
            </w:r>
            <w:r>
              <w:t xml:space="preserve"> </w:t>
            </w:r>
            <w:r>
              <w:rPr>
                <w:rStyle w:val="VerbatimChar"/>
              </w:rPr>
              <w:t xml:space="preserve">ReferenciaPago = null</w:t>
            </w:r>
            <w:r>
              <w:t xml:space="preserve">. No se permite crear nuevas asignaciones sobre cuentas inactivas (RT-01). El sistema no altera asignaciones existentes de forma automática</w:t>
            </w:r>
          </w:p>
        </w:tc>
      </w:tr>
      <w:tr>
        <w:tc>
          <w:tcPr>
            <w:tcW w:w="1102" w:type="dxa"/>
          </w:tcPr>
          <w:tcPr/>
          <w:p>
            <w:pPr>
              <w:pStyle w:val="Compact"/>
              <w:jc w:val="left"/>
            </w:pPr>
            <w:r>
              <w:t xml:space="preserve">CA-12</w:t>
            </w:r>
          </w:p>
        </w:tc>
        <w:tc>
          <w:tcPr>
            <w:tcW w:w="2609" w:type="dxa"/>
          </w:tcPr>
          <w:tcPr/>
          <w:p>
            <w:pPr>
              <w:pStyle w:val="Compact"/>
              <w:jc w:val="left"/>
            </w:pPr>
            <w:r>
              <w:t xml:space="preserve">Sin restricción de rol — cualquier usuario con acceso a cartera puede operar</w:t>
            </w:r>
          </w:p>
        </w:tc>
        <w:tc>
          <w:tcPr>
            <w:tcW w:w="1182" w:type="dxa"/>
          </w:tcPr>
          <w:tcPr/>
          <w:p>
            <w:pPr>
              <w:pStyle w:val="Compact"/>
              <w:jc w:val="left"/>
            </w:pPr>
            <w:r>
              <w:t xml:space="preserve">Cubierto</w:t>
            </w:r>
          </w:p>
        </w:tc>
        <w:tc>
          <w:tcPr>
            <w:tcW w:w="4467" w:type="dxa"/>
          </w:tcPr>
          <w:tcPr/>
          <w:p>
            <w:pPr>
              <w:pStyle w:val="Compact"/>
              <w:jc w:val="left"/>
            </w:pPr>
            <w:r>
              <w:t xml:space="preserve">Sin middleware de rol en controller (DUDA-017 cerrada)</w:t>
            </w:r>
          </w:p>
        </w:tc>
      </w:tr>
      <w:tr>
        <w:tc>
          <w:tcPr>
            <w:tcW w:w="1102" w:type="dxa"/>
          </w:tcPr>
          <w:tcPr/>
          <w:p>
            <w:pPr>
              <w:pStyle w:val="Compact"/>
              <w:jc w:val="left"/>
            </w:pPr>
            <w:r>
              <w:t xml:space="preserve">CA-13</w:t>
            </w:r>
          </w:p>
        </w:tc>
        <w:tc>
          <w:tcPr>
            <w:tcW w:w="2609" w:type="dxa"/>
          </w:tcPr>
          <w:tcPr/>
          <w:p>
            <w:pPr>
              <w:pStyle w:val="Compact"/>
              <w:jc w:val="left"/>
            </w:pPr>
            <w:r>
              <w:t xml:space="preserve">Endpoint de consulta expone la referencia como contrato para RE-016</w:t>
            </w:r>
          </w:p>
        </w:tc>
        <w:tc>
          <w:tcPr>
            <w:tcW w:w="1182" w:type="dxa"/>
          </w:tcPr>
          <w:tcPr/>
          <w:p>
            <w:pPr>
              <w:pStyle w:val="Compact"/>
              <w:jc w:val="left"/>
            </w:pPr>
            <w:r>
              <w:t xml:space="preserve">Cubierto</w:t>
            </w:r>
          </w:p>
        </w:tc>
        <w:tc>
          <w:tcPr>
            <w:tcW w:w="4467" w:type="dxa"/>
          </w:tcPr>
          <w:tcPr/>
          <w:p>
            <w:pPr>
              <w:pStyle w:val="Compact"/>
              <w:jc w:val="left"/>
            </w:pPr>
            <w:r>
              <w:rPr>
                <w:rStyle w:val="VerbatimChar"/>
              </w:rPr>
              <w:t xml:space="preserve">POST /vClienteDatosBancarios</w:t>
            </w:r>
            <w:r>
              <w:t xml:space="preserve"> </w:t>
            </w:r>
            <w:r>
              <w:t xml:space="preserve">con</w:t>
            </w:r>
            <w:r>
              <w:t xml:space="preserve"> </w:t>
            </w:r>
            <w:r>
              <w:rPr>
                <w:rStyle w:val="VerbatimChar"/>
              </w:rPr>
              <w:t xml:space="preserve">IdCliente</w:t>
            </w:r>
            <w:r>
              <w:t xml:space="preserve">/</w:t>
            </w:r>
            <w:r>
              <w:rPr>
                <w:rStyle w:val="VerbatimChar"/>
              </w:rPr>
              <w:t xml:space="preserve">IdCatBanco</w:t>
            </w:r>
            <w:r>
              <w:t xml:space="preserve">/</w:t>
            </w:r>
            <w:r>
              <w:rPr>
                <w:rStyle w:val="VerbatimChar"/>
              </w:rPr>
              <w:t xml:space="preserve">IdCatMoneda</w:t>
            </w:r>
            <w:r>
              <w:t xml:space="preserve">/</w:t>
            </w:r>
            <w:r>
              <w:rPr>
                <w:rStyle w:val="VerbatimChar"/>
              </w:rPr>
              <w:t xml:space="preserve">IdEmpresa</w:t>
            </w:r>
            <w:r>
              <w:t xml:space="preserve">, todos opcionales; resuelve relaciones internamente; responde siempre arreglo (RT-10). La tupla de 4 filtros no garantiza unicidad → arreglo (RT-11)</w:t>
            </w:r>
          </w:p>
        </w:tc>
      </w:tr>
      <w:tr>
        <w:tc>
          <w:tcPr>
            <w:tcW w:w="1102" w:type="dxa"/>
          </w:tcPr>
          <w:tcPr/>
          <w:p>
            <w:pPr>
              <w:pStyle w:val="Compact"/>
              <w:jc w:val="left"/>
            </w:pPr>
            <w:r>
              <w:t xml:space="preserve">CA-14</w:t>
            </w:r>
          </w:p>
        </w:tc>
        <w:tc>
          <w:tcPr>
            <w:tcW w:w="2609" w:type="dxa"/>
          </w:tcPr>
          <w:tcPr/>
          <w:p>
            <w:pPr>
              <w:pStyle w:val="Compact"/>
              <w:jc w:val="left"/>
            </w:pPr>
            <w:r>
              <w:t xml:space="preserve">Cambio de</w:t>
            </w:r>
            <w:r>
              <w:t xml:space="preserve"> </w:t>
            </w:r>
            <w:r>
              <w:rPr>
                <w:rStyle w:val="VerbatimChar"/>
              </w:rPr>
              <w:t xml:space="preserve">Cliente.Nombre</w:t>
            </w:r>
            <w:r>
              <w:t xml:space="preserve"> </w:t>
            </w:r>
            <w:r>
              <w:t xml:space="preserve">regenera</w:t>
            </w:r>
            <w:r>
              <w:t xml:space="preserve"> </w:t>
            </w:r>
            <w:r>
              <w:rPr>
                <w:rStyle w:val="VerbatimChar"/>
              </w:rPr>
              <w:t xml:space="preserve">ReferenciaVigente</w:t>
            </w:r>
            <w:r>
              <w:t xml:space="preserve"> </w:t>
            </w:r>
            <w:r>
              <w:t xml:space="preserve">de las asignaciones activas</w:t>
            </w:r>
          </w:p>
        </w:tc>
        <w:tc>
          <w:tcPr>
            <w:tcW w:w="1182" w:type="dxa"/>
          </w:tcPr>
          <w:tcPr/>
          <w:p>
            <w:pPr>
              <w:pStyle w:val="Compact"/>
              <w:jc w:val="left"/>
            </w:pPr>
            <w:r>
              <w:t xml:space="preserve">Cubierto</w:t>
            </w:r>
          </w:p>
        </w:tc>
        <w:tc>
          <w:tcPr>
            <w:tcW w:w="4467" w:type="dxa"/>
          </w:tcPr>
          <w:tcPr/>
          <w:p>
            <w:pPr>
              <w:pStyle w:val="Compact"/>
              <w:jc w:val="left"/>
            </w:pPr>
            <w:r>
              <w:t xml:space="preserve">Flujo 3 (RF-15): hook transaccional en</w:t>
            </w:r>
            <w:r>
              <w:t xml:space="preserve"> </w:t>
            </w:r>
            <w:r>
              <w:rPr>
                <w:rStyle w:val="VerbatimChar"/>
              </w:rPr>
              <w:t xml:space="preserve">ClienteBO</w:t>
            </w:r>
            <w:r>
              <w:t xml:space="preserve"> </w:t>
            </w:r>
            <w:r>
              <w:t xml:space="preserve">recalcula todas las asignaciones activas en la misma transacción; fallo → rollback; proformas emitidas intactas (RT-12)</w:t>
            </w:r>
          </w:p>
        </w:tc>
      </w:tr>
    </w:tbl>
    <w:p>
      <w:pPr>
        <w:pStyle w:val="Heading2"/>
      </w:pPr>
      <w:r>
        <w:rPr>
          <w:b/>
          <w:bCs/>
        </w:rPr>
        <w:t xml:space="preserve">5. Reglas técnicas aplicadas</w:t>
      </w:r>
    </w:p>
    <w:tbl>
      <w:tblPr>
        <w:tblStyle w:val="Table"/>
        <w:tblW w:type="pct" w:w="5000"/>
        <w:tblLayout w:type="fixed"/>
        <w:tblLook w:firstRow="1" w:lastRow="0" w:firstColumn="0" w:lastColumn="0" w:noHBand="0" w:noVBand="0" w:val="0020"/>
      </w:tblPr>
      <w:tblGrid>
        <w:gridCol w:w="1125"/>
        <w:gridCol w:w="8235"/>
      </w:tblGrid>
      <w:tr>
        <w:trPr>
          <w:tblHeader w:val="on"/>
        </w:trPr>
        <w:tc>
          <w:tcPr>
            <w:tcW w:w="1125" w:type="dxa"/>
            <w:shd w:val="clear" w:color="auto" w:fill="434343"/>
          </w:tcPr>
          <w:p>
            <w:pPr>
              <w:pStyle w:val="Compact"/>
              <w:jc w:val="left"/>
            </w:pPr>
            <w:r>
              <w:rPr>
                <w:b/>
                <w:color w:val="FFFFFF"/>
              </w:rPr>
              <w:t xml:space="preserve">Regla</w:t>
            </w:r>
          </w:p>
        </w:tc>
        <w:tc>
          <w:tcPr>
            <w:tcW w:w="8235" w:type="dxa"/>
            <w:shd w:val="clear" w:color="auto" w:fill="434343"/>
          </w:tcPr>
          <w:p>
            <w:pPr>
              <w:pStyle w:val="Compact"/>
              <w:jc w:val="left"/>
            </w:pPr>
            <w:r>
              <w:rPr>
                <w:b/>
                <w:color w:val="FFFFFF"/>
              </w:rPr>
              <w:t xml:space="preserve">Descripción</w:t>
            </w:r>
          </w:p>
        </w:tc>
      </w:tr>
      <w:tr>
        <w:tc>
          <w:tcPr>
            <w:tcW w:w="1125" w:type="dxa"/>
          </w:tcPr>
          <w:tcPr/>
          <w:p>
            <w:pPr>
              <w:pStyle w:val="Compact"/>
              <w:jc w:val="left"/>
            </w:pPr>
            <w:r>
              <w:t xml:space="preserve">RT-01</w:t>
            </w:r>
          </w:p>
        </w:tc>
        <w:tc>
          <w:tcPr>
            <w:tcW w:w="8235" w:type="dxa"/>
          </w:tcPr>
          <w:tcPr/>
          <w:p>
            <w:pPr>
              <w:pStyle w:val="Compact"/>
              <w:jc w:val="left"/>
            </w:pPr>
            <w:r>
              <w:rPr>
                <w:rStyle w:val="VerbatimChar"/>
              </w:rPr>
              <w:t xml:space="preserve">ClienteDatosBancariosBO</w:t>
            </w:r>
            <w:r>
              <w:t xml:space="preserve"> </w:t>
            </w:r>
            <w:r>
              <w:t xml:space="preserve">verifica</w:t>
            </w:r>
            <w:r>
              <w:t xml:space="preserve"> </w:t>
            </w:r>
            <w:r>
              <w:rPr>
                <w:rStyle w:val="VerbatimChar"/>
              </w:rPr>
              <w:t xml:space="preserve">EmpresaDatosBancarios.Activo = 1</w:t>
            </w:r>
            <w:r>
              <w:t xml:space="preserve"> </w:t>
            </w:r>
            <w:r>
              <w:t xml:space="preserve">antes de insertar cualquier asignación. No se permite asociar cuentas inactivas.</w:t>
            </w:r>
          </w:p>
        </w:tc>
      </w:tr>
      <w:tr>
        <w:tc>
          <w:tcPr>
            <w:tcW w:w="1125" w:type="dxa"/>
          </w:tcPr>
          <w:tcPr/>
          <w:p>
            <w:pPr>
              <w:pStyle w:val="Compact"/>
              <w:jc w:val="left"/>
            </w:pPr>
            <w:r>
              <w:t xml:space="preserve">RT-02</w:t>
            </w:r>
          </w:p>
        </w:tc>
        <w:tc>
          <w:tcPr>
            <w:tcW w:w="8235" w:type="dxa"/>
          </w:tcPr>
          <w:tcPr/>
          <w:p>
            <w:pPr>
              <w:pStyle w:val="Compact"/>
              <w:jc w:val="left"/>
            </w:pPr>
            <w:r>
              <w:t xml:space="preserve">La unicidad (</w:t>
            </w:r>
            <w:r>
              <w:rPr>
                <w:rStyle w:val="VerbatimChar"/>
              </w:rPr>
              <w:t xml:space="preserve">IdCliente</w:t>
            </w:r>
            <w:r>
              <w:t xml:space="preserve">,</w:t>
            </w:r>
            <w:r>
              <w:t xml:space="preserve"> </w:t>
            </w:r>
            <w:r>
              <w:rPr>
                <w:rStyle w:val="VerbatimChar"/>
              </w:rPr>
              <w:t xml:space="preserve">IdEmpresaDatosBancarios</w:t>
            </w:r>
            <w:r>
              <w:t xml:space="preserve">) se garantiza con un índice</w:t>
            </w:r>
            <w:r>
              <w:t xml:space="preserve"> </w:t>
            </w:r>
            <w:r>
              <w:rPr>
                <w:rStyle w:val="VerbatimChar"/>
              </w:rPr>
              <w:t xml:space="preserve">UNIQUE</w:t>
            </w:r>
            <w:r>
              <w:t xml:space="preserve"> </w:t>
            </w:r>
            <w:r>
              <w:t xml:space="preserve">filtrado (</w:t>
            </w:r>
            <w:r>
              <w:rPr>
                <w:rStyle w:val="VerbatimChar"/>
              </w:rPr>
              <w:t xml:space="preserve">WHERE Activo = 1</w:t>
            </w:r>
            <w:r>
              <w:t xml:space="preserve">). La baja lógica (</w:t>
            </w:r>
            <w:r>
              <w:rPr>
                <w:rStyle w:val="VerbatimChar"/>
              </w:rPr>
              <w:t xml:space="preserve">Activo = 0</w:t>
            </w:r>
            <w:r>
              <w:t xml:space="preserve">) no cuenta como duplicado — permite reasignar una cuenta previamente eliminada al mismo cliente.</w:t>
            </w:r>
          </w:p>
        </w:tc>
      </w:tr>
      <w:tr>
        <w:tc>
          <w:tcPr>
            <w:tcW w:w="1125" w:type="dxa"/>
          </w:tcPr>
          <w:tcPr/>
          <w:p>
            <w:pPr>
              <w:pStyle w:val="Compact"/>
              <w:jc w:val="left"/>
            </w:pPr>
            <w:r>
              <w:t xml:space="preserve">RT-03</w:t>
            </w:r>
          </w:p>
        </w:tc>
        <w:tc>
          <w:tcPr>
            <w:tcW w:w="8235" w:type="dxa"/>
          </w:tcPr>
          <w:tcPr/>
          <w:p>
            <w:pPr>
              <w:pStyle w:val="Compact"/>
              <w:jc w:val="left"/>
            </w:pPr>
            <w:r>
              <w:t xml:space="preserve">El algoritmo Banamex en</w:t>
            </w:r>
            <w:r>
              <w:t xml:space="preserve"> </w:t>
            </w:r>
            <w:r>
              <w:rPr>
                <w:rStyle w:val="VerbatimChar"/>
              </w:rPr>
              <w:t xml:space="preserve">BankReferenceBO</w:t>
            </w:r>
            <w:r>
              <w:t xml:space="preserve"> </w:t>
            </w:r>
            <w:r>
              <w:t xml:space="preserve">aplica la concatenación determinista de 7 segmentos. Los fallbacks (</w:t>
            </w:r>
            <w:r>
              <w:rPr>
                <w:rStyle w:val="VerbatimChar"/>
              </w:rPr>
              <w:t xml:space="preserve">'X'</w:t>
            </w:r>
            <w:r>
              <w:t xml:space="preserve"> </w:t>
            </w:r>
            <w:r>
              <w:t xml:space="preserve">en S1-S3, padding</w:t>
            </w:r>
            <w:r>
              <w:t xml:space="preserve"> </w:t>
            </w:r>
            <w:r>
              <w:rPr>
                <w:rStyle w:val="VerbatimChar"/>
              </w:rPr>
              <w:t xml:space="preserve">'0'</w:t>
            </w:r>
            <w:r>
              <w:t xml:space="preserve"> </w:t>
            </w:r>
            <w:r>
              <w:t xml:space="preserve">en S4) se aplican siempre para garantizar formato consistente.</w:t>
            </w:r>
          </w:p>
        </w:tc>
      </w:tr>
      <w:tr>
        <w:tc>
          <w:tcPr>
            <w:tcW w:w="1125" w:type="dxa"/>
          </w:tcPr>
          <w:tcPr/>
          <w:p>
            <w:pPr>
              <w:pStyle w:val="Compact"/>
              <w:jc w:val="left"/>
            </w:pPr>
            <w:r>
              <w:t xml:space="preserve">RT-04</w:t>
            </w:r>
          </w:p>
        </w:tc>
        <w:tc>
          <w:tcPr>
            <w:tcW w:w="8235" w:type="dxa"/>
          </w:tcPr>
          <w:tcPr/>
          <w:p>
            <w:pPr>
              <w:pStyle w:val="Compact"/>
              <w:jc w:val="left"/>
            </w:pPr>
            <w:r>
              <w:t xml:space="preserve">El casado en la proforma lo hace RE-016 (no RE-006): su</w:t>
            </w:r>
            <w:r>
              <w:t xml:space="preserve"> </w:t>
            </w:r>
            <w:r>
              <w:rPr>
                <w:rStyle w:val="VerbatimChar"/>
              </w:rPr>
              <w:t xml:space="preserve">tpProformaPedidoFactory</w:t>
            </w:r>
            <w:r>
              <w:t xml:space="preserve"> </w:t>
            </w:r>
            <w:r>
              <w:t xml:space="preserve">lee</w:t>
            </w:r>
            <w:r>
              <w:t xml:space="preserve"> </w:t>
            </w:r>
            <w:r>
              <w:rPr>
                <w:rStyle w:val="VerbatimChar"/>
              </w:rPr>
              <w:t xml:space="preserve">ReferenciaVigente</w:t>
            </w:r>
            <w:r>
              <w:t xml:space="preserve"> </w:t>
            </w:r>
            <w:r>
              <w:t xml:space="preserve">desde el endpoint de RE-006 y la asigna a</w:t>
            </w:r>
            <w:r>
              <w:t xml:space="preserve"> </w:t>
            </w:r>
            <w:r>
              <w:rPr>
                <w:rStyle w:val="VerbatimChar"/>
              </w:rPr>
              <w:t xml:space="preserve">ReferenciaPago</w:t>
            </w:r>
            <w:r>
              <w:t xml:space="preserve">. No se recalcula — el cálculo ocurre en Flujo 1 (asignación) y se mantiene por Flujo 3 (cambio de nombre). RE-006 no invoca ni modifica el factory.</w:t>
            </w:r>
          </w:p>
        </w:tc>
      </w:tr>
      <w:tr>
        <w:tc>
          <w:tcPr>
            <w:tcW w:w="1125" w:type="dxa"/>
          </w:tcPr>
          <w:tcPr/>
          <w:p>
            <w:pPr>
              <w:pStyle w:val="Compact"/>
              <w:jc w:val="left"/>
            </w:pPr>
            <w:r>
              <w:t xml:space="preserve">RT-05</w:t>
            </w:r>
          </w:p>
        </w:tc>
        <w:tc>
          <w:tcPr>
            <w:tcW w:w="8235" w:type="dxa"/>
          </w:tcPr>
          <w:tcPr/>
          <w:p>
            <w:pPr>
              <w:pStyle w:val="Compact"/>
              <w:jc w:val="left"/>
            </w:pPr>
            <w:r>
              <w:t xml:space="preserve">Al modificar</w:t>
            </w:r>
            <w:r>
              <w:t xml:space="preserve"> </w:t>
            </w:r>
            <w:r>
              <w:rPr>
                <w:rStyle w:val="VerbatimChar"/>
              </w:rPr>
              <w:t xml:space="preserve">CodigoValidador</w:t>
            </w:r>
            <w:r>
              <w:t xml:space="preserve">: el valor e</w:t>
            </w:r>
            <w:r>
              <w:t xml:space="preserve"> </w:t>
            </w:r>
            <w:r>
              <w:rPr>
                <w:rStyle w:val="VerbatimChar"/>
              </w:rPr>
              <w:t xml:space="preserve">IdUsuarioModificacion</w:t>
            </w:r>
            <w:r>
              <w:t xml:space="preserve"> </w:t>
            </w:r>
            <w:r>
              <w:t xml:space="preserve">vigentes se mueven a</w:t>
            </w:r>
            <w:r>
              <w:t xml:space="preserve"> </w:t>
            </w:r>
            <w:r>
              <w:rPr>
                <w:rStyle w:val="VerbatimChar"/>
              </w:rPr>
              <w:t xml:space="preserve">CodigoValidadorAnterior</w:t>
            </w:r>
            <w:r>
              <w:t xml:space="preserve">,</w:t>
            </w:r>
            <w:r>
              <w:t xml:space="preserve"> </w:t>
            </w:r>
            <w:r>
              <w:rPr>
                <w:rStyle w:val="VerbatimChar"/>
              </w:rPr>
              <w:t xml:space="preserve">FechaModificacionAnterior</w:t>
            </w:r>
            <w:r>
              <w:t xml:space="preserve"> </w:t>
            </w:r>
            <w:r>
              <w:t xml:space="preserve">e</w:t>
            </w:r>
            <w:r>
              <w:t xml:space="preserve"> </w:t>
            </w:r>
            <w:r>
              <w:rPr>
                <w:rStyle w:val="VerbatimChar"/>
              </w:rPr>
              <w:t xml:space="preserve">IdUsuarioModificacionAnterior</w:t>
            </w:r>
            <w:r>
              <w:t xml:space="preserve">; luego</w:t>
            </w:r>
            <w:r>
              <w:t xml:space="preserve"> </w:t>
            </w:r>
            <w:r>
              <w:rPr>
                <w:rStyle w:val="VerbatimChar"/>
              </w:rPr>
              <w:t xml:space="preserve">IdUsuarioModificacion</w:t>
            </w:r>
            <w:r>
              <w:t xml:space="preserve"> </w:t>
            </w:r>
            <w:r>
              <w:t xml:space="preserve">se actualiza con el usuario actual. Se recalcula</w:t>
            </w:r>
            <w:r>
              <w:t xml:space="preserve"> </w:t>
            </w:r>
            <w:r>
              <w:rPr>
                <w:rStyle w:val="VerbatimChar"/>
              </w:rPr>
              <w:t xml:space="preserve">ReferenciaVigente</w:t>
            </w:r>
            <w:r>
              <w:t xml:space="preserve"> </w:t>
            </w:r>
            <w:r>
              <w:t xml:space="preserve">con el nuevo código. Si</w:t>
            </w:r>
            <w:r>
              <w:t xml:space="preserve"> </w:t>
            </w:r>
            <w:r>
              <w:rPr>
                <w:rStyle w:val="VerbatimChar"/>
              </w:rPr>
              <w:t xml:space="preserve">CodigoValidadorAnterior</w:t>
            </w:r>
            <w:r>
              <w:t xml:space="preserve"> </w:t>
            </w:r>
            <w:r>
              <w:t xml:space="preserve">ya tenía valor previo, se sobrescribe — no es bitácora completa, solo último cambio (OBS-014).</w:t>
            </w:r>
          </w:p>
        </w:tc>
      </w:tr>
      <w:tr>
        <w:tc>
          <w:tcPr>
            <w:tcW w:w="1125" w:type="dxa"/>
          </w:tcPr>
          <w:tcPr/>
          <w:p>
            <w:pPr>
              <w:pStyle w:val="Compact"/>
              <w:jc w:val="left"/>
            </w:pPr>
            <w:r>
              <w:t xml:space="preserve">RT-06</w:t>
            </w:r>
          </w:p>
        </w:tc>
        <w:tc>
          <w:tcPr>
            <w:tcW w:w="8235" w:type="dxa"/>
          </w:tcPr>
          <w:tcPr/>
          <w:p>
            <w:pPr>
              <w:pStyle w:val="Compact"/>
              <w:jc w:val="left"/>
            </w:pPr>
            <w:r>
              <w:t xml:space="preserve">Baja lógica (</w:t>
            </w:r>
            <w:r>
              <w:rPr>
                <w:rStyle w:val="VerbatimChar"/>
              </w:rPr>
              <w:t xml:space="preserve">Activo = 0</w:t>
            </w:r>
            <w:r>
              <w:t xml:space="preserve">), nunca DELETE físico en</w:t>
            </w:r>
            <w:r>
              <w:t xml:space="preserve"> </w:t>
            </w:r>
            <w:r>
              <w:rPr>
                <w:rStyle w:val="VerbatimChar"/>
              </w:rPr>
              <w:t xml:space="preserve">ClienteDatosBancarios</w:t>
            </w:r>
            <w:r>
              <w:t xml:space="preserve">. Preserva integridad referencial y trazabilidad.</w:t>
            </w:r>
          </w:p>
        </w:tc>
      </w:tr>
      <w:tr>
        <w:tc>
          <w:tcPr>
            <w:tcW w:w="1125" w:type="dxa"/>
          </w:tcPr>
          <w:tcPr/>
          <w:p>
            <w:pPr>
              <w:pStyle w:val="Compact"/>
              <w:jc w:val="left"/>
            </w:pPr>
            <w:r>
              <w:t xml:space="preserve">RT-07</w:t>
            </w:r>
          </w:p>
        </w:tc>
        <w:tc>
          <w:tcPr>
            <w:tcW w:w="8235" w:type="dxa"/>
          </w:tcPr>
          <w:tcPr/>
          <w:p>
            <w:pPr>
              <w:pStyle w:val="Compact"/>
              <w:jc w:val="left"/>
            </w:pPr>
            <w:r>
              <w:t xml:space="preserve">La referencia bancaria se calcula en</w:t>
            </w:r>
            <w:r>
              <w:t xml:space="preserve"> </w:t>
            </w:r>
            <w:r>
              <w:rPr>
                <w:rStyle w:val="VerbatimChar"/>
              </w:rPr>
              <w:t xml:space="preserve">ClienteDatosBancariosBO</w:t>
            </w:r>
            <w:r>
              <w:t xml:space="preserve"> </w:t>
            </w:r>
            <w:r>
              <w:t xml:space="preserve">al crear o actualizar la asignación, y se persiste en</w:t>
            </w:r>
            <w:r>
              <w:t xml:space="preserve"> </w:t>
            </w:r>
            <w:r>
              <w:rPr>
                <w:rStyle w:val="VerbatimChar"/>
              </w:rPr>
              <w:t xml:space="preserve">ClienteDatosBancarios.ReferenciaVigente</w:t>
            </w:r>
            <w:r>
              <w:t xml:space="preserve">. El factory de proformas (RE-016) lee este campo —vía el endpoint de RE-006— como fuente de verdad, garantizando que el Buzón de Pagos compare contra el mismo valor que apareció en el documento enviado al cliente.</w:t>
            </w:r>
          </w:p>
        </w:tc>
      </w:tr>
      <w:tr>
        <w:tc>
          <w:tcPr>
            <w:tcW w:w="1125" w:type="dxa"/>
          </w:tcPr>
          <w:tcPr/>
          <w:p>
            <w:pPr>
              <w:pStyle w:val="Compact"/>
              <w:jc w:val="left"/>
            </w:pPr>
            <w:r>
              <w:t xml:space="preserve">RT-08</w:t>
            </w:r>
          </w:p>
        </w:tc>
        <w:tc>
          <w:tcPr>
            <w:tcW w:w="8235" w:type="dxa"/>
          </w:tcPr>
          <w:tcPr/>
          <w:p>
            <w:pPr>
              <w:pStyle w:val="Compact"/>
              <w:jc w:val="left"/>
            </w:pPr>
            <w:r>
              <w:t xml:space="preserve">RE-006 provee el filtro por empresa en el endpoint (</w:t>
            </w:r>
            <w:r>
              <w:rPr>
                <w:rStyle w:val="VerbatimChar"/>
              </w:rPr>
              <w:t xml:space="preserve">IdEmpresa</w:t>
            </w:r>
            <w:r>
              <w:t xml:space="preserve">); RE-016 selecciona: filtra por la empresa emisora (ya inyectada en</w:t>
            </w:r>
            <w:r>
              <w:t xml:space="preserve"> </w:t>
            </w:r>
            <w:r>
              <w:rPr>
                <w:rStyle w:val="VerbatimChar"/>
              </w:rPr>
              <w:t xml:space="preserve">tpProformaPedidoFactory(Empresa empresa)</w:t>
            </w:r>
            <w:r>
              <w:t xml:space="preserve">), considera sólo asignaciones con</w:t>
            </w:r>
            <w:r>
              <w:t xml:space="preserve"> </w:t>
            </w:r>
            <w:r>
              <w:rPr>
                <w:rStyle w:val="VerbatimChar"/>
              </w:rPr>
              <w:t xml:space="preserve">ClienteDatosBancarios.Activo = 1</w:t>
            </w:r>
            <w:r>
              <w:t xml:space="preserve"> </w:t>
            </w:r>
            <w:r>
              <w:t xml:space="preserve">y</w:t>
            </w:r>
            <w:r>
              <w:t xml:space="preserve"> </w:t>
            </w:r>
            <w:r>
              <w:rPr>
                <w:rStyle w:val="VerbatimChar"/>
              </w:rPr>
              <w:t xml:space="preserve">EmpresaDatosBancarios.Activo = 1</w:t>
            </w:r>
            <w:r>
              <w:t xml:space="preserve">, y si hay más de una desempata por</w:t>
            </w:r>
            <w:r>
              <w:t xml:space="preserve"> </w:t>
            </w:r>
            <w:r>
              <w:rPr>
                <w:rStyle w:val="VerbatimChar"/>
              </w:rPr>
              <w:t xml:space="preserve">FechaUltimaActualizacion DESC</w:t>
            </w:r>
            <w:r>
              <w:t xml:space="preserve">; si no hay ninguna,</w:t>
            </w:r>
            <w:r>
              <w:t xml:space="preserve"> </w:t>
            </w:r>
            <w:r>
              <w:rPr>
                <w:rStyle w:val="VerbatimChar"/>
              </w:rPr>
              <w:t xml:space="preserve">ReferenciaPago = null</w:t>
            </w:r>
            <w:r>
              <w:t xml:space="preserve">. Resuelve DUDA-118 y CA-EC2. La decisión de selección es de RE-016, no de RE-006.</w:t>
            </w:r>
          </w:p>
        </w:tc>
      </w:tr>
      <w:tr>
        <w:tc>
          <w:tcPr>
            <w:tcW w:w="1125" w:type="dxa"/>
          </w:tcPr>
          <w:tcPr/>
          <w:p>
            <w:pPr>
              <w:pStyle w:val="Compact"/>
              <w:jc w:val="left"/>
            </w:pPr>
            <w:r>
              <w:t xml:space="preserve">RT-10</w:t>
            </w:r>
          </w:p>
        </w:tc>
        <w:tc>
          <w:tcPr>
            <w:tcW w:w="8235" w:type="dxa"/>
          </w:tcPr>
          <w:tcPr/>
          <w:p>
            <w:pPr>
              <w:pStyle w:val="Compact"/>
              <w:jc w:val="left"/>
            </w:pPr>
            <w:r>
              <w:t xml:space="preserve">El endpoint</w:t>
            </w:r>
            <w:r>
              <w:t xml:space="preserve"> </w:t>
            </w:r>
            <w:r>
              <w:rPr>
                <w:rStyle w:val="VerbatimChar"/>
              </w:rPr>
              <w:t xml:space="preserve">POST /vClienteDatosBancarios</w:t>
            </w:r>
            <w:r>
              <w:t xml:space="preserve"> </w:t>
            </w:r>
            <w:r>
              <w:t xml:space="preserve">recibe</w:t>
            </w:r>
            <w:r>
              <w:t xml:space="preserve"> </w:t>
            </w:r>
            <w:r>
              <w:rPr>
                <w:rStyle w:val="VerbatimChar"/>
              </w:rPr>
              <w:t xml:space="preserve">IdCliente</w:t>
            </w:r>
            <w:r>
              <w:t xml:space="preserve">,</w:t>
            </w:r>
            <w:r>
              <w:t xml:space="preserve"> </w:t>
            </w:r>
            <w:r>
              <w:rPr>
                <w:rStyle w:val="VerbatimChar"/>
              </w:rPr>
              <w:t xml:space="preserve">IdCatBanco</w:t>
            </w:r>
            <w:r>
              <w:t xml:space="preserve">,</w:t>
            </w:r>
            <w:r>
              <w:t xml:space="preserve"> </w:t>
            </w:r>
            <w:r>
              <w:rPr>
                <w:rStyle w:val="VerbatimChar"/>
              </w:rPr>
              <w:t xml:space="preserve">IdCatMoneda</w:t>
            </w:r>
            <w:r>
              <w:t xml:space="preserve"> </w:t>
            </w:r>
            <w:r>
              <w:t xml:space="preserve">e</w:t>
            </w:r>
            <w:r>
              <w:t xml:space="preserve"> </w:t>
            </w:r>
            <w:r>
              <w:rPr>
                <w:rStyle w:val="VerbatimChar"/>
              </w:rPr>
              <w:t xml:space="preserve">IdEmpresa</w:t>
            </w:r>
            <w:r>
              <w:t xml:space="preserve"> </w:t>
            </w:r>
            <w:r>
              <w:t xml:space="preserve">— todos opcionales —, resuelve internamente la cadena de relaciones (</w:t>
            </w:r>
            <w:r>
              <w:rPr>
                <w:rStyle w:val="VerbatimChar"/>
              </w:rPr>
              <w:t xml:space="preserve">EmpresaDatosBancarios</w:t>
            </w:r>
            <w:r>
              <w:t xml:space="preserve">↔</w:t>
            </w:r>
            <w:r>
              <w:rPr>
                <w:rStyle w:val="VerbatimChar"/>
              </w:rPr>
              <w:t xml:space="preserve">DatosBancarios</w:t>
            </w:r>
            <w:r>
              <w:t xml:space="preserve">↔</w:t>
            </w:r>
            <w:r>
              <w:rPr>
                <w:rStyle w:val="VerbatimChar"/>
              </w:rPr>
              <w:t xml:space="preserve">catBanco</w:t>
            </w:r>
            <w:r>
              <w:t xml:space="preserve">/</w:t>
            </w:r>
            <w:r>
              <w:rPr>
                <w:rStyle w:val="VerbatimChar"/>
              </w:rPr>
              <w:t xml:space="preserve">catMoneda</w:t>
            </w:r>
            <w:r>
              <w:t xml:space="preserve">) y responde siempre en arreglo (</w:t>
            </w:r>
            <w:r>
              <w:rPr>
                <w:rStyle w:val="VerbatimChar"/>
              </w:rPr>
              <w:t xml:space="preserve">List&lt;vClienteDatosBancarios&gt;</w:t>
            </w:r>
            <w:r>
              <w:t xml:space="preserve">), en cualquier combinación de filtros, incluida ninguna (regresa todas las asignaciones activas). Es el contrato de datos hacia RE-016.</w:t>
            </w:r>
          </w:p>
        </w:tc>
      </w:tr>
      <w:tr>
        <w:tc>
          <w:tcPr>
            <w:tcW w:w="1125" w:type="dxa"/>
          </w:tcPr>
          <w:tcPr/>
          <w:p>
            <w:pPr>
              <w:pStyle w:val="Compact"/>
              <w:jc w:val="left"/>
            </w:pPr>
            <w:r>
              <w:t xml:space="preserve">RT-11</w:t>
            </w:r>
          </w:p>
        </w:tc>
        <w:tc>
          <w:tcPr>
            <w:tcW w:w="8235" w:type="dxa"/>
          </w:tcPr>
          <w:tcPr/>
          <w:p>
            <w:pPr>
              <w:pStyle w:val="Compact"/>
              <w:jc w:val="left"/>
            </w:pPr>
            <w:r>
              <w:t xml:space="preserve">La tupla (cliente, banco, moneda, empresa) no es llave única — una empresa puede tener 2 cuentas activas mismo banco+moneda (verificado live). El único discriminador a 1 registro es</w:t>
            </w:r>
            <w:r>
              <w:t xml:space="preserve"> </w:t>
            </w:r>
            <w:r>
              <w:rPr>
                <w:rStyle w:val="VerbatimChar"/>
              </w:rPr>
              <w:t xml:space="preserve">IdEmpresaDatosBancarios</w:t>
            </w:r>
            <w:r>
              <w:t xml:space="preserve"> </w:t>
            </w:r>
            <w:r>
              <w:t xml:space="preserve">(no</w:t>
            </w:r>
            <w:r>
              <w:t xml:space="preserve"> </w:t>
            </w:r>
            <w:r>
              <w:rPr>
                <w:rStyle w:val="VerbatimChar"/>
              </w:rPr>
              <w:t xml:space="preserve">IdEmpresa</w:t>
            </w:r>
            <w:r>
              <w:t xml:space="preserve">). Por eso el endpoint devuelve arreglo; si un consumidor requiere un único registro, filtra por</w:t>
            </w:r>
            <w:r>
              <w:t xml:space="preserve"> </w:t>
            </w:r>
            <w:r>
              <w:rPr>
                <w:rStyle w:val="VerbatimChar"/>
              </w:rPr>
              <w:t xml:space="preserve">IdEmpresaDatosBancarios</w:t>
            </w:r>
            <w:r>
              <w:t xml:space="preserve">.</w:t>
            </w:r>
          </w:p>
        </w:tc>
      </w:tr>
      <w:tr>
        <w:tc>
          <w:tcPr>
            <w:tcW w:w="1125" w:type="dxa"/>
          </w:tcPr>
          <w:tcPr/>
          <w:p>
            <w:pPr>
              <w:pStyle w:val="Compact"/>
              <w:jc w:val="left"/>
            </w:pPr>
            <w:r>
              <w:t xml:space="preserve">RT-12</w:t>
            </w:r>
          </w:p>
        </w:tc>
        <w:tc>
          <w:tcPr>
            <w:tcW w:w="8235" w:type="dxa"/>
          </w:tcPr>
          <w:tcPr/>
          <w:p>
            <w:pPr>
              <w:pStyle w:val="Compact"/>
              <w:jc w:val="left"/>
            </w:pPr>
            <w:r>
              <w:t xml:space="preserve">Ante cambio de</w:t>
            </w:r>
            <w:r>
              <w:t xml:space="preserve"> </w:t>
            </w:r>
            <w:r>
              <w:rPr>
                <w:rStyle w:val="VerbatimChar"/>
              </w:rPr>
              <w:t xml:space="preserve">Cliente.Nombre</w:t>
            </w:r>
            <w:r>
              <w:t xml:space="preserve">, un hook transaccional en</w:t>
            </w:r>
            <w:r>
              <w:t xml:space="preserve"> </w:t>
            </w:r>
            <w:r>
              <w:rPr>
                <w:rStyle w:val="VerbatimChar"/>
              </w:rPr>
              <w:t xml:space="preserve">ClienteBO</w:t>
            </w:r>
            <w:r>
              <w:t xml:space="preserve"> </w:t>
            </w:r>
            <w:r>
              <w:t xml:space="preserve">recalcula</w:t>
            </w:r>
            <w:r>
              <w:t xml:space="preserve"> </w:t>
            </w:r>
            <w:r>
              <w:rPr>
                <w:rStyle w:val="VerbatimChar"/>
              </w:rPr>
              <w:t xml:space="preserve">ReferenciaVigente</w:t>
            </w:r>
            <w:r>
              <w:t xml:space="preserve"> </w:t>
            </w:r>
            <w:r>
              <w:t xml:space="preserve">de todas las asignaciones activas del cliente en la misma transacción del guardado (Flujo 3, RF-15). Fallo en la cascada → rollback del guardado del cliente. Las proformas ya emitidas no se tocan.</w:t>
            </w:r>
          </w:p>
        </w:tc>
      </w:tr>
      <w:tr>
        <w:tc>
          <w:tcPr>
            <w:tcW w:w="1125" w:type="dxa"/>
          </w:tcPr>
          <w:tcPr/>
          <w:p>
            <w:pPr>
              <w:pStyle w:val="Compact"/>
              <w:jc w:val="left"/>
            </w:pPr>
            <w:r>
              <w:t xml:space="preserve">RT-09</w:t>
            </w:r>
          </w:p>
        </w:tc>
        <w:tc>
          <w:tcPr>
            <w:tcW w:w="8235" w:type="dxa"/>
          </w:tcPr>
          <w:tcPr/>
          <w:p>
            <w:pPr>
              <w:pStyle w:val="Compact"/>
              <w:jc w:val="left"/>
            </w:pPr>
            <w:r>
              <w:t xml:space="preserve">El controller obtiene el usuario que ejecuta la operación mediante</w:t>
            </w:r>
            <w:r>
              <w:t xml:space="preserve"> </w:t>
            </w:r>
            <w:r>
              <w:rPr>
                <w:rStyle w:val="VerbatimChar"/>
              </w:rPr>
              <w:t xml:space="preserve">BaseApiController.ObtenerUsuarioAutenticado().IdUsuario</w:t>
            </w:r>
            <w:r>
              <w:t xml:space="preserve"> </w:t>
            </w:r>
            <w:r>
              <w:t xml:space="preserve">(resuelto desde el token de autorización; patrón ya usado en</w:t>
            </w:r>
            <w:r>
              <w:t xml:space="preserve"> </w:t>
            </w:r>
            <w:r>
              <w:rPr>
                <w:rStyle w:val="VerbatimChar"/>
              </w:rPr>
              <w:t xml:space="preserve">ContratoClienteController</w:t>
            </w:r>
            <w:r>
              <w:t xml:space="preserve">) y lo pasa al BO para poblar</w:t>
            </w:r>
            <w:r>
              <w:t xml:space="preserve"> </w:t>
            </w:r>
            <w:r>
              <w:rPr>
                <w:rStyle w:val="VerbatimChar"/>
              </w:rPr>
              <w:t xml:space="preserve">IdUsuarioModificacion</w:t>
            </w:r>
            <w:r>
              <w:t xml:space="preserve">. En un UPDATE, el</w:t>
            </w:r>
            <w:r>
              <w:t xml:space="preserve"> </w:t>
            </w:r>
            <w:r>
              <w:rPr>
                <w:rStyle w:val="VerbatimChar"/>
              </w:rPr>
              <w:t xml:space="preserve">IdUsuarioModificacion</w:t>
            </w:r>
            <w:r>
              <w:t xml:space="preserve"> </w:t>
            </w:r>
            <w:r>
              <w:t xml:space="preserve">vigente pasa a</w:t>
            </w:r>
            <w:r>
              <w:t xml:space="preserve"> </w:t>
            </w:r>
            <w:r>
              <w:rPr>
                <w:rStyle w:val="VerbatimChar"/>
              </w:rPr>
              <w:t xml:space="preserve">IdUsuarioModificacionAnterior</w:t>
            </w:r>
            <w:r>
              <w:t xml:space="preserve"> </w:t>
            </w:r>
            <w:r>
              <w:t xml:space="preserve">y el usuario autenticado actual queda como</w:t>
            </w:r>
            <w:r>
              <w:t xml:space="preserve"> </w:t>
            </w:r>
            <w:r>
              <w:rPr>
                <w:rStyle w:val="VerbatimChar"/>
              </w:rPr>
              <w:t xml:space="preserve">IdUsuarioModificacion</w:t>
            </w:r>
            <w:r>
              <w:t xml:space="preserve"> </w:t>
            </w:r>
            <w:r>
              <w:t xml:space="preserve">(par de</w:t>
            </w:r>
            <w:r>
              <w:t xml:space="preserve"> </w:t>
            </w:r>
            <w:r>
              <w:rPr>
                <w:rStyle w:val="VerbatimChar"/>
              </w:rPr>
              <w:t xml:space="preserve">FechaUltimaActualizacion</w:t>
            </w:r>
            <w:r>
              <w:t xml:space="preserve">).</w:t>
            </w:r>
          </w:p>
        </w:tc>
      </w:tr>
    </w:tbl>
    <w:p>
      <w:r>
        <w:pict>
          <v:rect style="width:0;height:1.5pt" o:hralign="center" o:hrstd="t" o:hr="t"/>
        </w:pict>
      </w:r>
    </w:p>
    <w:p>
      <w:pPr>
        <w:pStyle w:val="Heading1"/>
      </w:pPr>
      <w:r>
        <w:rPr>
          <w:b/>
          <w:bCs/>
        </w:rPr>
        <w:t xml:space="preserve">Diseño de componentes</w:t>
      </w:r>
    </w:p>
    <w:p>
      <w:pPr>
        <w:pStyle w:val="Heading2"/>
      </w:pPr>
      <w:r>
        <w:rPr>
          <w:b/>
          <w:bCs/>
        </w:rPr>
        <w:t xml:space="preserve">1. Diagramas</w:t>
      </w:r>
    </w:p>
    <w:p>
      <w:pPr>
        <w:pStyle w:val="FirstParagraph"/>
      </w:pPr>
      <w:r>
        <w:t xml:space="preserve">Flujo 1:</w:t>
      </w:r>
      <w:r>
        <w:t xml:space="preserve"> </w:t>
      </w:r>
      <w:r>
        <w:rPr>
          <w:rStyle w:val="VerbatimChar"/>
        </w:rPr>
        <w:t xml:space="preserve">FE → ClienteDatosBancariosController → ClienteDatosBancariosBO → BankReferenceBO → dbo.ClienteDatosBancarios</w:t>
      </w:r>
    </w:p>
    <w:p>
      <w:pPr>
        <w:pStyle w:val="SourceCode"/>
      </w:pPr>
      <w:r>
        <w:rPr>
          <w:rStyle w:val="KeywordTok"/>
        </w:rPr>
        <w:t xml:space="preserve">flowchart</w:t>
      </w:r>
      <w:r>
        <w:rPr>
          <w:rStyle w:val="NormalTok"/>
        </w:rPr>
        <w:t xml:space="preserve"> </w:t>
      </w:r>
      <w:r>
        <w:rPr>
          <w:rStyle w:val="BuiltInTok"/>
        </w:rPr>
        <w:t xml:space="preserve">TD</w:t>
      </w:r>
      <w:r>
        <w:br/>
      </w:r>
      <w:r>
        <w:rPr>
          <w:rStyle w:val="NormalTok"/>
        </w:rPr>
        <w:t xml:space="preserve">    </w:t>
      </w:r>
      <w:r>
        <w:rPr>
          <w:rStyle w:val="KeywordTok"/>
        </w:rPr>
        <w:t xml:space="preserve">subgraph</w:t>
      </w:r>
      <w:r>
        <w:rPr>
          <w:rStyle w:val="NormalTok"/>
        </w:rPr>
        <w:t xml:space="preserve"> F1</w:t>
      </w:r>
      <w:r>
        <w:rPr>
          <w:rStyle w:val="FunctionTok"/>
        </w:rPr>
        <w:t xml:space="preserve">["Flujo 1 — Asignación de cuenta bancaria"]</w:t>
      </w:r>
      <w:r>
        <w:br/>
      </w:r>
      <w:r>
        <w:rPr>
          <w:rStyle w:val="NormalTok"/>
        </w:rPr>
        <w:t xml:space="preserve">        A</w:t>
      </w:r>
      <w:r>
        <w:rPr>
          <w:rStyle w:val="FunctionTok"/>
        </w:rPr>
        <w:t xml:space="preserve">([Usuario guarda asignación])</w:t>
      </w:r>
      <w:r>
        <w:rPr>
          <w:rStyle w:val="NormalTok"/>
        </w:rPr>
        <w:t xml:space="preserve"> </w:t>
      </w:r>
      <w:r>
        <w:rPr>
          <w:rStyle w:val="OperatorTok"/>
        </w:rPr>
        <w:t xml:space="preserve">--&gt;</w:t>
      </w:r>
      <w:r>
        <w:rPr>
          <w:rStyle w:val="NormalTok"/>
        </w:rPr>
        <w:t xml:space="preserve"> B</w:t>
      </w:r>
      <w:r>
        <w:rPr>
          <w:rStyle w:val="FunctionTok"/>
        </w:rPr>
        <w:t xml:space="preserve">{¿Es nueva o modificación?}</w:t>
      </w:r>
      <w:r>
        <w:br/>
      </w:r>
      <w:r>
        <w:rPr>
          <w:rStyle w:val="NormalTok"/>
        </w:rPr>
        <w:t xml:space="preserve">        B </w:t>
      </w:r>
      <w:r>
        <w:rPr>
          <w:rStyle w:val="OperatorTok"/>
        </w:rPr>
        <w:t xml:space="preserve">--</w:t>
      </w:r>
      <w:r>
        <w:rPr>
          <w:rStyle w:val="NormalTok"/>
        </w:rPr>
        <w:t xml:space="preserve"> Nueva </w:t>
      </w:r>
      <w:r>
        <w:rPr>
          <w:rStyle w:val="OperatorTok"/>
        </w:rPr>
        <w:t xml:space="preserve">--&gt;</w:t>
      </w:r>
      <w:r>
        <w:rPr>
          <w:rStyle w:val="NormalTok"/>
        </w:rPr>
        <w:t xml:space="preserve"> C</w:t>
      </w:r>
      <w:r>
        <w:rPr>
          <w:rStyle w:val="FunctionTok"/>
        </w:rPr>
        <w:t xml:space="preserve">[Validar cuenta activa\ny sin duplicado]</w:t>
      </w:r>
      <w:r>
        <w:br/>
      </w:r>
      <w:r>
        <w:rPr>
          <w:rStyle w:val="NormalTok"/>
        </w:rPr>
        <w:t xml:space="preserve">        B </w:t>
      </w:r>
      <w:r>
        <w:rPr>
          <w:rStyle w:val="OperatorTok"/>
        </w:rPr>
        <w:t xml:space="preserve">--</w:t>
      </w:r>
      <w:r>
        <w:rPr>
          <w:rStyle w:val="NormalTok"/>
        </w:rPr>
        <w:t xml:space="preserve"> Modificación </w:t>
      </w:r>
      <w:r>
        <w:rPr>
          <w:rStyle w:val="OperatorTok"/>
        </w:rPr>
        <w:t xml:space="preserve">--&gt;</w:t>
      </w:r>
      <w:r>
        <w:rPr>
          <w:rStyle w:val="NormalTok"/>
        </w:rPr>
        <w:t xml:space="preserve"> D</w:t>
      </w:r>
      <w:r>
        <w:rPr>
          <w:rStyle w:val="FunctionTok"/>
        </w:rPr>
        <w:t xml:space="preserve">[Guardar historial\nCódigoValidador anterior]</w:t>
      </w:r>
      <w:r>
        <w:br/>
      </w:r>
      <w:r>
        <w:rPr>
          <w:rStyle w:val="NormalTok"/>
        </w:rPr>
        <w:t xml:space="preserve">        C </w:t>
      </w:r>
      <w:r>
        <w:rPr>
          <w:rStyle w:val="OperatorTok"/>
        </w:rPr>
        <w:t xml:space="preserve">--&gt;</w:t>
      </w:r>
      <w:r>
        <w:rPr>
          <w:rStyle w:val="NormalTok"/>
        </w:rPr>
        <w:t xml:space="preserve"> E</w:t>
      </w:r>
      <w:r>
        <w:rPr>
          <w:rStyle w:val="FunctionTok"/>
        </w:rPr>
        <w:t xml:space="preserve">{¿Válido?}</w:t>
      </w:r>
      <w:r>
        <w:br/>
      </w:r>
      <w:r>
        <w:rPr>
          <w:rStyle w:val="NormalTok"/>
        </w:rPr>
        <w:t xml:space="preserve">        E </w:t>
      </w:r>
      <w:r>
        <w:rPr>
          <w:rStyle w:val="OperatorTok"/>
        </w:rPr>
        <w:t xml:space="preserve">--</w:t>
      </w:r>
      <w:r>
        <w:rPr>
          <w:rStyle w:val="NormalTok"/>
        </w:rPr>
        <w:t xml:space="preserve"> No </w:t>
      </w:r>
      <w:r>
        <w:rPr>
          <w:rStyle w:val="OperatorTok"/>
        </w:rPr>
        <w:t xml:space="preserve">--&gt;</w:t>
      </w:r>
      <w:r>
        <w:rPr>
          <w:rStyle w:val="NormalTok"/>
        </w:rPr>
        <w:t xml:space="preserve"> F</w:t>
      </w:r>
      <w:r>
        <w:rPr>
          <w:rStyle w:val="FunctionTok"/>
        </w:rPr>
        <w:t xml:space="preserve">([Error 400])</w:t>
      </w:r>
      <w:r>
        <w:br/>
      </w:r>
      <w:r>
        <w:rPr>
          <w:rStyle w:val="NormalTok"/>
        </w:rPr>
        <w:t xml:space="preserve">        E </w:t>
      </w:r>
      <w:r>
        <w:rPr>
          <w:rStyle w:val="OperatorTok"/>
        </w:rPr>
        <w:t xml:space="preserve">--</w:t>
      </w:r>
      <w:r>
        <w:rPr>
          <w:rStyle w:val="NormalTok"/>
        </w:rPr>
        <w:t xml:space="preserve"> Sí </w:t>
      </w:r>
      <w:r>
        <w:rPr>
          <w:rStyle w:val="OperatorTok"/>
        </w:rPr>
        <w:t xml:space="preserve">--&gt;</w:t>
      </w:r>
      <w:r>
        <w:rPr>
          <w:rStyle w:val="NormalTok"/>
        </w:rPr>
        <w:t xml:space="preserve"> G</w:t>
      </w:r>
      <w:r>
        <w:rPr>
          <w:rStyle w:val="FunctionTok"/>
        </w:rPr>
        <w:t xml:space="preserve">[(INSERT ClienteDatosBancarios)]</w:t>
      </w:r>
      <w:r>
        <w:br/>
      </w:r>
      <w:r>
        <w:rPr>
          <w:rStyle w:val="NormalTok"/>
        </w:rPr>
        <w:t xml:space="preserve">        D </w:t>
      </w:r>
      <w:r>
        <w:rPr>
          <w:rStyle w:val="OperatorTok"/>
        </w:rPr>
        <w:t xml:space="preserve">--&gt;</w:t>
      </w:r>
      <w:r>
        <w:rPr>
          <w:rStyle w:val="NormalTok"/>
        </w:rPr>
        <w:t xml:space="preserve"> G2</w:t>
      </w:r>
      <w:r>
        <w:rPr>
          <w:rStyle w:val="FunctionTok"/>
        </w:rPr>
        <w:t xml:space="preserve">[(UPDATE ClienteDatosBancarios\n+ historial OBS-014)]</w:t>
      </w:r>
      <w:r>
        <w:br/>
      </w:r>
      <w:r>
        <w:rPr>
          <w:rStyle w:val="NormalTok"/>
        </w:rPr>
        <w:t xml:space="preserve">        G </w:t>
      </w:r>
      <w:r>
        <w:rPr>
          <w:rStyle w:val="OperatorTok"/>
        </w:rPr>
        <w:t xml:space="preserve">--&gt;</w:t>
      </w:r>
      <w:r>
        <w:rPr>
          <w:rStyle w:val="NormalTok"/>
        </w:rPr>
        <w:t xml:space="preserve"> R</w:t>
      </w:r>
      <w:r>
        <w:rPr>
          <w:rStyle w:val="FunctionTok"/>
        </w:rPr>
        <w:t xml:space="preserve">[Calcular ReferenciaVigente\nBankReferenceBO.Build]</w:t>
      </w:r>
      <w:r>
        <w:br/>
      </w:r>
      <w:r>
        <w:rPr>
          <w:rStyle w:val="NormalTok"/>
        </w:rPr>
        <w:t xml:space="preserve">        G2 </w:t>
      </w:r>
      <w:r>
        <w:rPr>
          <w:rStyle w:val="OperatorTok"/>
        </w:rPr>
        <w:t xml:space="preserve">--&gt;</w:t>
      </w:r>
      <w:r>
        <w:rPr>
          <w:rStyle w:val="NormalTok"/>
        </w:rPr>
        <w:t xml:space="preserve"> R</w:t>
      </w:r>
      <w:r>
        <w:br/>
      </w:r>
      <w:r>
        <w:rPr>
          <w:rStyle w:val="NormalTok"/>
        </w:rPr>
        <w:t xml:space="preserve">        R </w:t>
      </w:r>
      <w:r>
        <w:rPr>
          <w:rStyle w:val="OperatorTok"/>
        </w:rPr>
        <w:t xml:space="preserve">--&gt;</w:t>
      </w:r>
      <w:r>
        <w:rPr>
          <w:rStyle w:val="NormalTok"/>
        </w:rPr>
        <w:t xml:space="preserve"> S</w:t>
      </w:r>
      <w:r>
        <w:rPr>
          <w:rStyle w:val="FunctionTok"/>
        </w:rPr>
        <w:t xml:space="preserve">[(Persistir ReferenciaVigente\n+ FechaReferenciaVigente)]</w:t>
      </w:r>
      <w:r>
        <w:br/>
      </w:r>
      <w:r>
        <w:rPr>
          <w:rStyle w:val="NormalTok"/>
        </w:rPr>
        <w:t xml:space="preserve">    </w:t>
      </w:r>
      <w:r>
        <w:rPr>
          <w:rStyle w:val="KeywordTok"/>
        </w:rPr>
        <w:t xml:space="preserve">end</w:t>
      </w:r>
    </w:p>
    <w:p>
      <w:pPr>
        <w:pStyle w:val="FirstParagraph"/>
      </w:pPr>
      <w:r>
        <w:drawing>
          <wp:inline>
            <wp:extent cx="5486400" cy="1343608"/>
            <wp:effectExtent b="0" l="0" r="0" t="0"/>
            <wp:docPr descr="" title="" id="32" name="Picture"/>
            <a:graphic>
              <a:graphicData uri="http://schemas.openxmlformats.org/drawingml/2006/picture">
                <pic:pic>
                  <pic:nvPicPr>
                    <pic:cNvPr descr="C:\Users\jose.santiago\Projects\R16\pipeline-gdocs\enhances\.cache\9ac2b299.png" id="33" name="Picture"/>
                    <pic:cNvPicPr>
                      <a:picLocks noChangeArrowheads="1" noChangeAspect="1"/>
                    </pic:cNvPicPr>
                  </pic:nvPicPr>
                  <pic:blipFill>
                    <a:blip r:embed="rId31"/>
                    <a:stretch>
                      <a:fillRect/>
                    </a:stretch>
                  </pic:blipFill>
                  <pic:spPr bwMode="auto">
                    <a:xfrm>
                      <a:off x="0" y="0"/>
                      <a:ext cx="5486400" cy="1343608"/>
                    </a:xfrm>
                    <a:prstGeom prst="rect">
                      <a:avLst/>
                    </a:prstGeom>
                    <a:noFill/>
                    <a:ln w="9525">
                      <a:noFill/>
                      <a:headEnd/>
                      <a:tailEnd/>
                    </a:ln>
                  </pic:spPr>
                </pic:pic>
              </a:graphicData>
            </a:graphic>
          </wp:inline>
        </w:drawing>
      </w:r>
    </w:p>
    <w:p>
      <w:pPr>
        <w:pStyle w:val="BodyText"/>
      </w:pPr>
      <w:r>
        <w:t xml:space="preserve">Flujo 2:</w:t>
      </w:r>
      <w:r>
        <w:t xml:space="preserve"> </w:t>
      </w:r>
      <w:r>
        <w:rPr>
          <w:rStyle w:val="VerbatimChar"/>
        </w:rPr>
        <w:t xml:space="preserve">RE-016 (tpProformaPedidoFactory) → endpoint RE-006 POST /vClienteDatosBancarios → lee ReferenciaVigente</w:t>
      </w:r>
      <w:r>
        <w:t xml:space="preserve"> </w:t>
      </w:r>
      <w:r>
        <w:t xml:space="preserve">— RE-006 expone, RE-016 consume y casa.</w:t>
      </w:r>
    </w:p>
    <w:p>
      <w:pPr>
        <w:pStyle w:val="SourceCode"/>
      </w:pPr>
      <w:r>
        <w:rPr>
          <w:rStyle w:val="KeywordTok"/>
        </w:rPr>
        <w:t xml:space="preserve">flowchart</w:t>
      </w:r>
      <w:r>
        <w:rPr>
          <w:rStyle w:val="NormalTok"/>
        </w:rPr>
        <w:t xml:space="preserve"> </w:t>
      </w:r>
      <w:r>
        <w:rPr>
          <w:rStyle w:val="BuiltInTok"/>
        </w:rPr>
        <w:t xml:space="preserve">TD</w:t>
      </w:r>
      <w:r>
        <w:br/>
      </w:r>
      <w:r>
        <w:rPr>
          <w:rStyle w:val="NormalTok"/>
        </w:rPr>
        <w:t xml:space="preserve">    </w:t>
      </w:r>
      <w:r>
        <w:rPr>
          <w:rStyle w:val="KeywordTok"/>
        </w:rPr>
        <w:t xml:space="preserve">subgraph</w:t>
      </w:r>
      <w:r>
        <w:rPr>
          <w:rStyle w:val="NormalTok"/>
        </w:rPr>
        <w:t xml:space="preserve"> F2</w:t>
      </w:r>
      <w:r>
        <w:rPr>
          <w:rStyle w:val="FunctionTok"/>
        </w:rPr>
        <w:t xml:space="preserve">["Flujo 2 — RE-006 expone (endpoint) · RE-016 consume (casado)"]</w:t>
      </w:r>
      <w:r>
        <w:br/>
      </w:r>
      <w:r>
        <w:rPr>
          <w:rStyle w:val="NormalTok"/>
        </w:rPr>
        <w:t xml:space="preserve">        H</w:t>
      </w:r>
      <w:r>
        <w:rPr>
          <w:rStyle w:val="FunctionTok"/>
        </w:rPr>
        <w:t xml:space="preserve">([RE-016: Generar proforma])</w:t>
      </w:r>
      <w:r>
        <w:rPr>
          <w:rStyle w:val="NormalTok"/>
        </w:rPr>
        <w:t xml:space="preserve"> </w:t>
      </w:r>
      <w:r>
        <w:rPr>
          <w:rStyle w:val="OperatorTok"/>
        </w:rPr>
        <w:t xml:space="preserve">--&gt;</w:t>
      </w:r>
      <w:r>
        <w:rPr>
          <w:rStyle w:val="NormalTok"/>
        </w:rPr>
        <w:t xml:space="preserve"> I</w:t>
      </w:r>
      <w:r>
        <w:rPr>
          <w:rStyle w:val="FunctionTok"/>
        </w:rPr>
        <w:t xml:space="preserve">[RE-006: POST /vClienteDatosBancarios\nfiltro por empresa emisora]</w:t>
      </w:r>
      <w:r>
        <w:br/>
      </w:r>
      <w:r>
        <w:rPr>
          <w:rStyle w:val="NormalTok"/>
        </w:rPr>
        <w:t xml:space="preserve">        I </w:t>
      </w:r>
      <w:r>
        <w:rPr>
          <w:rStyle w:val="OperatorTok"/>
        </w:rPr>
        <w:t xml:space="preserve">--&gt;</w:t>
      </w:r>
      <w:r>
        <w:rPr>
          <w:rStyle w:val="NormalTok"/>
        </w:rPr>
        <w:t xml:space="preserve"> J</w:t>
      </w:r>
      <w:r>
        <w:rPr>
          <w:rStyle w:val="FunctionTok"/>
        </w:rPr>
        <w:t xml:space="preserve">{¿Arreglo con ReferenciaVigente?}</w:t>
      </w:r>
      <w:r>
        <w:br/>
      </w:r>
      <w:r>
        <w:rPr>
          <w:rStyle w:val="NormalTok"/>
        </w:rPr>
        <w:t xml:space="preserve">        J </w:t>
      </w:r>
      <w:r>
        <w:rPr>
          <w:rStyle w:val="OperatorTok"/>
        </w:rPr>
        <w:t xml:space="preserve">--</w:t>
      </w:r>
      <w:r>
        <w:rPr>
          <w:rStyle w:val="NormalTok"/>
        </w:rPr>
        <w:t xml:space="preserve"> Vacío </w:t>
      </w:r>
      <w:r>
        <w:rPr>
          <w:rStyle w:val="OperatorTok"/>
        </w:rPr>
        <w:t xml:space="preserve">--&gt;</w:t>
      </w:r>
      <w:r>
        <w:rPr>
          <w:rStyle w:val="NormalTok"/>
        </w:rPr>
        <w:t xml:space="preserve"> K</w:t>
      </w:r>
      <w:r>
        <w:rPr>
          <w:rStyle w:val="FunctionTok"/>
        </w:rPr>
        <w:t xml:space="preserve">[RE-016: ReferenciaPago = null]</w:t>
      </w:r>
      <w:r>
        <w:br/>
      </w:r>
      <w:r>
        <w:rPr>
          <w:rStyle w:val="NormalTok"/>
        </w:rPr>
        <w:t xml:space="preserve">        J </w:t>
      </w:r>
      <w:r>
        <w:rPr>
          <w:rStyle w:val="OperatorTok"/>
        </w:rPr>
        <w:t xml:space="preserve">--</w:t>
      </w:r>
      <w:r>
        <w:rPr>
          <w:rStyle w:val="NormalTok"/>
        </w:rPr>
        <w:t xml:space="preserve"> 1+ </w:t>
      </w:r>
      <w:r>
        <w:rPr>
          <w:rStyle w:val="OperatorTok"/>
        </w:rPr>
        <w:t xml:space="preserve">--&gt;</w:t>
      </w:r>
      <w:r>
        <w:rPr>
          <w:rStyle w:val="NormalTok"/>
        </w:rPr>
        <w:t xml:space="preserve"> L</w:t>
      </w:r>
      <w:r>
        <w:rPr>
          <w:rStyle w:val="FunctionTok"/>
        </w:rPr>
        <w:t xml:space="preserve">[RE-016: elige por empresa\ndesempate FechaUltimaActualizacion DESC]</w:t>
      </w:r>
      <w:r>
        <w:br/>
      </w:r>
      <w:r>
        <w:rPr>
          <w:rStyle w:val="NormalTok"/>
        </w:rPr>
        <w:t xml:space="preserve">        L </w:t>
      </w:r>
      <w:r>
        <w:rPr>
          <w:rStyle w:val="OperatorTok"/>
        </w:rPr>
        <w:t xml:space="preserve">--&gt;</w:t>
      </w:r>
      <w:r>
        <w:rPr>
          <w:rStyle w:val="NormalTok"/>
        </w:rPr>
        <w:t xml:space="preserve"> P</w:t>
      </w:r>
      <w:r>
        <w:rPr>
          <w:rStyle w:val="FunctionTok"/>
        </w:rPr>
        <w:t xml:space="preserve">[RE-016: casa ReferenciaPago]</w:t>
      </w:r>
      <w:r>
        <w:br/>
      </w:r>
      <w:r>
        <w:rPr>
          <w:rStyle w:val="NormalTok"/>
        </w:rPr>
        <w:t xml:space="preserve">        K </w:t>
      </w:r>
      <w:r>
        <w:rPr>
          <w:rStyle w:val="OperatorTok"/>
        </w:rPr>
        <w:t xml:space="preserve">--&gt;</w:t>
      </w:r>
      <w:r>
        <w:rPr>
          <w:rStyle w:val="NormalTok"/>
        </w:rPr>
        <w:t xml:space="preserve"> P</w:t>
      </w:r>
      <w:r>
        <w:br/>
      </w:r>
      <w:r>
        <w:rPr>
          <w:rStyle w:val="NormalTok"/>
        </w:rPr>
        <w:t xml:space="preserve">        P </w:t>
      </w:r>
      <w:r>
        <w:rPr>
          <w:rStyle w:val="OperatorTok"/>
        </w:rPr>
        <w:t xml:space="preserve">--&gt;</w:t>
      </w:r>
      <w:r>
        <w:rPr>
          <w:rStyle w:val="NormalTok"/>
        </w:rPr>
        <w:t xml:space="preserve"> Q</w:t>
      </w:r>
      <w:r>
        <w:rPr>
          <w:rStyle w:val="FunctionTok"/>
        </w:rPr>
        <w:t xml:space="preserve">([PDF snapshot inmutable])</w:t>
      </w:r>
      <w:r>
        <w:br/>
      </w:r>
      <w:r>
        <w:rPr>
          <w:rStyle w:val="NormalTok"/>
        </w:rPr>
        <w:t xml:space="preserve">    </w:t>
      </w:r>
      <w:r>
        <w:rPr>
          <w:rStyle w:val="KeywordTok"/>
        </w:rPr>
        <w:t xml:space="preserve">end</w:t>
      </w:r>
    </w:p>
    <w:p>
      <w:pPr>
        <w:pStyle w:val="FirstParagraph"/>
      </w:pPr>
      <w:r>
        <w:drawing>
          <wp:inline>
            <wp:extent cx="5486400" cy="1147665"/>
            <wp:effectExtent b="0" l="0" r="0" t="0"/>
            <wp:docPr descr="" title="" id="35" name="Picture"/>
            <a:graphic>
              <a:graphicData uri="http://schemas.openxmlformats.org/drawingml/2006/picture">
                <pic:pic>
                  <pic:nvPicPr>
                    <pic:cNvPr descr="C:\Users\jose.santiago\Projects\R16\pipeline-gdocs\enhances\.cache\4d59b581.png" id="36" name="Picture"/>
                    <pic:cNvPicPr>
                      <a:picLocks noChangeArrowheads="1" noChangeAspect="1"/>
                    </pic:cNvPicPr>
                  </pic:nvPicPr>
                  <pic:blipFill>
                    <a:blip r:embed="rId34"/>
                    <a:stretch>
                      <a:fillRect/>
                    </a:stretch>
                  </pic:blipFill>
                  <pic:spPr bwMode="auto">
                    <a:xfrm>
                      <a:off x="0" y="0"/>
                      <a:ext cx="5486400" cy="1147665"/>
                    </a:xfrm>
                    <a:prstGeom prst="rect">
                      <a:avLst/>
                    </a:prstGeom>
                    <a:noFill/>
                    <a:ln w="9525">
                      <a:noFill/>
                      <a:headEnd/>
                      <a:tailEnd/>
                    </a:ln>
                  </pic:spPr>
                </pic:pic>
              </a:graphicData>
            </a:graphic>
          </wp:inline>
        </w:drawing>
      </w:r>
    </w:p>
    <w:p>
      <w:pPr>
        <w:pStyle w:val="BodyText"/>
      </w:pPr>
      <w:r>
        <w:t xml:space="preserve">Flujo 3 (regeneración en cascada por cambio de</w:t>
      </w:r>
      <w:r>
        <w:t xml:space="preserve"> </w:t>
      </w:r>
      <w:r>
        <w:rPr>
          <w:rStyle w:val="VerbatimChar"/>
        </w:rPr>
        <w:t xml:space="preserve">Cliente.Nombre</w:t>
      </w:r>
      <w:r>
        <w:t xml:space="preserve">): ver diagrama en</w:t>
      </w:r>
      <w:r>
        <w:t xml:space="preserve"> </w:t>
      </w:r>
      <w:r>
        <w:rPr>
          <w:i/>
          <w:iCs/>
        </w:rPr>
        <w:t xml:space="preserve">Diseño funcional detallado → Flujo 3</w:t>
      </w:r>
      <w:r>
        <w:t xml:space="preserve">.</w:t>
      </w:r>
    </w:p>
    <w:p>
      <w:pPr>
        <w:pStyle w:val="Heading2"/>
      </w:pPr>
      <w:r>
        <w:rPr>
          <w:b/>
          <w:bCs/>
        </w:rPr>
        <w:t xml:space="preserve">2. Diagramas de secuencia</w:t>
      </w:r>
    </w:p>
    <w:p>
      <w:pPr>
        <w:pStyle w:val="FirstParagraph"/>
      </w:pPr>
      <w:r>
        <w:t xml:space="preserve">Interacción temporal entre componentes para los tres flujos (solicitado en revisión: complementan los diagramas de flujo con el orden de llamadas y el responsable de cada paso).</w:t>
      </w:r>
    </w:p>
    <w:p>
      <w:pPr>
        <w:pStyle w:val="BodyText"/>
      </w:pPr>
      <w:r>
        <w:rPr>
          <w:b/>
          <w:bCs/>
        </w:rPr>
        <w:t xml:space="preserve">Secuencia 1 — Asignación de cuenta (Flujo 1, CREATE / UPDATE):</w:t>
      </w:r>
    </w:p>
    <w:p>
      <w:pPr>
        <w:pStyle w:val="SourceCode"/>
      </w:pPr>
      <w:r>
        <w:rPr>
          <w:rStyle w:val="KeywordTok"/>
        </w:rPr>
        <w:t xml:space="preserve">sequenceDiagram</w:t>
      </w:r>
      <w:r>
        <w:br/>
      </w:r>
      <w:r>
        <w:rPr>
          <w:rStyle w:val="NormalTok"/>
        </w:rPr>
        <w:t xml:space="preserve">    </w:t>
      </w:r>
      <w:r>
        <w:rPr>
          <w:rStyle w:val="KeywordTok"/>
        </w:rPr>
        <w:t xml:space="preserve">actor</w:t>
      </w:r>
      <w:r>
        <w:rPr>
          <w:rStyle w:val="NormalTok"/>
        </w:rPr>
        <w:t xml:space="preserve"> U </w:t>
      </w:r>
      <w:r>
        <w:rPr>
          <w:rStyle w:val="KeywordTok"/>
        </w:rPr>
        <w:t xml:space="preserve">as</w:t>
      </w:r>
      <w:r>
        <w:rPr>
          <w:rStyle w:val="NormalTok"/>
        </w:rPr>
        <w:t xml:space="preserve"> Usuario </w:t>
      </w:r>
      <w:r>
        <w:rPr>
          <w:rStyle w:val="FunctionTok"/>
        </w:rPr>
        <w:t xml:space="preserve">(FE)</w:t>
      </w:r>
      <w:r>
        <w:br/>
      </w:r>
      <w:r>
        <w:rPr>
          <w:rStyle w:val="NormalTok"/>
        </w:rPr>
        <w:t xml:space="preserve">    </w:t>
      </w:r>
      <w:r>
        <w:rPr>
          <w:rStyle w:val="KeywordTok"/>
        </w:rPr>
        <w:t xml:space="preserve">participant</w:t>
      </w:r>
      <w:r>
        <w:rPr>
          <w:rStyle w:val="NormalTok"/>
        </w:rPr>
        <w:t xml:space="preserve"> C </w:t>
      </w:r>
      <w:r>
        <w:rPr>
          <w:rStyle w:val="KeywordTok"/>
        </w:rPr>
        <w:t xml:space="preserve">as</w:t>
      </w:r>
      <w:r>
        <w:rPr>
          <w:rStyle w:val="NormalTok"/>
        </w:rPr>
        <w:t xml:space="preserve"> ClienteDatosBancariosController</w:t>
      </w:r>
      <w:r>
        <w:br/>
      </w:r>
      <w:r>
        <w:rPr>
          <w:rStyle w:val="NormalTok"/>
        </w:rPr>
        <w:t xml:space="preserve">    </w:t>
      </w:r>
      <w:r>
        <w:rPr>
          <w:rStyle w:val="KeywordTok"/>
        </w:rPr>
        <w:t xml:space="preserve">participant</w:t>
      </w:r>
      <w:r>
        <w:rPr>
          <w:rStyle w:val="NormalTok"/>
        </w:rPr>
        <w:t xml:space="preserve"> BO </w:t>
      </w:r>
      <w:r>
        <w:rPr>
          <w:rStyle w:val="KeywordTok"/>
        </w:rPr>
        <w:t xml:space="preserve">as</w:t>
      </w:r>
      <w:r>
        <w:rPr>
          <w:rStyle w:val="NormalTok"/>
        </w:rPr>
        <w:t xml:space="preserve"> ClienteDatosBancariosBO</w:t>
      </w:r>
      <w:r>
        <w:br/>
      </w:r>
      <w:r>
        <w:rPr>
          <w:rStyle w:val="NormalTok"/>
        </w:rPr>
        <w:t xml:space="preserve">    </w:t>
      </w:r>
      <w:r>
        <w:rPr>
          <w:rStyle w:val="KeywordTok"/>
        </w:rPr>
        <w:t xml:space="preserve">participant</w:t>
      </w:r>
      <w:r>
        <w:rPr>
          <w:rStyle w:val="NormalTok"/>
        </w:rPr>
        <w:t xml:space="preserve"> SP </w:t>
      </w:r>
      <w:r>
        <w:rPr>
          <w:rStyle w:val="KeywordTok"/>
        </w:rPr>
        <w:t xml:space="preserve">as</w:t>
      </w:r>
      <w:r>
        <w:rPr>
          <w:rStyle w:val="NormalTok"/>
        </w:rPr>
        <w:t xml:space="preserve"> spObtenerClienteLegacyId</w:t>
      </w:r>
      <w:r>
        <w:br/>
      </w:r>
      <w:r>
        <w:rPr>
          <w:rStyle w:val="NormalTok"/>
        </w:rPr>
        <w:t xml:space="preserve">    </w:t>
      </w:r>
      <w:r>
        <w:rPr>
          <w:rStyle w:val="KeywordTok"/>
        </w:rPr>
        <w:t xml:space="preserve">participant</w:t>
      </w:r>
      <w:r>
        <w:rPr>
          <w:rStyle w:val="NormalTok"/>
        </w:rPr>
        <w:t xml:space="preserve"> RB </w:t>
      </w:r>
      <w:r>
        <w:rPr>
          <w:rStyle w:val="KeywordTok"/>
        </w:rPr>
        <w:t xml:space="preserve">as</w:t>
      </w:r>
      <w:r>
        <w:rPr>
          <w:rStyle w:val="NormalTok"/>
        </w:rPr>
        <w:t xml:space="preserve"> BankReferenceBO</w:t>
      </w:r>
      <w:r>
        <w:br/>
      </w:r>
      <w:r>
        <w:rPr>
          <w:rStyle w:val="NormalTok"/>
        </w:rPr>
        <w:t xml:space="preserve">    </w:t>
      </w:r>
      <w:r>
        <w:rPr>
          <w:rStyle w:val="KeywordTok"/>
        </w:rPr>
        <w:t xml:space="preserve">participant</w:t>
      </w:r>
      <w:r>
        <w:rPr>
          <w:rStyle w:val="NormalTok"/>
        </w:rPr>
        <w:t xml:space="preserve"> DB </w:t>
      </w:r>
      <w:r>
        <w:rPr>
          <w:rStyle w:val="KeywordTok"/>
        </w:rPr>
        <w:t xml:space="preserve">as</w:t>
      </w:r>
      <w:r>
        <w:rPr>
          <w:rStyle w:val="NormalTok"/>
        </w:rPr>
        <w:t xml:space="preserve"> dbo.ClienteDatosBancarios</w:t>
      </w:r>
      <w:r>
        <w:br/>
      </w:r>
      <w:r>
        <w:rPr>
          <w:rStyle w:val="NormalTok"/>
        </w:rPr>
        <w:t xml:space="preserve">    U</w:t>
      </w:r>
      <w:r>
        <w:rPr>
          <w:rStyle w:val="OperatorTok"/>
        </w:rPr>
        <w:t xml:space="preserve">-&gt;&gt;</w:t>
      </w:r>
      <w:r>
        <w:rPr>
          <w:rStyle w:val="NormalTok"/>
        </w:rPr>
        <w:t xml:space="preserve">C: PUT </w:t>
      </w:r>
      <w:r>
        <w:rPr>
          <w:rStyle w:val="FunctionTok"/>
        </w:rPr>
        <w:t xml:space="preserve">(nueva)</w:t>
      </w:r>
      <w:r>
        <w:rPr>
          <w:rStyle w:val="NormalTok"/>
        </w:rPr>
        <w:t xml:space="preserve"> / PUT /Codigo </w:t>
      </w:r>
      <w:r>
        <w:rPr>
          <w:rStyle w:val="FunctionTok"/>
        </w:rPr>
        <w:t xml:space="preserve">(edicion CV)</w:t>
      </w:r>
      <w:r>
        <w:br/>
      </w:r>
      <w:r>
        <w:rPr>
          <w:rStyle w:val="NormalTok"/>
        </w:rPr>
        <w:t xml:space="preserve">    C</w:t>
      </w:r>
      <w:r>
        <w:rPr>
          <w:rStyle w:val="OperatorTok"/>
        </w:rPr>
        <w:t xml:space="preserve">-&gt;&gt;</w:t>
      </w:r>
      <w:r>
        <w:rPr>
          <w:rStyle w:val="NormalTok"/>
        </w:rPr>
        <w:t xml:space="preserve">BO: Guardar</w:t>
      </w:r>
      <w:r>
        <w:rPr>
          <w:rStyle w:val="FunctionTok"/>
        </w:rPr>
        <w:t xml:space="preserve">(dto, usuarioAutenticado)</w:t>
      </w:r>
      <w:r>
        <w:br/>
      </w:r>
      <w:r>
        <w:rPr>
          <w:rStyle w:val="NormalTok"/>
        </w:rPr>
        <w:t xml:space="preserve">    BO</w:t>
      </w:r>
      <w:r>
        <w:rPr>
          <w:rStyle w:val="OperatorTok"/>
        </w:rPr>
        <w:t xml:space="preserve">-&gt;&gt;</w:t>
      </w:r>
      <w:r>
        <w:rPr>
          <w:rStyle w:val="NormalTok"/>
        </w:rPr>
        <w:t xml:space="preserve">BO: Validar </w:t>
      </w:r>
      <w:r>
        <w:rPr>
          <w:rStyle w:val="FunctionTok"/>
        </w:rPr>
        <w:t xml:space="preserve">(cuenta activa, sin duplicado, CV no vacío)</w:t>
      </w:r>
      <w:r>
        <w:br/>
      </w:r>
      <w:r>
        <w:rPr>
          <w:rStyle w:val="NormalTok"/>
        </w:rPr>
        <w:t xml:space="preserve">    BO</w:t>
      </w:r>
      <w:r>
        <w:rPr>
          <w:rStyle w:val="OperatorTok"/>
        </w:rPr>
        <w:t xml:space="preserve">-&gt;&gt;</w:t>
      </w:r>
      <w:r>
        <w:rPr>
          <w:rStyle w:val="NormalTok"/>
        </w:rPr>
        <w:t xml:space="preserve">SP: ClienteLegacy</w:t>
      </w:r>
      <w:r>
        <w:rPr>
          <w:rStyle w:val="FunctionTok"/>
        </w:rPr>
        <w:t xml:space="preserve">(IdCliente)</w:t>
      </w:r>
      <w:r>
        <w:br/>
      </w:r>
      <w:r>
        <w:rPr>
          <w:rStyle w:val="NormalTok"/>
        </w:rPr>
        <w:t xml:space="preserve">    SP</w:t>
      </w:r>
      <w:r>
        <w:rPr>
          <w:rStyle w:val="OperatorTok"/>
        </w:rPr>
        <w:t xml:space="preserve">--&gt;&gt;</w:t>
      </w:r>
      <w:r>
        <w:rPr>
          <w:rStyle w:val="NormalTok"/>
        </w:rPr>
        <w:t xml:space="preserve">BO: ClienteLegacy </w:t>
      </w:r>
      <w:r>
        <w:rPr>
          <w:rStyle w:val="FunctionTok"/>
        </w:rPr>
        <w:t xml:space="preserve">(o null, S4=0000)</w:t>
      </w:r>
      <w:r>
        <w:br/>
      </w:r>
      <w:r>
        <w:rPr>
          <w:rStyle w:val="NormalTok"/>
        </w:rPr>
        <w:t xml:space="preserve">    BO</w:t>
      </w:r>
      <w:r>
        <w:rPr>
          <w:rStyle w:val="OperatorTok"/>
        </w:rPr>
        <w:t xml:space="preserve">-&gt;&gt;</w:t>
      </w:r>
      <w:r>
        <w:rPr>
          <w:rStyle w:val="NormalTok"/>
        </w:rPr>
        <w:t xml:space="preserve">RB: Build</w:t>
      </w:r>
      <w:r>
        <w:rPr>
          <w:rStyle w:val="FunctionTok"/>
        </w:rPr>
        <w:t xml:space="preserve">(cliente, clienteLegacy, cuenta, CV)</w:t>
      </w:r>
      <w:r>
        <w:br/>
      </w:r>
      <w:r>
        <w:rPr>
          <w:rStyle w:val="NormalTok"/>
        </w:rPr>
        <w:t xml:space="preserve">    RB</w:t>
      </w:r>
      <w:r>
        <w:rPr>
          <w:rStyle w:val="OperatorTok"/>
        </w:rPr>
        <w:t xml:space="preserve">--&gt;&gt;</w:t>
      </w:r>
      <w:r>
        <w:rPr>
          <w:rStyle w:val="NormalTok"/>
        </w:rPr>
        <w:t xml:space="preserve">BO: ReferenciaVigente</w:t>
      </w:r>
      <w:r>
        <w:br/>
      </w:r>
      <w:r>
        <w:rPr>
          <w:rStyle w:val="NormalTok"/>
        </w:rPr>
        <w:t xml:space="preserve">    BO</w:t>
      </w:r>
      <w:r>
        <w:rPr>
          <w:rStyle w:val="OperatorTok"/>
        </w:rPr>
        <w:t xml:space="preserve">-&gt;&gt;</w:t>
      </w:r>
      <w:r>
        <w:rPr>
          <w:rStyle w:val="NormalTok"/>
        </w:rPr>
        <w:t xml:space="preserve">DB: INSERT/UPDATE </w:t>
      </w:r>
      <w:r>
        <w:rPr>
          <w:rStyle w:val="FunctionTok"/>
        </w:rPr>
        <w:t xml:space="preserve">(asignacion + ReferenciaVigente)</w:t>
      </w:r>
      <w:r>
        <w:br/>
      </w:r>
      <w:r>
        <w:rPr>
          <w:rStyle w:val="NormalTok"/>
        </w:rPr>
        <w:t xml:space="preserve">    DB</w:t>
      </w:r>
      <w:r>
        <w:rPr>
          <w:rStyle w:val="OperatorTok"/>
        </w:rPr>
        <w:t xml:space="preserve">--&gt;&gt;</w:t>
      </w:r>
      <w:r>
        <w:rPr>
          <w:rStyle w:val="NormalTok"/>
        </w:rPr>
        <w:t xml:space="preserve">BO: OK</w:t>
      </w:r>
      <w:r>
        <w:br/>
      </w:r>
      <w:r>
        <w:rPr>
          <w:rStyle w:val="NormalTok"/>
        </w:rPr>
        <w:t xml:space="preserve">    BO</w:t>
      </w:r>
      <w:r>
        <w:rPr>
          <w:rStyle w:val="OperatorTok"/>
        </w:rPr>
        <w:t xml:space="preserve">--&gt;&gt;</w:t>
      </w:r>
      <w:r>
        <w:rPr>
          <w:rStyle w:val="NormalTok"/>
        </w:rPr>
        <w:t xml:space="preserve">C: registro</w:t>
      </w:r>
      <w:r>
        <w:br/>
      </w:r>
      <w:r>
        <w:rPr>
          <w:rStyle w:val="NormalTok"/>
        </w:rPr>
        <w:t xml:space="preserve">    C</w:t>
      </w:r>
      <w:r>
        <w:rPr>
          <w:rStyle w:val="OperatorTok"/>
        </w:rPr>
        <w:t xml:space="preserve">--&gt;&gt;</w:t>
      </w:r>
      <w:r>
        <w:rPr>
          <w:rStyle w:val="NormalTok"/>
        </w:rPr>
        <w:t xml:space="preserve">U: 200 OK </w:t>
      </w:r>
      <w:r>
        <w:rPr>
          <w:rStyle w:val="FunctionTok"/>
        </w:rPr>
        <w:t xml:space="preserve">(400 si falla cualquier validacion, incluye duplicado)</w:t>
      </w:r>
    </w:p>
    <w:p>
      <w:pPr>
        <w:pStyle w:val="FirstParagraph"/>
      </w:pPr>
      <w:r>
        <w:drawing>
          <wp:inline>
            <wp:extent cx="5486400" cy="2904153"/>
            <wp:effectExtent b="0" l="0" r="0" t="0"/>
            <wp:docPr descr="" title="" id="38" name="Picture"/>
            <a:graphic>
              <a:graphicData uri="http://schemas.openxmlformats.org/drawingml/2006/picture">
                <pic:pic>
                  <pic:nvPicPr>
                    <pic:cNvPr descr="C:\Users\jose.santiago\Projects\R16\pipeline-gdocs\enhances\.cache\a22c2dc1.png" id="39" name="Picture"/>
                    <pic:cNvPicPr>
                      <a:picLocks noChangeArrowheads="1" noChangeAspect="1"/>
                    </pic:cNvPicPr>
                  </pic:nvPicPr>
                  <pic:blipFill>
                    <a:blip r:embed="rId37"/>
                    <a:stretch>
                      <a:fillRect/>
                    </a:stretch>
                  </pic:blipFill>
                  <pic:spPr bwMode="auto">
                    <a:xfrm>
                      <a:off x="0" y="0"/>
                      <a:ext cx="5486400" cy="2904153"/>
                    </a:xfrm>
                    <a:prstGeom prst="rect">
                      <a:avLst/>
                    </a:prstGeom>
                    <a:noFill/>
                    <a:ln w="9525">
                      <a:noFill/>
                      <a:headEnd/>
                      <a:tailEnd/>
                    </a:ln>
                  </pic:spPr>
                </pic:pic>
              </a:graphicData>
            </a:graphic>
          </wp:inline>
        </w:drawing>
      </w:r>
    </w:p>
    <w:p>
      <w:pPr>
        <w:pStyle w:val="BodyText"/>
      </w:pPr>
      <w:r>
        <w:rPr>
          <w:b/>
          <w:bCs/>
        </w:rPr>
        <w:t xml:space="preserve">Secuencia 2 — Exposición vía endpoint (RE-006) + consumo (RE-016) (Flujo 2):</w:t>
      </w:r>
    </w:p>
    <w:p>
      <w:pPr>
        <w:pStyle w:val="SourceCode"/>
      </w:pPr>
      <w:r>
        <w:rPr>
          <w:rStyle w:val="KeywordTok"/>
        </w:rPr>
        <w:t xml:space="preserve">sequenceDiagram</w:t>
      </w:r>
      <w:r>
        <w:br/>
      </w:r>
      <w:r>
        <w:rPr>
          <w:rStyle w:val="NormalTok"/>
        </w:rPr>
        <w:t xml:space="preserve">    </w:t>
      </w:r>
      <w:r>
        <w:rPr>
          <w:rStyle w:val="KeywordTok"/>
        </w:rPr>
        <w:t xml:space="preserve">participant</w:t>
      </w:r>
      <w:r>
        <w:rPr>
          <w:rStyle w:val="NormalTok"/>
        </w:rPr>
        <w:t xml:space="preserve"> F </w:t>
      </w:r>
      <w:r>
        <w:rPr>
          <w:rStyle w:val="KeywordTok"/>
        </w:rPr>
        <w:t xml:space="preserve">as</w:t>
      </w:r>
      <w:r>
        <w:rPr>
          <w:rStyle w:val="NormalTok"/>
        </w:rPr>
        <w:t xml:space="preserve"> tpProformaPedidoFactory </w:t>
      </w:r>
      <w:r>
        <w:rPr>
          <w:rStyle w:val="FunctionTok"/>
        </w:rPr>
        <w:t xml:space="preserve">(RE-016)</w:t>
      </w:r>
      <w:r>
        <w:br/>
      </w:r>
      <w:r>
        <w:rPr>
          <w:rStyle w:val="NormalTok"/>
        </w:rPr>
        <w:t xml:space="preserve">    </w:t>
      </w:r>
      <w:r>
        <w:rPr>
          <w:rStyle w:val="KeywordTok"/>
        </w:rPr>
        <w:t xml:space="preserve">participant</w:t>
      </w:r>
      <w:r>
        <w:rPr>
          <w:rStyle w:val="NormalTok"/>
        </w:rPr>
        <w:t xml:space="preserve"> EP </w:t>
      </w:r>
      <w:r>
        <w:rPr>
          <w:rStyle w:val="KeywordTok"/>
        </w:rPr>
        <w:t xml:space="preserve">as</w:t>
      </w:r>
      <w:r>
        <w:rPr>
          <w:rStyle w:val="NormalTok"/>
        </w:rPr>
        <w:t xml:space="preserve"> POST /vClienteDatosBancarios </w:t>
      </w:r>
      <w:r>
        <w:rPr>
          <w:rStyle w:val="FunctionTok"/>
        </w:rPr>
        <w:t xml:space="preserve">(RE-006)</w:t>
      </w:r>
      <w:r>
        <w:br/>
      </w:r>
      <w:r>
        <w:rPr>
          <w:rStyle w:val="NormalTok"/>
        </w:rPr>
        <w:t xml:space="preserve">    </w:t>
      </w:r>
      <w:r>
        <w:rPr>
          <w:rStyle w:val="KeywordTok"/>
        </w:rPr>
        <w:t xml:space="preserve">participant</w:t>
      </w:r>
      <w:r>
        <w:rPr>
          <w:rStyle w:val="NormalTok"/>
        </w:rPr>
        <w:t xml:space="preserve"> DB </w:t>
      </w:r>
      <w:r>
        <w:rPr>
          <w:rStyle w:val="KeywordTok"/>
        </w:rPr>
        <w:t xml:space="preserve">as</w:t>
      </w:r>
      <w:r>
        <w:rPr>
          <w:rStyle w:val="NormalTok"/>
        </w:rPr>
        <w:t xml:space="preserve"> vClienteDatosBancarios</w:t>
      </w:r>
      <w:r>
        <w:br/>
      </w:r>
      <w:r>
        <w:rPr>
          <w:rStyle w:val="NormalTok"/>
        </w:rPr>
        <w:t xml:space="preserve">    F</w:t>
      </w:r>
      <w:r>
        <w:rPr>
          <w:rStyle w:val="OperatorTok"/>
        </w:rPr>
        <w:t xml:space="preserve">-&gt;&gt;</w:t>
      </w:r>
      <w:r>
        <w:rPr>
          <w:rStyle w:val="NormalTok"/>
        </w:rPr>
        <w:t xml:space="preserve">EP: consulta </w:t>
      </w:r>
      <w:r>
        <w:rPr>
          <w:rStyle w:val="FunctionTok"/>
        </w:rPr>
        <w:t xml:space="preserve">(IdCliente, IdEmpresa = empresa emisora)</w:t>
      </w:r>
      <w:r>
        <w:br/>
      </w:r>
      <w:r>
        <w:rPr>
          <w:rStyle w:val="NormalTok"/>
        </w:rPr>
        <w:t xml:space="preserve">    EP</w:t>
      </w:r>
      <w:r>
        <w:rPr>
          <w:rStyle w:val="OperatorTok"/>
        </w:rPr>
        <w:t xml:space="preserve">-&gt;&gt;</w:t>
      </w:r>
      <w:r>
        <w:rPr>
          <w:rStyle w:val="NormalTok"/>
        </w:rPr>
        <w:t xml:space="preserve">DB: SELECT join </w:t>
      </w:r>
      <w:r>
        <w:rPr>
          <w:rStyle w:val="FunctionTok"/>
        </w:rPr>
        <w:t xml:space="preserve">(ClienteDatosBancarios + EmpresaDatosBancarios + DatosBancarios + catBanco/catMoneda)</w:t>
      </w:r>
      <w:r>
        <w:br/>
      </w:r>
      <w:r>
        <w:rPr>
          <w:rStyle w:val="NormalTok"/>
        </w:rPr>
        <w:t xml:space="preserve">    DB</w:t>
      </w:r>
      <w:r>
        <w:rPr>
          <w:rStyle w:val="OperatorTok"/>
        </w:rPr>
        <w:t xml:space="preserve">--&gt;&gt;</w:t>
      </w:r>
      <w:r>
        <w:rPr>
          <w:rStyle w:val="NormalTok"/>
        </w:rPr>
        <w:t xml:space="preserve">EP: filas </w:t>
      </w:r>
      <w:r>
        <w:rPr>
          <w:rStyle w:val="FunctionTok"/>
        </w:rPr>
        <w:t xml:space="preserve">(0..N)</w:t>
      </w:r>
      <w:r>
        <w:br/>
      </w:r>
      <w:r>
        <w:rPr>
          <w:rStyle w:val="NormalTok"/>
        </w:rPr>
        <w:t xml:space="preserve">    EP</w:t>
      </w:r>
      <w:r>
        <w:rPr>
          <w:rStyle w:val="OperatorTok"/>
        </w:rPr>
        <w:t xml:space="preserve">--&gt;&gt;</w:t>
      </w:r>
      <w:r>
        <w:rPr>
          <w:rStyle w:val="NormalTok"/>
        </w:rPr>
        <w:t xml:space="preserve">F: arreglo vClienteDatosBancarios </w:t>
      </w:r>
      <w:r>
        <w:rPr>
          <w:rStyle w:val="FunctionTok"/>
        </w:rPr>
        <w:t xml:space="preserve">(siempre arreglo)</w:t>
      </w:r>
      <w:r>
        <w:br/>
      </w:r>
      <w:r>
        <w:rPr>
          <w:rStyle w:val="NormalTok"/>
        </w:rPr>
        <w:t xml:space="preserve">    </w:t>
      </w:r>
      <w:r>
        <w:rPr>
          <w:rStyle w:val="KeywordTok"/>
        </w:rPr>
        <w:t xml:space="preserve">alt</w:t>
      </w:r>
      <w:r>
        <w:rPr>
          <w:rStyle w:val="NormalTok"/>
        </w:rPr>
        <w:t xml:space="preserve"> arreglo vacio</w:t>
      </w:r>
      <w:r>
        <w:br/>
      </w:r>
      <w:r>
        <w:rPr>
          <w:rStyle w:val="NormalTok"/>
        </w:rPr>
        <w:t xml:space="preserve">        F</w:t>
      </w:r>
      <w:r>
        <w:rPr>
          <w:rStyle w:val="OperatorTok"/>
        </w:rPr>
        <w:t xml:space="preserve">-&gt;&gt;</w:t>
      </w:r>
      <w:r>
        <w:rPr>
          <w:rStyle w:val="NormalTok"/>
        </w:rPr>
        <w:t xml:space="preserve">F: ReferenciaPago = null </w:t>
      </w:r>
      <w:r>
        <w:rPr>
          <w:rStyle w:val="FunctionTok"/>
        </w:rPr>
        <w:t xml:space="preserve">(no bloquea)</w:t>
      </w:r>
      <w:r>
        <w:br/>
      </w:r>
      <w:r>
        <w:rPr>
          <w:rStyle w:val="NormalTok"/>
        </w:rPr>
        <w:t xml:space="preserve">    </w:t>
      </w:r>
      <w:r>
        <w:rPr>
          <w:rStyle w:val="KeywordTok"/>
        </w:rPr>
        <w:t xml:space="preserve">else</w:t>
      </w:r>
      <w:r>
        <w:rPr>
          <w:rStyle w:val="NormalTok"/>
        </w:rPr>
        <w:t xml:space="preserve"> 1+ registros</w:t>
      </w:r>
      <w:r>
        <w:br/>
      </w:r>
      <w:r>
        <w:rPr>
          <w:rStyle w:val="NormalTok"/>
        </w:rPr>
        <w:t xml:space="preserve">        F</w:t>
      </w:r>
      <w:r>
        <w:rPr>
          <w:rStyle w:val="OperatorTok"/>
        </w:rPr>
        <w:t xml:space="preserve">-&gt;&gt;</w:t>
      </w:r>
      <w:r>
        <w:rPr>
          <w:rStyle w:val="NormalTok"/>
        </w:rPr>
        <w:t xml:space="preserve">F: elegir por empresa; desempate FechaUltimaActualizacion DESC</w:t>
      </w:r>
      <w:r>
        <w:br/>
      </w:r>
      <w:r>
        <w:rPr>
          <w:rStyle w:val="NormalTok"/>
        </w:rPr>
        <w:t xml:space="preserve">        F</w:t>
      </w:r>
      <w:r>
        <w:rPr>
          <w:rStyle w:val="OperatorTok"/>
        </w:rPr>
        <w:t xml:space="preserve">-&gt;&gt;</w:t>
      </w:r>
      <w:r>
        <w:rPr>
          <w:rStyle w:val="NormalTok"/>
        </w:rPr>
        <w:t xml:space="preserve">F: casar ReferenciaPago = ReferenciaVigente </w:t>
      </w:r>
      <w:r>
        <w:rPr>
          <w:rStyle w:val="FunctionTok"/>
        </w:rPr>
        <w:t xml:space="preserve">(snapshot inmutable)</w:t>
      </w:r>
      <w:r>
        <w:br/>
      </w:r>
      <w:r>
        <w:rPr>
          <w:rStyle w:val="NormalTok"/>
        </w:rPr>
        <w:t xml:space="preserve">    </w:t>
      </w:r>
      <w:r>
        <w:rPr>
          <w:rStyle w:val="KeywordTok"/>
        </w:rPr>
        <w:t xml:space="preserve">end</w:t>
      </w:r>
      <w:r>
        <w:br/>
      </w:r>
      <w:r>
        <w:rPr>
          <w:rStyle w:val="NormalTok"/>
        </w:rPr>
        <w:t xml:space="preserve">    </w:t>
      </w:r>
      <w:r>
        <w:rPr>
          <w:rStyle w:val="KeywordTok"/>
        </w:rPr>
        <w:t xml:space="preserve">Note</w:t>
      </w:r>
      <w:r>
        <w:rPr>
          <w:rStyle w:val="NormalTok"/>
        </w:rPr>
        <w:t xml:space="preserve"> </w:t>
      </w:r>
      <w:r>
        <w:rPr>
          <w:rStyle w:val="KeywordTok"/>
        </w:rPr>
        <w:t xml:space="preserve">over</w:t>
      </w:r>
      <w:r>
        <w:rPr>
          <w:rStyle w:val="NormalTok"/>
        </w:rPr>
        <w:t xml:space="preserve"> EP,DB: RE-006 solo expone; la seleccion/casado es de RE-016</w:t>
      </w:r>
    </w:p>
    <w:p>
      <w:pPr>
        <w:pStyle w:val="FirstParagraph"/>
      </w:pPr>
      <w:r>
        <w:drawing>
          <wp:inline>
            <wp:extent cx="5486400" cy="7524666"/>
            <wp:effectExtent b="0" l="0" r="0" t="0"/>
            <wp:docPr descr="" title="" id="41" name="Picture"/>
            <a:graphic>
              <a:graphicData uri="http://schemas.openxmlformats.org/drawingml/2006/picture">
                <pic:pic>
                  <pic:nvPicPr>
                    <pic:cNvPr descr="C:\Users\jose.santiago\Projects\R16\pipeline-gdocs\enhances\.cache\08d36b5e.png" id="42" name="Picture"/>
                    <pic:cNvPicPr>
                      <a:picLocks noChangeArrowheads="1" noChangeAspect="1"/>
                    </pic:cNvPicPr>
                  </pic:nvPicPr>
                  <pic:blipFill>
                    <a:blip r:embed="rId40"/>
                    <a:stretch>
                      <a:fillRect/>
                    </a:stretch>
                  </pic:blipFill>
                  <pic:spPr bwMode="auto">
                    <a:xfrm>
                      <a:off x="0" y="0"/>
                      <a:ext cx="5486400" cy="7524666"/>
                    </a:xfrm>
                    <a:prstGeom prst="rect">
                      <a:avLst/>
                    </a:prstGeom>
                    <a:noFill/>
                    <a:ln w="9525">
                      <a:noFill/>
                      <a:headEnd/>
                      <a:tailEnd/>
                    </a:ln>
                  </pic:spPr>
                </pic:pic>
              </a:graphicData>
            </a:graphic>
          </wp:inline>
        </w:drawing>
      </w:r>
    </w:p>
    <w:p>
      <w:pPr>
        <w:pStyle w:val="BodyText"/>
      </w:pPr>
      <w:r>
        <w:rPr>
          <w:b/>
          <w:bCs/>
        </w:rPr>
        <w:t xml:space="preserve">Secuencia 3 — Regeneración en cascada por cambio de nombre (Flujo 3, RF-15):</w:t>
      </w:r>
    </w:p>
    <w:p>
      <w:pPr>
        <w:pStyle w:val="SourceCode"/>
      </w:pPr>
      <w:r>
        <w:rPr>
          <w:rStyle w:val="KeywordTok"/>
        </w:rPr>
        <w:t xml:space="preserve">sequenceDiagram</w:t>
      </w:r>
      <w:r>
        <w:br/>
      </w:r>
      <w:r>
        <w:rPr>
          <w:rStyle w:val="NormalTok"/>
        </w:rPr>
        <w:t xml:space="preserve">    </w:t>
      </w:r>
      <w:r>
        <w:rPr>
          <w:rStyle w:val="KeywordTok"/>
        </w:rPr>
        <w:t xml:space="preserve">actor</w:t>
      </w:r>
      <w:r>
        <w:rPr>
          <w:rStyle w:val="NormalTok"/>
        </w:rPr>
        <w:t xml:space="preserve"> U </w:t>
      </w:r>
      <w:r>
        <w:rPr>
          <w:rStyle w:val="KeywordTok"/>
        </w:rPr>
        <w:t xml:space="preserve">as</w:t>
      </w:r>
      <w:r>
        <w:rPr>
          <w:rStyle w:val="NormalTok"/>
        </w:rPr>
        <w:t xml:space="preserve"> Usuario </w:t>
      </w:r>
      <w:r>
        <w:rPr>
          <w:rStyle w:val="FunctionTok"/>
        </w:rPr>
        <w:t xml:space="preserve">(Catalogo Cliente)</w:t>
      </w:r>
      <w:r>
        <w:br/>
      </w:r>
      <w:r>
        <w:rPr>
          <w:rStyle w:val="NormalTok"/>
        </w:rPr>
        <w:t xml:space="preserve">    </w:t>
      </w:r>
      <w:r>
        <w:rPr>
          <w:rStyle w:val="KeywordTok"/>
        </w:rPr>
        <w:t xml:space="preserve">participant</w:t>
      </w:r>
      <w:r>
        <w:rPr>
          <w:rStyle w:val="NormalTok"/>
        </w:rPr>
        <w:t xml:space="preserve"> CB </w:t>
      </w:r>
      <w:r>
        <w:rPr>
          <w:rStyle w:val="KeywordTok"/>
        </w:rPr>
        <w:t xml:space="preserve">as</w:t>
      </w:r>
      <w:r>
        <w:rPr>
          <w:rStyle w:val="NormalTok"/>
        </w:rPr>
        <w:t xml:space="preserve"> ClienteBO GuardarOActualizar</w:t>
      </w:r>
      <w:r>
        <w:br/>
      </w:r>
      <w:r>
        <w:rPr>
          <w:rStyle w:val="NormalTok"/>
        </w:rPr>
        <w:t xml:space="preserve">    </w:t>
      </w:r>
      <w:r>
        <w:rPr>
          <w:rStyle w:val="KeywordTok"/>
        </w:rPr>
        <w:t xml:space="preserve">participant</w:t>
      </w:r>
      <w:r>
        <w:rPr>
          <w:rStyle w:val="NormalTok"/>
        </w:rPr>
        <w:t xml:space="preserve"> DB </w:t>
      </w:r>
      <w:r>
        <w:rPr>
          <w:rStyle w:val="KeywordTok"/>
        </w:rPr>
        <w:t xml:space="preserve">as</w:t>
      </w:r>
      <w:r>
        <w:rPr>
          <w:rStyle w:val="NormalTok"/>
        </w:rPr>
        <w:t xml:space="preserve"> dbo.ClienteDatosBancarios</w:t>
      </w:r>
      <w:r>
        <w:br/>
      </w:r>
      <w:r>
        <w:rPr>
          <w:rStyle w:val="NormalTok"/>
        </w:rPr>
        <w:t xml:space="preserve">    </w:t>
      </w:r>
      <w:r>
        <w:rPr>
          <w:rStyle w:val="KeywordTok"/>
        </w:rPr>
        <w:t xml:space="preserve">participant</w:t>
      </w:r>
      <w:r>
        <w:rPr>
          <w:rStyle w:val="NormalTok"/>
        </w:rPr>
        <w:t xml:space="preserve"> RB </w:t>
      </w:r>
      <w:r>
        <w:rPr>
          <w:rStyle w:val="KeywordTok"/>
        </w:rPr>
        <w:t xml:space="preserve">as</w:t>
      </w:r>
      <w:r>
        <w:rPr>
          <w:rStyle w:val="NormalTok"/>
        </w:rPr>
        <w:t xml:space="preserve"> BankReferenceBO</w:t>
      </w:r>
      <w:r>
        <w:br/>
      </w:r>
      <w:r>
        <w:rPr>
          <w:rStyle w:val="NormalTok"/>
        </w:rPr>
        <w:t xml:space="preserve">    U</w:t>
      </w:r>
      <w:r>
        <w:rPr>
          <w:rStyle w:val="OperatorTok"/>
        </w:rPr>
        <w:t xml:space="preserve">-&gt;&gt;</w:t>
      </w:r>
      <w:r>
        <w:rPr>
          <w:rStyle w:val="NormalTok"/>
        </w:rPr>
        <w:t xml:space="preserve">CB: Guardar Cliente </w:t>
      </w:r>
      <w:r>
        <w:rPr>
          <w:rStyle w:val="FunctionTok"/>
        </w:rPr>
        <w:t xml:space="preserve">(Nombre modificado)</w:t>
      </w:r>
      <w:r>
        <w:br/>
      </w:r>
      <w:r>
        <w:rPr>
          <w:rStyle w:val="NormalTok"/>
        </w:rPr>
        <w:t xml:space="preserve">    CB</w:t>
      </w:r>
      <w:r>
        <w:rPr>
          <w:rStyle w:val="OperatorTok"/>
        </w:rPr>
        <w:t xml:space="preserve">-&gt;&gt;</w:t>
      </w:r>
      <w:r>
        <w:rPr>
          <w:rStyle w:val="NormalTok"/>
        </w:rPr>
        <w:t xml:space="preserve">CB: Cambio Cliente.Nombre?</w:t>
      </w:r>
      <w:r>
        <w:br/>
      </w:r>
      <w:r>
        <w:rPr>
          <w:rStyle w:val="NormalTok"/>
        </w:rPr>
        <w:t xml:space="preserve">    </w:t>
      </w:r>
      <w:r>
        <w:rPr>
          <w:rStyle w:val="KeywordTok"/>
        </w:rPr>
        <w:t xml:space="preserve">alt</w:t>
      </w:r>
      <w:r>
        <w:rPr>
          <w:rStyle w:val="NormalTok"/>
        </w:rPr>
        <w:t xml:space="preserve"> No cambio</w:t>
      </w:r>
      <w:r>
        <w:br/>
      </w:r>
      <w:r>
        <w:rPr>
          <w:rStyle w:val="NormalTok"/>
        </w:rPr>
        <w:t xml:space="preserve">        CB</w:t>
      </w:r>
      <w:r>
        <w:rPr>
          <w:rStyle w:val="OperatorTok"/>
        </w:rPr>
        <w:t xml:space="preserve">--&gt;&gt;</w:t>
      </w:r>
      <w:r>
        <w:rPr>
          <w:rStyle w:val="NormalTok"/>
        </w:rPr>
        <w:t xml:space="preserve">U: OK </w:t>
      </w:r>
      <w:r>
        <w:rPr>
          <w:rStyle w:val="FunctionTok"/>
        </w:rPr>
        <w:t xml:space="preserve">(no-op)</w:t>
      </w:r>
      <w:r>
        <w:br/>
      </w:r>
      <w:r>
        <w:rPr>
          <w:rStyle w:val="NormalTok"/>
        </w:rPr>
        <w:t xml:space="preserve">    </w:t>
      </w:r>
      <w:r>
        <w:rPr>
          <w:rStyle w:val="KeywordTok"/>
        </w:rPr>
        <w:t xml:space="preserve">else</w:t>
      </w:r>
      <w:r>
        <w:rPr>
          <w:rStyle w:val="NormalTok"/>
        </w:rPr>
        <w:t xml:space="preserve"> Cambio</w:t>
      </w:r>
      <w:r>
        <w:br/>
      </w:r>
      <w:r>
        <w:rPr>
          <w:rStyle w:val="NormalTok"/>
        </w:rPr>
        <w:t xml:space="preserve">        CB</w:t>
      </w:r>
      <w:r>
        <w:rPr>
          <w:rStyle w:val="OperatorTok"/>
        </w:rPr>
        <w:t xml:space="preserve">-&gt;&gt;</w:t>
      </w:r>
      <w:r>
        <w:rPr>
          <w:rStyle w:val="NormalTok"/>
        </w:rPr>
        <w:t xml:space="preserve">DB: SELECT asignaciones activas del cliente</w:t>
      </w:r>
      <w:r>
        <w:br/>
      </w:r>
      <w:r>
        <w:rPr>
          <w:rStyle w:val="NormalTok"/>
        </w:rPr>
        <w:t xml:space="preserve">        DB</w:t>
      </w:r>
      <w:r>
        <w:rPr>
          <w:rStyle w:val="OperatorTok"/>
        </w:rPr>
        <w:t xml:space="preserve">--&gt;&gt;</w:t>
      </w:r>
      <w:r>
        <w:rPr>
          <w:rStyle w:val="NormalTok"/>
        </w:rPr>
        <w:t xml:space="preserve">CB: asignaciones </w:t>
      </w:r>
      <w:r>
        <w:rPr>
          <w:rStyle w:val="FunctionTok"/>
        </w:rPr>
        <w:t xml:space="preserve">(0..N)</w:t>
      </w:r>
      <w:r>
        <w:br/>
      </w:r>
      <w:r>
        <w:rPr>
          <w:rStyle w:val="NormalTok"/>
        </w:rPr>
        <w:t xml:space="preserve">        </w:t>
      </w:r>
      <w:r>
        <w:rPr>
          <w:rStyle w:val="KeywordTok"/>
        </w:rPr>
        <w:t xml:space="preserve">loop</w:t>
      </w:r>
      <w:r>
        <w:rPr>
          <w:rStyle w:val="NormalTok"/>
        </w:rPr>
        <w:t xml:space="preserve"> por cada asignacion activa</w:t>
      </w:r>
      <w:r>
        <w:br/>
      </w:r>
      <w:r>
        <w:rPr>
          <w:rStyle w:val="NormalTok"/>
        </w:rPr>
        <w:t xml:space="preserve">            CB</w:t>
      </w:r>
      <w:r>
        <w:rPr>
          <w:rStyle w:val="OperatorTok"/>
        </w:rPr>
        <w:t xml:space="preserve">-&gt;&gt;</w:t>
      </w:r>
      <w:r>
        <w:rPr>
          <w:rStyle w:val="NormalTok"/>
        </w:rPr>
        <w:t xml:space="preserve">RB: Build</w:t>
      </w:r>
      <w:r>
        <w:rPr>
          <w:rStyle w:val="FunctionTok"/>
        </w:rPr>
        <w:t xml:space="preserve">(cliente, clienteLegacy, cuenta, CV)</w:t>
      </w:r>
      <w:r>
        <w:br/>
      </w:r>
      <w:r>
        <w:rPr>
          <w:rStyle w:val="NormalTok"/>
        </w:rPr>
        <w:t xml:space="preserve">            RB</w:t>
      </w:r>
      <w:r>
        <w:rPr>
          <w:rStyle w:val="OperatorTok"/>
        </w:rPr>
        <w:t xml:space="preserve">--&gt;&gt;</w:t>
      </w:r>
      <w:r>
        <w:rPr>
          <w:rStyle w:val="NormalTok"/>
        </w:rPr>
        <w:t xml:space="preserve">CB: ReferenciaVigente </w:t>
      </w:r>
      <w:r>
        <w:rPr>
          <w:rStyle w:val="FunctionTok"/>
        </w:rPr>
        <w:t xml:space="preserve">(nueva)</w:t>
      </w:r>
      <w:r>
        <w:br/>
      </w:r>
      <w:r>
        <w:rPr>
          <w:rStyle w:val="NormalTok"/>
        </w:rPr>
        <w:t xml:space="preserve">            CB</w:t>
      </w:r>
      <w:r>
        <w:rPr>
          <w:rStyle w:val="OperatorTok"/>
        </w:rPr>
        <w:t xml:space="preserve">-&gt;&gt;</w:t>
      </w:r>
      <w:r>
        <w:rPr>
          <w:rStyle w:val="NormalTok"/>
        </w:rPr>
        <w:t xml:space="preserve">DB: UPDATE ReferenciaVigente + FechaReferenciaVigente</w:t>
      </w:r>
      <w:r>
        <w:br/>
      </w:r>
      <w:r>
        <w:rPr>
          <w:rStyle w:val="NormalTok"/>
        </w:rPr>
        <w:t xml:space="preserve">        </w:t>
      </w:r>
      <w:r>
        <w:rPr>
          <w:rStyle w:val="KeywordTok"/>
        </w:rPr>
        <w:t xml:space="preserve">end</w:t>
      </w:r>
      <w:r>
        <w:br/>
      </w:r>
      <w:r>
        <w:rPr>
          <w:rStyle w:val="NormalTok"/>
        </w:rPr>
        <w:t xml:space="preserve">        </w:t>
      </w:r>
      <w:r>
        <w:rPr>
          <w:rStyle w:val="KeywordTok"/>
        </w:rPr>
        <w:t xml:space="preserve">Note</w:t>
      </w:r>
      <w:r>
        <w:rPr>
          <w:rStyle w:val="NormalTok"/>
        </w:rPr>
        <w:t xml:space="preserve"> </w:t>
      </w:r>
      <w:r>
        <w:rPr>
          <w:rStyle w:val="KeywordTok"/>
        </w:rPr>
        <w:t xml:space="preserve">over</w:t>
      </w:r>
      <w:r>
        <w:rPr>
          <w:rStyle w:val="NormalTok"/>
        </w:rPr>
        <w:t xml:space="preserve"> CB,DB: misma transaccion; fallo </w:t>
      </w:r>
      <w:r>
        <w:rPr>
          <w:rStyle w:val="OperatorTok"/>
        </w:rPr>
        <w:t xml:space="preserve">-&gt;</w:t>
      </w:r>
      <w:r>
        <w:rPr>
          <w:rStyle w:val="NormalTok"/>
        </w:rPr>
        <w:t xml:space="preserve"> rollback total</w:t>
      </w:r>
      <w:r>
        <w:br/>
      </w:r>
      <w:r>
        <w:rPr>
          <w:rStyle w:val="NormalTok"/>
        </w:rPr>
        <w:t xml:space="preserve">        CB</w:t>
      </w:r>
      <w:r>
        <w:rPr>
          <w:rStyle w:val="OperatorTok"/>
        </w:rPr>
        <w:t xml:space="preserve">--&gt;&gt;</w:t>
      </w:r>
      <w:r>
        <w:rPr>
          <w:rStyle w:val="NormalTok"/>
        </w:rPr>
        <w:t xml:space="preserve">U: OK </w:t>
      </w:r>
      <w:r>
        <w:rPr>
          <w:rStyle w:val="FunctionTok"/>
        </w:rPr>
        <w:t xml:space="preserve">(n asignaciones recalculadas)</w:t>
      </w:r>
      <w:r>
        <w:br/>
      </w:r>
      <w:r>
        <w:rPr>
          <w:rStyle w:val="NormalTok"/>
        </w:rPr>
        <w:t xml:space="preserve">    </w:t>
      </w:r>
      <w:r>
        <w:rPr>
          <w:rStyle w:val="KeywordTok"/>
        </w:rPr>
        <w:t xml:space="preserve">end</w:t>
      </w:r>
    </w:p>
    <w:p>
      <w:pPr>
        <w:pStyle w:val="FirstParagraph"/>
      </w:pPr>
      <w:r>
        <w:drawing>
          <wp:inline>
            <wp:extent cx="5486400" cy="5164493"/>
            <wp:effectExtent b="0" l="0" r="0" t="0"/>
            <wp:docPr descr="" title="" id="44" name="Picture"/>
            <a:graphic>
              <a:graphicData uri="http://schemas.openxmlformats.org/drawingml/2006/picture">
                <pic:pic>
                  <pic:nvPicPr>
                    <pic:cNvPr descr="C:\Users\jose.santiago\Projects\R16\pipeline-gdocs\enhances\.cache\34aef805.png" id="45" name="Picture"/>
                    <pic:cNvPicPr>
                      <a:picLocks noChangeArrowheads="1" noChangeAspect="1"/>
                    </pic:cNvPicPr>
                  </pic:nvPicPr>
                  <pic:blipFill>
                    <a:blip r:embed="rId43"/>
                    <a:stretch>
                      <a:fillRect/>
                    </a:stretch>
                  </pic:blipFill>
                  <pic:spPr bwMode="auto">
                    <a:xfrm>
                      <a:off x="0" y="0"/>
                      <a:ext cx="5486400" cy="5164493"/>
                    </a:xfrm>
                    <a:prstGeom prst="rect">
                      <a:avLst/>
                    </a:prstGeom>
                    <a:noFill/>
                    <a:ln w="9525">
                      <a:noFill/>
                      <a:headEnd/>
                      <a:tailEnd/>
                    </a:ln>
                  </pic:spPr>
                </pic:pic>
              </a:graphicData>
            </a:graphic>
          </wp:inline>
        </w:drawing>
      </w:r>
    </w:p>
    <w:p>
      <w:r>
        <w:pict>
          <v:rect style="width:0;height:1.5pt" o:hralign="center" o:hrstd="t" o:hr="t"/>
        </w:pict>
      </w:r>
    </w:p>
    <w:p>
      <w:pPr>
        <w:pStyle w:val="Heading1"/>
      </w:pPr>
      <w:r>
        <w:rPr>
          <w:b/>
          <w:bCs/>
        </w:rPr>
        <w:t xml:space="preserve">Diseño de Interfaces</w:t>
      </w:r>
    </w:p>
    <w:p>
      <w:pPr>
        <w:pStyle w:val="Heading2"/>
      </w:pPr>
      <w:r>
        <w:rPr>
          <w:b/>
          <w:bCs/>
        </w:rPr>
        <w:t xml:space="preserve">1. Interfaces de entrada</w:t>
      </w:r>
    </w:p>
    <w:tbl>
      <w:tblPr>
        <w:tblStyle w:val="Table"/>
        <w:tblW w:type="pct" w:w="5000"/>
        <w:tblLayout w:type="fixed"/>
        <w:tblLook w:firstRow="1" w:lastRow="0" w:firstColumn="0" w:lastColumn="0" w:noHBand="0" w:noVBand="0" w:val="0020"/>
      </w:tblPr>
      <w:tblGrid>
        <w:gridCol w:w="2387"/>
        <w:gridCol w:w="6973"/>
      </w:tblGrid>
      <w:tr>
        <w:trPr>
          <w:tblHeader w:val="on"/>
        </w:trPr>
        <w:tc>
          <w:tcPr>
            <w:tcW w:w="2387" w:type="dxa"/>
            <w:shd w:val="clear" w:color="auto" w:fill="434343"/>
          </w:tcPr>
          <w:p>
            <w:pPr>
              <w:pStyle w:val="Compact"/>
              <w:jc w:val="left"/>
            </w:pPr>
            <w:r>
              <w:rPr>
                <w:b/>
                <w:color w:val="FFFFFF"/>
              </w:rPr>
              <w:t xml:space="preserve">Interfaz</w:t>
            </w:r>
          </w:p>
        </w:tc>
        <w:tc>
          <w:tcPr>
            <w:tcW w:w="6973" w:type="dxa"/>
            <w:shd w:val="clear" w:color="auto" w:fill="434343"/>
          </w:tcPr>
          <w:p>
            <w:pPr>
              <w:pStyle w:val="Compact"/>
              <w:jc w:val="left"/>
            </w:pPr>
            <w:r>
              <w:rPr>
                <w:b/>
                <w:color w:val="FFFFFF"/>
              </w:rPr>
              <w:t xml:space="preserve">Descripción</w:t>
            </w:r>
          </w:p>
        </w:tc>
      </w:tr>
      <w:tr>
        <w:tc>
          <w:tcPr>
            <w:tcW w:w="2387" w:type="dxa"/>
          </w:tcPr>
          <w:tcPr/>
          <w:p>
            <w:pPr>
              <w:pStyle w:val="Compact"/>
              <w:jc w:val="left"/>
            </w:pPr>
            <w:r>
              <w:rPr>
                <w:rStyle w:val="VerbatimChar"/>
              </w:rPr>
              <w:t xml:space="preserve">PUT /ClienteDatosBancarios</w:t>
            </w:r>
          </w:p>
        </w:tc>
        <w:tc>
          <w:tcPr>
            <w:tcW w:w="6973" w:type="dxa"/>
          </w:tcPr>
          <w:tcPr/>
          <w:p>
            <w:pPr>
              <w:pStyle w:val="Compact"/>
              <w:jc w:val="left"/>
            </w:pPr>
            <w:r>
              <w:t xml:space="preserve">Crea nueva asignación cliente-cuenta. Ver body abajo.</w:t>
            </w:r>
          </w:p>
        </w:tc>
      </w:tr>
      <w:tr>
        <w:tc>
          <w:tcPr>
            <w:tcW w:w="2387" w:type="dxa"/>
          </w:tcPr>
          <w:tcPr/>
          <w:p>
            <w:pPr>
              <w:pStyle w:val="Compact"/>
              <w:jc w:val="left"/>
            </w:pPr>
            <w:r>
              <w:rPr>
                <w:rStyle w:val="VerbatimChar"/>
              </w:rPr>
              <w:t xml:space="preserve">PUT /ClienteDatosBancarios/Codigo</w:t>
            </w:r>
          </w:p>
        </w:tc>
        <w:tc>
          <w:tcPr>
            <w:tcW w:w="6973" w:type="dxa"/>
          </w:tcPr>
          <w:tcPr/>
          <w:p>
            <w:pPr>
              <w:pStyle w:val="Compact"/>
              <w:jc w:val="left"/>
            </w:pPr>
            <w:r>
              <w:t xml:space="preserve">Actualiza</w:t>
            </w:r>
            <w:r>
              <w:t xml:space="preserve"> </w:t>
            </w:r>
            <w:r>
              <w:rPr>
                <w:rStyle w:val="VerbatimChar"/>
              </w:rPr>
              <w:t xml:space="preserve">CodigoValidador</w:t>
            </w:r>
            <w:r>
              <w:t xml:space="preserve"> </w:t>
            </w:r>
            <w:r>
              <w:t xml:space="preserve">de una asignación existente y recalcula</w:t>
            </w:r>
            <w:r>
              <w:t xml:space="preserve"> </w:t>
            </w:r>
            <w:r>
              <w:rPr>
                <w:rStyle w:val="VerbatimChar"/>
              </w:rPr>
              <w:t xml:space="preserve">ReferenciaVigente</w:t>
            </w:r>
            <w:r>
              <w:t xml:space="preserve">. Ver body abajo.</w:t>
            </w:r>
          </w:p>
        </w:tc>
      </w:tr>
      <w:tr>
        <w:tc>
          <w:tcPr>
            <w:tcW w:w="2387" w:type="dxa"/>
          </w:tcPr>
          <w:tcPr/>
          <w:p>
            <w:pPr>
              <w:pStyle w:val="Compact"/>
              <w:jc w:val="left"/>
            </w:pPr>
            <w:r>
              <w:rPr>
                <w:rStyle w:val="VerbatimChar"/>
              </w:rPr>
              <w:t xml:space="preserve">DELETE /ClienteDatosBancarios?IdClienteDatosBancarios={guid}</w:t>
            </w:r>
          </w:p>
        </w:tc>
        <w:tc>
          <w:tcPr>
            <w:tcW w:w="6973" w:type="dxa"/>
          </w:tcPr>
          <w:tcPr/>
          <w:p>
            <w:pPr>
              <w:pStyle w:val="Compact"/>
              <w:jc w:val="left"/>
            </w:pPr>
            <w:r>
              <w:t xml:space="preserve">Baja lógica de la asignación (</w:t>
            </w:r>
            <w:r>
              <w:rPr>
                <w:rStyle w:val="VerbatimChar"/>
              </w:rPr>
              <w:t xml:space="preserve">Activo = 0</w:t>
            </w:r>
            <w:r>
              <w:t xml:space="preserve">)</w:t>
            </w:r>
          </w:p>
        </w:tc>
      </w:tr>
      <w:tr>
        <w:tc>
          <w:tcPr>
            <w:tcW w:w="2387" w:type="dxa"/>
          </w:tcPr>
          <w:tcPr/>
          <w:p>
            <w:pPr>
              <w:pStyle w:val="Compact"/>
              <w:jc w:val="left"/>
            </w:pPr>
            <w:r>
              <w:rPr>
                <w:rStyle w:val="VerbatimChar"/>
              </w:rPr>
              <w:t xml:space="preserve">POST /vClienteDatosBancarios</w:t>
            </w:r>
          </w:p>
        </w:tc>
        <w:tc>
          <w:tcPr>
            <w:tcW w:w="6973" w:type="dxa"/>
          </w:tcPr>
          <w:tcPr/>
          <w:p>
            <w:pPr>
              <w:pStyle w:val="Compact"/>
              <w:jc w:val="left"/>
            </w:pPr>
            <w:r>
              <w:t xml:space="preserve">Contrato hacia RE-016. Consulta asignaciones cliente-cuenta con relaciones completas. Ver body/respuesta abajo (respuesta plana). Resuelve las relaciones internamente; responde siempre arreglo. La tupla de filtros no garantiza unicidad (RT-11)</w:t>
            </w:r>
          </w:p>
        </w:tc>
      </w:tr>
      <w:tr>
        <w:tc>
          <w:tcPr>
            <w:tcW w:w="2387" w:type="dxa"/>
          </w:tcPr>
          <w:tcPr/>
          <w:p>
            <w:pPr>
              <w:pStyle w:val="Compact"/>
              <w:jc w:val="left"/>
            </w:pPr>
            <w:r>
              <w:rPr>
                <w:rStyle w:val="VerbatimChar"/>
              </w:rPr>
              <w:t xml:space="preserve">POST /catBanco</w:t>
            </w:r>
          </w:p>
        </w:tc>
        <w:tc>
          <w:tcPr>
            <w:tcW w:w="6973" w:type="dxa"/>
          </w:tcPr>
          <w:tcPr/>
          <w:p>
            <w:pPr>
              <w:pStyle w:val="Compact"/>
              <w:jc w:val="left"/>
            </w:pPr>
            <w:r>
              <w:t xml:space="preserve">Catálogo genérico ya existente (fuera del alcance de desarrollo de RE-006); retorna la entidad completa de banco, incluyendo</w:t>
            </w:r>
            <w:r>
              <w:t xml:space="preserve"> </w:t>
            </w:r>
            <w:r>
              <w:rPr>
                <w:rStyle w:val="VerbatimChar"/>
              </w:rPr>
              <w:t xml:space="preserve">RequiereCodigoValidador</w:t>
            </w:r>
            <w:r>
              <w:t xml:space="preserve"> </w:t>
            </w:r>
            <w:r>
              <w:t xml:space="preserve">— alimenta el selector de Banco en FE</w:t>
            </w:r>
          </w:p>
        </w:tc>
      </w:tr>
      <w:tr>
        <w:tc>
          <w:tcPr>
            <w:tcW w:w="2387" w:type="dxa"/>
          </w:tcPr>
          <w:tcPr/>
          <w:p>
            <w:pPr>
              <w:pStyle w:val="Compact"/>
              <w:jc w:val="left"/>
            </w:pPr>
            <w:r>
              <w:rPr>
                <w:rStyle w:val="VerbatimChar"/>
              </w:rPr>
              <w:t xml:space="preserve">POST /vEmpresaDatosBancarios</w:t>
            </w:r>
          </w:p>
        </w:tc>
        <w:tc>
          <w:tcPr>
            <w:tcW w:w="6973" w:type="dxa"/>
          </w:tcPr>
          <w:tcPr/>
          <w:p>
            <w:pPr>
              <w:pStyle w:val="Compact"/>
              <w:jc w:val="left"/>
            </w:pPr>
            <w:r>
              <w:t xml:space="preserve">Catálogo ya existente (reutilizado, fuera del alcance de desarrollo de RE-006); retorna cuentas filtradas por banco — alimenta el selector de Cuenta en FE. Respuesta incluye</w:t>
            </w:r>
            <w:r>
              <w:t xml:space="preserve"> </w:t>
            </w:r>
            <w:r>
              <w:rPr>
                <w:rStyle w:val="VerbatimChar"/>
              </w:rPr>
              <w:t xml:space="preserve">Sucursal</w:t>
            </w:r>
            <w:r>
              <w:t xml:space="preserve"> </w:t>
            </w:r>
            <w:r>
              <w:t xml:space="preserve">para autopoblar campo read-only</w:t>
            </w:r>
          </w:p>
        </w:tc>
      </w:tr>
    </w:tbl>
    <w:p>
      <w:pPr>
        <w:pStyle w:val="BodyText"/>
      </w:pPr>
      <w:r>
        <w:rPr>
          <w:b/>
          <w:bCs/>
        </w:rPr>
        <w:t xml:space="preserve">Bodies:</w:t>
      </w:r>
    </w:p>
    <w:p>
      <w:pPr>
        <w:pStyle w:val="SourceCode"/>
      </w:pPr>
      <w:r>
        <w:rPr>
          <w:rStyle w:val="ErrorTok"/>
        </w:rPr>
        <w:t xml:space="preserve">//</w:t>
      </w:r>
      <w:r>
        <w:rPr>
          <w:rStyle w:val="NormalTok"/>
        </w:rPr>
        <w:t xml:space="preserve"> </w:t>
      </w:r>
      <w:r>
        <w:rPr>
          <w:rStyle w:val="ErrorTok"/>
        </w:rPr>
        <w:t xml:space="preserve">PUT</w:t>
      </w:r>
      <w:r>
        <w:rPr>
          <w:rStyle w:val="NormalTok"/>
        </w:rPr>
        <w:t xml:space="preserve"> </w:t>
      </w:r>
      <w:r>
        <w:rPr>
          <w:rStyle w:val="ErrorTok"/>
        </w:rPr>
        <w:t xml:space="preserve">/ClienteDatosBancarios</w:t>
      </w:r>
      <w:r>
        <w:br/>
      </w:r>
      <w:r>
        <w:rPr>
          <w:rStyle w:val="FunctionTok"/>
        </w:rPr>
        <w:t xml:space="preserve">{</w:t>
      </w:r>
      <w:r>
        <w:br/>
      </w:r>
      <w:r>
        <w:rPr>
          <w:rStyle w:val="NormalTok"/>
        </w:rPr>
        <w:t xml:space="preserve">  </w:t>
      </w:r>
      <w:r>
        <w:rPr>
          <w:rStyle w:val="DataTypeTok"/>
        </w:rPr>
        <w:t xml:space="preserve">"IdCliente"</w:t>
      </w:r>
      <w:r>
        <w:rPr>
          <w:rStyle w:val="FunctionTok"/>
        </w:rPr>
        <w:t xml:space="preserve">:</w:t>
      </w:r>
      <w:r>
        <w:rPr>
          <w:rStyle w:val="NormalTok"/>
        </w:rPr>
        <w:t xml:space="preserve"> </w:t>
      </w:r>
      <w:r>
        <w:rPr>
          <w:rStyle w:val="StringTok"/>
        </w:rPr>
        <w:t xml:space="preserve">"Guid"</w:t>
      </w:r>
      <w:r>
        <w:rPr>
          <w:rStyle w:val="FunctionTok"/>
        </w:rPr>
        <w:t xml:space="preserve">,</w:t>
      </w:r>
      <w:r>
        <w:br/>
      </w:r>
      <w:r>
        <w:rPr>
          <w:rStyle w:val="NormalTok"/>
        </w:rPr>
        <w:t xml:space="preserve">  </w:t>
      </w:r>
      <w:r>
        <w:rPr>
          <w:rStyle w:val="DataTypeTok"/>
        </w:rPr>
        <w:t xml:space="preserve">"IdEmpresaDatosBancarios"</w:t>
      </w:r>
      <w:r>
        <w:rPr>
          <w:rStyle w:val="FunctionTok"/>
        </w:rPr>
        <w:t xml:space="preserve">:</w:t>
      </w:r>
      <w:r>
        <w:rPr>
          <w:rStyle w:val="NormalTok"/>
        </w:rPr>
        <w:t xml:space="preserve"> </w:t>
      </w:r>
      <w:r>
        <w:rPr>
          <w:rStyle w:val="StringTok"/>
        </w:rPr>
        <w:t xml:space="preserve">"Guid"</w:t>
      </w:r>
      <w:r>
        <w:rPr>
          <w:rStyle w:val="FunctionTok"/>
        </w:rPr>
        <w:t xml:space="preserve">,</w:t>
      </w:r>
      <w:r>
        <w:br/>
      </w:r>
      <w:r>
        <w:rPr>
          <w:rStyle w:val="NormalTok"/>
        </w:rPr>
        <w:t xml:space="preserve">  </w:t>
      </w:r>
      <w:r>
        <w:rPr>
          <w:rStyle w:val="DataTypeTok"/>
        </w:rPr>
        <w:t xml:space="preserve">"CodigoValidador"</w:t>
      </w:r>
      <w:r>
        <w:rPr>
          <w:rStyle w:val="FunctionTok"/>
        </w:rPr>
        <w:t xml:space="preserve">:</w:t>
      </w:r>
      <w:r>
        <w:rPr>
          <w:rStyle w:val="NormalTok"/>
        </w:rPr>
        <w:t xml:space="preserve"> </w:t>
      </w:r>
      <w:r>
        <w:rPr>
          <w:rStyle w:val="StringTok"/>
        </w:rPr>
        <w:t xml:space="preserve">"string"</w:t>
      </w:r>
      <w:r>
        <w:br/>
      </w:r>
      <w:r>
        <w:rPr>
          <w:rStyle w:val="FunctionTok"/>
        </w:rPr>
        <w:t xml:space="preserve">}</w:t>
      </w:r>
    </w:p>
    <w:p>
      <w:pPr>
        <w:pStyle w:val="SourceCode"/>
      </w:pPr>
      <w:r>
        <w:rPr>
          <w:rStyle w:val="ErrorTok"/>
        </w:rPr>
        <w:t xml:space="preserve">//</w:t>
      </w:r>
      <w:r>
        <w:rPr>
          <w:rStyle w:val="NormalTok"/>
        </w:rPr>
        <w:t xml:space="preserve"> </w:t>
      </w:r>
      <w:r>
        <w:rPr>
          <w:rStyle w:val="ErrorTok"/>
        </w:rPr>
        <w:t xml:space="preserve">PUT</w:t>
      </w:r>
      <w:r>
        <w:rPr>
          <w:rStyle w:val="NormalTok"/>
        </w:rPr>
        <w:t xml:space="preserve"> </w:t>
      </w:r>
      <w:r>
        <w:rPr>
          <w:rStyle w:val="ErrorTok"/>
        </w:rPr>
        <w:t xml:space="preserve">/ClienteDatosBancarios/Codigo</w:t>
      </w:r>
      <w:r>
        <w:br/>
      </w:r>
      <w:r>
        <w:rPr>
          <w:rStyle w:val="FunctionTok"/>
        </w:rPr>
        <w:t xml:space="preserve">{</w:t>
      </w:r>
      <w:r>
        <w:br/>
      </w:r>
      <w:r>
        <w:rPr>
          <w:rStyle w:val="NormalTok"/>
        </w:rPr>
        <w:t xml:space="preserve">  </w:t>
      </w:r>
      <w:r>
        <w:rPr>
          <w:rStyle w:val="DataTypeTok"/>
        </w:rPr>
        <w:t xml:space="preserve">"IdClienteDatosBancarios"</w:t>
      </w:r>
      <w:r>
        <w:rPr>
          <w:rStyle w:val="FunctionTok"/>
        </w:rPr>
        <w:t xml:space="preserve">:</w:t>
      </w:r>
      <w:r>
        <w:rPr>
          <w:rStyle w:val="NormalTok"/>
        </w:rPr>
        <w:t xml:space="preserve"> </w:t>
      </w:r>
      <w:r>
        <w:rPr>
          <w:rStyle w:val="StringTok"/>
        </w:rPr>
        <w:t xml:space="preserve">"Guid"</w:t>
      </w:r>
      <w:r>
        <w:rPr>
          <w:rStyle w:val="FunctionTok"/>
        </w:rPr>
        <w:t xml:space="preserve">,</w:t>
      </w:r>
      <w:r>
        <w:br/>
      </w:r>
      <w:r>
        <w:rPr>
          <w:rStyle w:val="NormalTok"/>
        </w:rPr>
        <w:t xml:space="preserve">  </w:t>
      </w:r>
      <w:r>
        <w:rPr>
          <w:rStyle w:val="DataTypeTok"/>
        </w:rPr>
        <w:t xml:space="preserve">"CodigoValidador"</w:t>
      </w:r>
      <w:r>
        <w:rPr>
          <w:rStyle w:val="FunctionTok"/>
        </w:rPr>
        <w:t xml:space="preserve">:</w:t>
      </w:r>
      <w:r>
        <w:rPr>
          <w:rStyle w:val="NormalTok"/>
        </w:rPr>
        <w:t xml:space="preserve"> </w:t>
      </w:r>
      <w:r>
        <w:rPr>
          <w:rStyle w:val="StringTok"/>
        </w:rPr>
        <w:t xml:space="preserve">"string"</w:t>
      </w:r>
      <w:r>
        <w:br/>
      </w:r>
      <w:r>
        <w:rPr>
          <w:rStyle w:val="FunctionTok"/>
        </w:rPr>
        <w:t xml:space="preserve">}</w:t>
      </w:r>
    </w:p>
    <w:p>
      <w:pPr>
        <w:pStyle w:val="SourceCode"/>
      </w:pPr>
      <w:r>
        <w:rPr>
          <w:rStyle w:val="ErrorTok"/>
        </w:rPr>
        <w:t xml:space="preserve">//</w:t>
      </w:r>
      <w:r>
        <w:rPr>
          <w:rStyle w:val="NormalTok"/>
        </w:rPr>
        <w:t xml:space="preserve"> </w:t>
      </w:r>
      <w:r>
        <w:rPr>
          <w:rStyle w:val="ErrorTok"/>
        </w:rPr>
        <w:t xml:space="preserve">POST</w:t>
      </w:r>
      <w:r>
        <w:rPr>
          <w:rStyle w:val="NormalTok"/>
        </w:rPr>
        <w:t xml:space="preserve"> </w:t>
      </w:r>
      <w:r>
        <w:rPr>
          <w:rStyle w:val="ErrorTok"/>
        </w:rPr>
        <w:t xml:space="preserve">/vClienteDatosBancarios</w:t>
      </w:r>
      <w:r>
        <w:rPr>
          <w:rStyle w:val="NormalTok"/>
        </w:rPr>
        <w:t xml:space="preserve"> </w:t>
      </w:r>
      <w:r>
        <w:rPr>
          <w:rStyle w:val="ErrorTok"/>
        </w:rPr>
        <w:t xml:space="preserve">—</w:t>
      </w:r>
      <w:r>
        <w:rPr>
          <w:rStyle w:val="NormalTok"/>
        </w:rPr>
        <w:t xml:space="preserve"> </w:t>
      </w:r>
      <w:r>
        <w:rPr>
          <w:rStyle w:val="ErrorTok"/>
        </w:rPr>
        <w:t xml:space="preserve">request</w:t>
      </w:r>
      <w:r>
        <w:rPr>
          <w:rStyle w:val="NormalTok"/>
        </w:rPr>
        <w:t xml:space="preserve"> </w:t>
      </w:r>
      <w:r>
        <w:rPr>
          <w:rStyle w:val="ErrorTok"/>
        </w:rPr>
        <w:t xml:space="preserve">(todos</w:t>
      </w:r>
      <w:r>
        <w:rPr>
          <w:rStyle w:val="NormalTok"/>
        </w:rPr>
        <w:t xml:space="preserve"> </w:t>
      </w:r>
      <w:r>
        <w:rPr>
          <w:rStyle w:val="ErrorTok"/>
        </w:rPr>
        <w:t xml:space="preserve">los</w:t>
      </w:r>
      <w:r>
        <w:rPr>
          <w:rStyle w:val="NormalTok"/>
        </w:rPr>
        <w:t xml:space="preserve"> </w:t>
      </w:r>
      <w:r>
        <w:rPr>
          <w:rStyle w:val="ErrorTok"/>
        </w:rPr>
        <w:t xml:space="preserve">filtros</w:t>
      </w:r>
      <w:r>
        <w:rPr>
          <w:rStyle w:val="NormalTok"/>
        </w:rPr>
        <w:t xml:space="preserve"> </w:t>
      </w:r>
      <w:r>
        <w:rPr>
          <w:rStyle w:val="ErrorTok"/>
        </w:rPr>
        <w:t xml:space="preserve">opcionales;</w:t>
      </w:r>
      <w:r>
        <w:rPr>
          <w:rStyle w:val="NormalTok"/>
        </w:rPr>
        <w:t xml:space="preserve"> </w:t>
      </w:r>
      <w:r>
        <w:rPr>
          <w:rStyle w:val="ErrorTok"/>
        </w:rPr>
        <w:t xml:space="preserve">sin</w:t>
      </w:r>
      <w:r>
        <w:rPr>
          <w:rStyle w:val="NormalTok"/>
        </w:rPr>
        <w:t xml:space="preserve"> </w:t>
      </w:r>
      <w:r>
        <w:rPr>
          <w:rStyle w:val="ErrorTok"/>
        </w:rPr>
        <w:t xml:space="preserve">ninguno</w:t>
      </w:r>
      <w:r>
        <w:rPr>
          <w:rStyle w:val="NormalTok"/>
        </w:rPr>
        <w:t xml:space="preserve"> </w:t>
      </w:r>
      <w:r>
        <w:rPr>
          <w:rStyle w:val="ErrorTok"/>
        </w:rPr>
        <w:t xml:space="preserve">regresa</w:t>
      </w:r>
      <w:r>
        <w:rPr>
          <w:rStyle w:val="NormalTok"/>
        </w:rPr>
        <w:t xml:space="preserve"> </w:t>
      </w:r>
      <w:r>
        <w:rPr>
          <w:rStyle w:val="ErrorTok"/>
        </w:rPr>
        <w:t xml:space="preserve">todas</w:t>
      </w:r>
      <w:r>
        <w:rPr>
          <w:rStyle w:val="NormalTok"/>
        </w:rPr>
        <w:t xml:space="preserve"> </w:t>
      </w:r>
      <w:r>
        <w:rPr>
          <w:rStyle w:val="ErrorTok"/>
        </w:rPr>
        <w:t xml:space="preserve">las</w:t>
      </w:r>
      <w:r>
        <w:rPr>
          <w:rStyle w:val="NormalTok"/>
        </w:rPr>
        <w:t xml:space="preserve"> </w:t>
      </w:r>
      <w:r>
        <w:rPr>
          <w:rStyle w:val="ErrorTok"/>
        </w:rPr>
        <w:t xml:space="preserve">asignaciones</w:t>
      </w:r>
      <w:r>
        <w:rPr>
          <w:rStyle w:val="NormalTok"/>
        </w:rPr>
        <w:t xml:space="preserve"> </w:t>
      </w:r>
      <w:r>
        <w:rPr>
          <w:rStyle w:val="ErrorTok"/>
        </w:rPr>
        <w:t xml:space="preserve">activas)</w:t>
      </w:r>
      <w:r>
        <w:br/>
      </w:r>
      <w:r>
        <w:rPr>
          <w:rStyle w:val="FunctionTok"/>
        </w:rPr>
        <w:t xml:space="preserve">{</w:t>
      </w:r>
      <w:r>
        <w:br/>
      </w:r>
      <w:r>
        <w:rPr>
          <w:rStyle w:val="NormalTok"/>
        </w:rPr>
        <w:t xml:space="preserve">  </w:t>
      </w:r>
      <w:r>
        <w:rPr>
          <w:rStyle w:val="DataTypeTok"/>
        </w:rPr>
        <w:t xml:space="preserve">"filtros"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"IdCliente"</w:t>
      </w:r>
      <w:r>
        <w:rPr>
          <w:rStyle w:val="FunctionTok"/>
        </w:rPr>
        <w:t xml:space="preserve">:</w:t>
      </w:r>
      <w:r>
        <w:rPr>
          <w:rStyle w:val="NormalTok"/>
        </w:rPr>
        <w:t xml:space="preserve"> </w:t>
      </w:r>
      <w:r>
        <w:rPr>
          <w:rStyle w:val="StringTok"/>
        </w:rPr>
        <w:t xml:space="preserve">"Guid (opcional)"</w:t>
      </w:r>
      <w:r>
        <w:rPr>
          <w:rStyle w:val="FunctionTok"/>
        </w:rPr>
        <w:t xml:space="preserve">,</w:t>
      </w:r>
      <w:r>
        <w:br/>
      </w:r>
      <w:r>
        <w:rPr>
          <w:rStyle w:val="NormalTok"/>
        </w:rPr>
        <w:t xml:space="preserve">    </w:t>
      </w:r>
      <w:r>
        <w:rPr>
          <w:rStyle w:val="DataTypeTok"/>
        </w:rPr>
        <w:t xml:space="preserve">"IdCatBanco"</w:t>
      </w:r>
      <w:r>
        <w:rPr>
          <w:rStyle w:val="FunctionTok"/>
        </w:rPr>
        <w:t xml:space="preserve">:</w:t>
      </w:r>
      <w:r>
        <w:rPr>
          <w:rStyle w:val="NormalTok"/>
        </w:rPr>
        <w:t xml:space="preserve"> </w:t>
      </w:r>
      <w:r>
        <w:rPr>
          <w:rStyle w:val="StringTok"/>
        </w:rPr>
        <w:t xml:space="preserve">"Guid (opcional)"</w:t>
      </w:r>
      <w:r>
        <w:rPr>
          <w:rStyle w:val="FunctionTok"/>
        </w:rPr>
        <w:t xml:space="preserve">,</w:t>
      </w:r>
      <w:r>
        <w:br/>
      </w:r>
      <w:r>
        <w:rPr>
          <w:rStyle w:val="NormalTok"/>
        </w:rPr>
        <w:t xml:space="preserve">    </w:t>
      </w:r>
      <w:r>
        <w:rPr>
          <w:rStyle w:val="DataTypeTok"/>
        </w:rPr>
        <w:t xml:space="preserve">"IdCatMoneda"</w:t>
      </w:r>
      <w:r>
        <w:rPr>
          <w:rStyle w:val="FunctionTok"/>
        </w:rPr>
        <w:t xml:space="preserve">:</w:t>
      </w:r>
      <w:r>
        <w:rPr>
          <w:rStyle w:val="NormalTok"/>
        </w:rPr>
        <w:t xml:space="preserve"> </w:t>
      </w:r>
      <w:r>
        <w:rPr>
          <w:rStyle w:val="StringTok"/>
        </w:rPr>
        <w:t xml:space="preserve">"Guid (opcional)"</w:t>
      </w:r>
      <w:r>
        <w:rPr>
          <w:rStyle w:val="FunctionTok"/>
        </w:rPr>
        <w:t xml:space="preserve">,</w:t>
      </w:r>
      <w:r>
        <w:br/>
      </w:r>
      <w:r>
        <w:rPr>
          <w:rStyle w:val="NormalTok"/>
        </w:rPr>
        <w:t xml:space="preserve">    </w:t>
      </w:r>
      <w:r>
        <w:rPr>
          <w:rStyle w:val="DataTypeTok"/>
        </w:rPr>
        <w:t xml:space="preserve">"IdEmpresa"</w:t>
      </w:r>
      <w:r>
        <w:rPr>
          <w:rStyle w:val="FunctionTok"/>
        </w:rPr>
        <w:t xml:space="preserve">:</w:t>
      </w:r>
      <w:r>
        <w:rPr>
          <w:rStyle w:val="NormalTok"/>
        </w:rPr>
        <w:t xml:space="preserve"> </w:t>
      </w:r>
      <w:r>
        <w:rPr>
          <w:rStyle w:val="StringTok"/>
        </w:rPr>
        <w:t xml:space="preserve">"Guid (opcional)"</w:t>
      </w:r>
      <w:r>
        <w:br/>
      </w:r>
      <w:r>
        <w:rPr>
          <w:rStyle w:val="NormalTok"/>
        </w:rPr>
        <w:t xml:space="preserve">  </w:t>
      </w:r>
      <w:r>
        <w:rPr>
          <w:rStyle w:val="FunctionTok"/>
        </w:rPr>
        <w:t xml:space="preserve">}</w:t>
      </w:r>
      <w:r>
        <w:br/>
      </w:r>
      <w:r>
        <w:rPr>
          <w:rStyle w:val="FunctionTok"/>
        </w:rPr>
        <w:t xml:space="preserve">}</w:t>
      </w:r>
    </w:p>
    <w:p>
      <w:pPr>
        <w:pStyle w:val="SourceCode"/>
      </w:pPr>
      <w:r>
        <w:rPr>
          <w:rStyle w:val="ErrorTok"/>
        </w:rPr>
        <w:t xml:space="preserve">//</w:t>
      </w:r>
      <w:r>
        <w:rPr>
          <w:rStyle w:val="NormalTok"/>
        </w:rPr>
        <w:t xml:space="preserve"> </w:t>
      </w:r>
      <w:r>
        <w:rPr>
          <w:rStyle w:val="ErrorTok"/>
        </w:rPr>
        <w:t xml:space="preserve">POST</w:t>
      </w:r>
      <w:r>
        <w:rPr>
          <w:rStyle w:val="NormalTok"/>
        </w:rPr>
        <w:t xml:space="preserve"> </w:t>
      </w:r>
      <w:r>
        <w:rPr>
          <w:rStyle w:val="ErrorTok"/>
        </w:rPr>
        <w:t xml:space="preserve">/vClienteDatosBancarios</w:t>
      </w:r>
      <w:r>
        <w:rPr>
          <w:rStyle w:val="NormalTok"/>
        </w:rPr>
        <w:t xml:space="preserve"> </w:t>
      </w:r>
      <w:r>
        <w:rPr>
          <w:rStyle w:val="ErrorTok"/>
        </w:rPr>
        <w:t xml:space="preserve">—</w:t>
      </w:r>
      <w:r>
        <w:rPr>
          <w:rStyle w:val="NormalTok"/>
        </w:rPr>
        <w:t xml:space="preserve"> </w:t>
      </w:r>
      <w:r>
        <w:rPr>
          <w:rStyle w:val="ErrorTok"/>
        </w:rPr>
        <w:t xml:space="preserve">forma</w:t>
      </w:r>
      <w:r>
        <w:rPr>
          <w:rStyle w:val="NormalTok"/>
        </w:rPr>
        <w:t xml:space="preserve"> </w:t>
      </w:r>
      <w:r>
        <w:rPr>
          <w:rStyle w:val="ErrorTok"/>
        </w:rPr>
        <w:t xml:space="preserve">de</w:t>
      </w:r>
      <w:r>
        <w:rPr>
          <w:rStyle w:val="NormalTok"/>
        </w:rPr>
        <w:t xml:space="preserve"> </w:t>
      </w:r>
      <w:r>
        <w:rPr>
          <w:rStyle w:val="ErrorTok"/>
        </w:rPr>
        <w:t xml:space="preserve">cada</w:t>
      </w:r>
      <w:r>
        <w:rPr>
          <w:rStyle w:val="NormalTok"/>
        </w:rPr>
        <w:t xml:space="preserve"> </w:t>
      </w:r>
      <w:r>
        <w:rPr>
          <w:rStyle w:val="ErrorTok"/>
        </w:rPr>
        <w:t xml:space="preserve">elemento</w:t>
      </w:r>
      <w:r>
        <w:rPr>
          <w:rStyle w:val="NormalTok"/>
        </w:rPr>
        <w:t xml:space="preserve"> </w:t>
      </w:r>
      <w:r>
        <w:rPr>
          <w:rStyle w:val="ErrorTok"/>
        </w:rPr>
        <w:t xml:space="preserve">del</w:t>
      </w:r>
      <w:r>
        <w:rPr>
          <w:rStyle w:val="NormalTok"/>
        </w:rPr>
        <w:t xml:space="preserve"> </w:t>
      </w:r>
      <w:r>
        <w:rPr>
          <w:rStyle w:val="ErrorTok"/>
        </w:rPr>
        <w:t xml:space="preserve">arreglo</w:t>
      </w:r>
      <w:r>
        <w:rPr>
          <w:rStyle w:val="NormalTok"/>
        </w:rPr>
        <w:t xml:space="preserve"> </w:t>
      </w:r>
      <w:r>
        <w:rPr>
          <w:rStyle w:val="ErrorTok"/>
        </w:rPr>
        <w:t xml:space="preserve">de</w:t>
      </w:r>
      <w:r>
        <w:rPr>
          <w:rStyle w:val="NormalTok"/>
        </w:rPr>
        <w:t xml:space="preserve"> </w:t>
      </w:r>
      <w:r>
        <w:rPr>
          <w:rStyle w:val="ErrorTok"/>
        </w:rPr>
        <w:t xml:space="preserve">respuesta</w:t>
      </w:r>
      <w:r>
        <w:rPr>
          <w:rStyle w:val="NormalTok"/>
        </w:rPr>
        <w:t xml:space="preserve"> </w:t>
      </w:r>
      <w:r>
        <w:rPr>
          <w:rStyle w:val="ErrorTok"/>
        </w:rPr>
        <w:t xml:space="preserve">(objeto</w:t>
      </w:r>
      <w:r>
        <w:rPr>
          <w:rStyle w:val="NormalTok"/>
        </w:rPr>
        <w:t xml:space="preserve"> </w:t>
      </w:r>
      <w:r>
        <w:rPr>
          <w:rStyle w:val="ErrorTok"/>
        </w:rPr>
        <w:t xml:space="preserve">plano)</w:t>
      </w:r>
      <w:r>
        <w:br/>
      </w:r>
      <w:r>
        <w:rPr>
          <w:rStyle w:val="FunctionTok"/>
        </w:rPr>
        <w:t xml:space="preserve">{</w:t>
      </w:r>
      <w:r>
        <w:br/>
      </w:r>
      <w:r>
        <w:rPr>
          <w:rStyle w:val="NormalTok"/>
        </w:rPr>
        <w:t xml:space="preserve">  </w:t>
      </w:r>
      <w:r>
        <w:rPr>
          <w:rStyle w:val="DataTypeTok"/>
        </w:rPr>
        <w:t xml:space="preserve">"IdClienteDatosBancarios"</w:t>
      </w:r>
      <w:r>
        <w:rPr>
          <w:rStyle w:val="FunctionTok"/>
        </w:rPr>
        <w:t xml:space="preserve">:</w:t>
      </w:r>
      <w:r>
        <w:rPr>
          <w:rStyle w:val="NormalTok"/>
        </w:rPr>
        <w:t xml:space="preserve"> </w:t>
      </w:r>
      <w:r>
        <w:rPr>
          <w:rStyle w:val="StringTok"/>
        </w:rPr>
        <w:t xml:space="preserve">"Guid"</w:t>
      </w:r>
      <w:r>
        <w:rPr>
          <w:rStyle w:val="FunctionTok"/>
        </w:rPr>
        <w:t xml:space="preserve">,</w:t>
      </w:r>
      <w:r>
        <w:br/>
      </w:r>
      <w:r>
        <w:rPr>
          <w:rStyle w:val="NormalTok"/>
        </w:rPr>
        <w:t xml:space="preserve">  </w:t>
      </w:r>
      <w:r>
        <w:rPr>
          <w:rStyle w:val="DataTypeTok"/>
        </w:rPr>
        <w:t xml:space="preserve">"CodigoValidador"</w:t>
      </w:r>
      <w:r>
        <w:rPr>
          <w:rStyle w:val="FunctionTok"/>
        </w:rPr>
        <w:t xml:space="preserve">:</w:t>
      </w:r>
      <w:r>
        <w:rPr>
          <w:rStyle w:val="NormalTok"/>
        </w:rPr>
        <w:t xml:space="preserve"> </w:t>
      </w:r>
      <w:r>
        <w:rPr>
          <w:rStyle w:val="StringTok"/>
        </w:rPr>
        <w:t xml:space="preserve">"string (null si la cuenta es no-Banamex — no aplica)"</w:t>
      </w:r>
      <w:r>
        <w:rPr>
          <w:rStyle w:val="FunctionTok"/>
        </w:rPr>
        <w:t xml:space="preserve">,</w:t>
      </w:r>
      <w:r>
        <w:br/>
      </w:r>
      <w:r>
        <w:rPr>
          <w:rStyle w:val="NormalTok"/>
        </w:rPr>
        <w:t xml:space="preserve">  </w:t>
      </w:r>
      <w:r>
        <w:rPr>
          <w:rStyle w:val="DataTypeTok"/>
        </w:rPr>
        <w:t xml:space="preserve">"ReferenciaVigente"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"Activo"</w:t>
      </w:r>
      <w:r>
        <w:rPr>
          <w:rStyle w:val="FunctionTok"/>
        </w:rPr>
        <w:t xml:space="preserve">:</w:t>
      </w:r>
      <w:r>
        <w:rPr>
          <w:rStyle w:val="NormalTok"/>
        </w:rPr>
        <w:t xml:space="preserve"> </w:t>
      </w:r>
      <w:r>
        <w:rPr>
          <w:rStyle w:val="StringTok"/>
        </w:rPr>
        <w:t xml:space="preserve">"bool"</w:t>
      </w:r>
      <w:r>
        <w:rPr>
          <w:rStyle w:val="FunctionTok"/>
        </w:rPr>
        <w:t xml:space="preserve">,</w:t>
      </w:r>
      <w:r>
        <w:br/>
      </w:r>
      <w:r>
        <w:br/>
      </w:r>
      <w:r>
        <w:rPr>
          <w:rStyle w:val="NormalTok"/>
        </w:rPr>
        <w:t xml:space="preserve">  </w:t>
      </w:r>
      <w:r>
        <w:rPr>
          <w:rStyle w:val="DataTypeTok"/>
        </w:rPr>
        <w:t xml:space="preserve">"IdCliente"</w:t>
      </w:r>
      <w:r>
        <w:rPr>
          <w:rStyle w:val="FunctionTok"/>
        </w:rPr>
        <w:t xml:space="preserve">:</w:t>
      </w:r>
      <w:r>
        <w:rPr>
          <w:rStyle w:val="NormalTok"/>
        </w:rPr>
        <w:t xml:space="preserve"> </w:t>
      </w:r>
      <w:r>
        <w:rPr>
          <w:rStyle w:val="StringTok"/>
        </w:rPr>
        <w:t xml:space="preserve">"Guid"</w:t>
      </w:r>
      <w:r>
        <w:rPr>
          <w:rStyle w:val="FunctionTok"/>
        </w:rPr>
        <w:t xml:space="preserve">,</w:t>
      </w:r>
      <w:r>
        <w:br/>
      </w:r>
      <w:r>
        <w:rPr>
          <w:rStyle w:val="NormalTok"/>
        </w:rPr>
        <w:t xml:space="preserve">  </w:t>
      </w:r>
      <w:r>
        <w:rPr>
          <w:rStyle w:val="DataTypeTok"/>
        </w:rPr>
        <w:t xml:space="preserve">"ClienteNombre"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"ClienteAlias"</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"ClienteActivo"</w:t>
      </w:r>
      <w:r>
        <w:rPr>
          <w:rStyle w:val="FunctionTok"/>
        </w:rPr>
        <w:t xml:space="preserve">:</w:t>
      </w:r>
      <w:r>
        <w:rPr>
          <w:rStyle w:val="NormalTok"/>
        </w:rPr>
        <w:t xml:space="preserve"> </w:t>
      </w:r>
      <w:r>
        <w:rPr>
          <w:rStyle w:val="StringTok"/>
        </w:rPr>
        <w:t xml:space="preserve">"bool"</w:t>
      </w:r>
      <w:r>
        <w:rPr>
          <w:rStyle w:val="FunctionTok"/>
        </w:rPr>
        <w:t xml:space="preserve">,</w:t>
      </w:r>
      <w:r>
        <w:br/>
      </w:r>
      <w:r>
        <w:rPr>
          <w:rStyle w:val="NormalTok"/>
        </w:rPr>
        <w:t xml:space="preserve">  </w:t>
      </w:r>
      <w:r>
        <w:rPr>
          <w:rStyle w:val="DataTypeTok"/>
        </w:rPr>
        <w:t xml:space="preserve">"IdRegion"</w:t>
      </w:r>
      <w:r>
        <w:rPr>
          <w:rStyle w:val="FunctionTok"/>
        </w:rPr>
        <w:t xml:space="preserve">:</w:t>
      </w:r>
      <w:r>
        <w:rPr>
          <w:rStyle w:val="NormalTok"/>
        </w:rPr>
        <w:t xml:space="preserve"> </w:t>
      </w:r>
      <w:r>
        <w:rPr>
          <w:rStyle w:val="StringTok"/>
        </w:rPr>
        <w:t xml:space="preserve">"Guid"</w:t>
      </w:r>
      <w:r>
        <w:rPr>
          <w:rStyle w:val="FunctionTok"/>
        </w:rPr>
        <w:t xml:space="preserve">,</w:t>
      </w:r>
      <w:r>
        <w:br/>
      </w:r>
      <w:r>
        <w:br/>
      </w:r>
      <w:r>
        <w:rPr>
          <w:rStyle w:val="NormalTok"/>
        </w:rPr>
        <w:t xml:space="preserve">  </w:t>
      </w:r>
      <w:r>
        <w:rPr>
          <w:rStyle w:val="DataTypeTok"/>
        </w:rPr>
        <w:t xml:space="preserve">"IdEmpresa"</w:t>
      </w:r>
      <w:r>
        <w:rPr>
          <w:rStyle w:val="FunctionTok"/>
        </w:rPr>
        <w:t xml:space="preserve">:</w:t>
      </w:r>
      <w:r>
        <w:rPr>
          <w:rStyle w:val="NormalTok"/>
        </w:rPr>
        <w:t xml:space="preserve"> </w:t>
      </w:r>
      <w:r>
        <w:rPr>
          <w:rStyle w:val="StringTok"/>
        </w:rPr>
        <w:t xml:space="preserve">"Guid"</w:t>
      </w:r>
      <w:r>
        <w:rPr>
          <w:rStyle w:val="FunctionTok"/>
        </w:rPr>
        <w:t xml:space="preserve">,</w:t>
      </w:r>
      <w:r>
        <w:br/>
      </w:r>
      <w:r>
        <w:rPr>
          <w:rStyle w:val="NormalTok"/>
        </w:rPr>
        <w:t xml:space="preserve">  </w:t>
      </w:r>
      <w:r>
        <w:rPr>
          <w:rStyle w:val="DataTypeTok"/>
        </w:rPr>
        <w:t xml:space="preserve">"EmpresaAlias"</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"EmpresaActivo"</w:t>
      </w:r>
      <w:r>
        <w:rPr>
          <w:rStyle w:val="FunctionTok"/>
        </w:rPr>
        <w:t xml:space="preserve">:</w:t>
      </w:r>
      <w:r>
        <w:rPr>
          <w:rStyle w:val="NormalTok"/>
        </w:rPr>
        <w:t xml:space="preserve"> </w:t>
      </w:r>
      <w:r>
        <w:rPr>
          <w:rStyle w:val="StringTok"/>
        </w:rPr>
        <w:t xml:space="preserve">"bool"</w:t>
      </w:r>
      <w:r>
        <w:rPr>
          <w:rStyle w:val="FunctionTok"/>
        </w:rPr>
        <w:t xml:space="preserve">,</w:t>
      </w:r>
      <w:r>
        <w:br/>
      </w:r>
      <w:r>
        <w:br/>
      </w:r>
      <w:r>
        <w:rPr>
          <w:rStyle w:val="NormalTok"/>
        </w:rPr>
        <w:t xml:space="preserve">  </w:t>
      </w:r>
      <w:r>
        <w:rPr>
          <w:rStyle w:val="DataTypeTok"/>
        </w:rPr>
        <w:t xml:space="preserve">"IdEmpresaDatosBancarios"</w:t>
      </w:r>
      <w:r>
        <w:rPr>
          <w:rStyle w:val="FunctionTok"/>
        </w:rPr>
        <w:t xml:space="preserve">:</w:t>
      </w:r>
      <w:r>
        <w:rPr>
          <w:rStyle w:val="NormalTok"/>
        </w:rPr>
        <w:t xml:space="preserve"> </w:t>
      </w:r>
      <w:r>
        <w:rPr>
          <w:rStyle w:val="StringTok"/>
        </w:rPr>
        <w:t xml:space="preserve">"Guid"</w:t>
      </w:r>
      <w:r>
        <w:rPr>
          <w:rStyle w:val="FunctionTok"/>
        </w:rPr>
        <w:t xml:space="preserve">,</w:t>
      </w:r>
      <w:r>
        <w:br/>
      </w:r>
      <w:r>
        <w:br/>
      </w:r>
      <w:r>
        <w:rPr>
          <w:rStyle w:val="NormalTok"/>
        </w:rPr>
        <w:t xml:space="preserve">  </w:t>
      </w:r>
      <w:r>
        <w:rPr>
          <w:rStyle w:val="DataTypeTok"/>
        </w:rPr>
        <w:t xml:space="preserve">"IdDatosBancarios"</w:t>
      </w:r>
      <w:r>
        <w:rPr>
          <w:rStyle w:val="FunctionTok"/>
        </w:rPr>
        <w:t xml:space="preserve">:</w:t>
      </w:r>
      <w:r>
        <w:rPr>
          <w:rStyle w:val="NormalTok"/>
        </w:rPr>
        <w:t xml:space="preserve"> </w:t>
      </w:r>
      <w:r>
        <w:rPr>
          <w:rStyle w:val="StringTok"/>
        </w:rPr>
        <w:t xml:space="preserve">"Guid"</w:t>
      </w:r>
      <w:r>
        <w:rPr>
          <w:rStyle w:val="FunctionTok"/>
        </w:rPr>
        <w:t xml:space="preserve">,</w:t>
      </w:r>
      <w:r>
        <w:br/>
      </w:r>
      <w:r>
        <w:rPr>
          <w:rStyle w:val="NormalTok"/>
        </w:rPr>
        <w:t xml:space="preserve">  </w:t>
      </w:r>
      <w:r>
        <w:rPr>
          <w:rStyle w:val="DataTypeTok"/>
        </w:rPr>
        <w:t xml:space="preserve">"NumeroDeCuenta"</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"Sucursal"</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"Beneficiario"</w:t>
      </w:r>
      <w:r>
        <w:rPr>
          <w:rStyle w:val="FunctionTok"/>
        </w:rPr>
        <w:t xml:space="preserve">:</w:t>
      </w:r>
      <w:r>
        <w:rPr>
          <w:rStyle w:val="NormalTok"/>
        </w:rPr>
        <w:t xml:space="preserve"> </w:t>
      </w:r>
      <w:r>
        <w:rPr>
          <w:rStyle w:val="StringTok"/>
        </w:rPr>
        <w:t xml:space="preserve">"string"</w:t>
      </w:r>
      <w:r>
        <w:rPr>
          <w:rStyle w:val="FunctionTok"/>
        </w:rPr>
        <w:t xml:space="preserve">,</w:t>
      </w:r>
      <w:r>
        <w:br/>
      </w:r>
      <w:r>
        <w:br/>
      </w:r>
      <w:r>
        <w:rPr>
          <w:rStyle w:val="NormalTok"/>
        </w:rPr>
        <w:t xml:space="preserve">  </w:t>
      </w:r>
      <w:r>
        <w:rPr>
          <w:rStyle w:val="DataTypeTok"/>
        </w:rPr>
        <w:t xml:space="preserve">"IdCatMoneda"</w:t>
      </w:r>
      <w:r>
        <w:rPr>
          <w:rStyle w:val="FunctionTok"/>
        </w:rPr>
        <w:t xml:space="preserve">:</w:t>
      </w:r>
      <w:r>
        <w:rPr>
          <w:rStyle w:val="NormalTok"/>
        </w:rPr>
        <w:t xml:space="preserve"> </w:t>
      </w:r>
      <w:r>
        <w:rPr>
          <w:rStyle w:val="StringTok"/>
        </w:rPr>
        <w:t xml:space="preserve">"Guid"</w:t>
      </w:r>
      <w:r>
        <w:rPr>
          <w:rStyle w:val="FunctionTok"/>
        </w:rPr>
        <w:t xml:space="preserve">,</w:t>
      </w:r>
      <w:r>
        <w:br/>
      </w:r>
      <w:r>
        <w:rPr>
          <w:rStyle w:val="NormalTok"/>
        </w:rPr>
        <w:t xml:space="preserve">  </w:t>
      </w:r>
      <w:r>
        <w:rPr>
          <w:rStyle w:val="DataTypeTok"/>
        </w:rPr>
        <w:t xml:space="preserve">"ClaveMoneda"</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"Moneda"</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"MonedaActivo"</w:t>
      </w:r>
      <w:r>
        <w:rPr>
          <w:rStyle w:val="FunctionTok"/>
        </w:rPr>
        <w:t xml:space="preserve">:</w:t>
      </w:r>
      <w:r>
        <w:rPr>
          <w:rStyle w:val="NormalTok"/>
        </w:rPr>
        <w:t xml:space="preserve"> </w:t>
      </w:r>
      <w:r>
        <w:rPr>
          <w:rStyle w:val="StringTok"/>
        </w:rPr>
        <w:t xml:space="preserve">"bool"</w:t>
      </w:r>
      <w:r>
        <w:rPr>
          <w:rStyle w:val="FunctionTok"/>
        </w:rPr>
        <w:t xml:space="preserve">,</w:t>
      </w:r>
      <w:r>
        <w:br/>
      </w:r>
      <w:r>
        <w:br/>
      </w:r>
      <w:r>
        <w:rPr>
          <w:rStyle w:val="NormalTok"/>
        </w:rPr>
        <w:t xml:space="preserve">  </w:t>
      </w:r>
      <w:r>
        <w:rPr>
          <w:rStyle w:val="DataTypeTok"/>
        </w:rPr>
        <w:t xml:space="preserve">"IdCatBanco"</w:t>
      </w:r>
      <w:r>
        <w:rPr>
          <w:rStyle w:val="FunctionTok"/>
        </w:rPr>
        <w:t xml:space="preserve">:</w:t>
      </w:r>
      <w:r>
        <w:rPr>
          <w:rStyle w:val="NormalTok"/>
        </w:rPr>
        <w:t xml:space="preserve"> </w:t>
      </w:r>
      <w:r>
        <w:rPr>
          <w:rStyle w:val="StringTok"/>
        </w:rPr>
        <w:t xml:space="preserve">"Guid"</w:t>
      </w:r>
      <w:r>
        <w:rPr>
          <w:rStyle w:val="FunctionTok"/>
        </w:rPr>
        <w:t xml:space="preserve">,</w:t>
      </w:r>
      <w:r>
        <w:br/>
      </w:r>
      <w:r>
        <w:rPr>
          <w:rStyle w:val="NormalTok"/>
        </w:rPr>
        <w:t xml:space="preserve">  </w:t>
      </w:r>
      <w:r>
        <w:rPr>
          <w:rStyle w:val="DataTypeTok"/>
        </w:rPr>
        <w:t xml:space="preserve">"Banco"</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"RequiereCodigoValidador"</w:t>
      </w:r>
      <w:r>
        <w:rPr>
          <w:rStyle w:val="FunctionTok"/>
        </w:rPr>
        <w:t xml:space="preserve">:</w:t>
      </w:r>
      <w:r>
        <w:rPr>
          <w:rStyle w:val="NormalTok"/>
        </w:rPr>
        <w:t xml:space="preserve"> </w:t>
      </w:r>
      <w:r>
        <w:rPr>
          <w:rStyle w:val="StringTok"/>
        </w:rPr>
        <w:t xml:space="preserve">"bool"</w:t>
      </w:r>
      <w:r>
        <w:rPr>
          <w:rStyle w:val="FunctionTok"/>
        </w:rPr>
        <w:t xml:space="preserve">,</w:t>
      </w:r>
      <w:r>
        <w:br/>
      </w:r>
      <w:r>
        <w:rPr>
          <w:rStyle w:val="NormalTok"/>
        </w:rPr>
        <w:t xml:space="preserve">  </w:t>
      </w:r>
      <w:r>
        <w:rPr>
          <w:rStyle w:val="DataTypeTok"/>
        </w:rPr>
        <w:t xml:space="preserve">"BancoActivo"</w:t>
      </w:r>
      <w:r>
        <w:rPr>
          <w:rStyle w:val="FunctionTok"/>
        </w:rPr>
        <w:t xml:space="preserve">:</w:t>
      </w:r>
      <w:r>
        <w:rPr>
          <w:rStyle w:val="NormalTok"/>
        </w:rPr>
        <w:t xml:space="preserve"> </w:t>
      </w:r>
      <w:r>
        <w:rPr>
          <w:rStyle w:val="StringTok"/>
        </w:rPr>
        <w:t xml:space="preserve">"bool"</w:t>
      </w:r>
      <w:r>
        <w:br/>
      </w:r>
      <w:r>
        <w:rPr>
          <w:rStyle w:val="FunctionTok"/>
        </w:rPr>
        <w:t xml:space="preserve">}</w:t>
      </w:r>
    </w:p>
    <w:p>
      <w:pPr>
        <w:pStyle w:val="SourceCode"/>
      </w:pPr>
      <w:r>
        <w:rPr>
          <w:rStyle w:val="ErrorTok"/>
        </w:rPr>
        <w:t xml:space="preserve">//</w:t>
      </w:r>
      <w:r>
        <w:rPr>
          <w:rStyle w:val="NormalTok"/>
        </w:rPr>
        <w:t xml:space="preserve"> </w:t>
      </w:r>
      <w:r>
        <w:rPr>
          <w:rStyle w:val="ErrorTok"/>
        </w:rPr>
        <w:t xml:space="preserve">POST</w:t>
      </w:r>
      <w:r>
        <w:rPr>
          <w:rStyle w:val="NormalTok"/>
        </w:rPr>
        <w:t xml:space="preserve"> </w:t>
      </w:r>
      <w:r>
        <w:rPr>
          <w:rStyle w:val="ErrorTok"/>
        </w:rPr>
        <w:t xml:space="preserve">/catBanco</w:t>
      </w:r>
      <w:r>
        <w:rPr>
          <w:rStyle w:val="NormalTok"/>
        </w:rPr>
        <w:t xml:space="preserve"> </w:t>
      </w:r>
      <w:r>
        <w:rPr>
          <w:rStyle w:val="ErrorTok"/>
        </w:rPr>
        <w:t xml:space="preserve">(catálogo</w:t>
      </w:r>
      <w:r>
        <w:rPr>
          <w:rStyle w:val="NormalTok"/>
        </w:rPr>
        <w:t xml:space="preserve"> </w:t>
      </w:r>
      <w:r>
        <w:rPr>
          <w:rStyle w:val="ErrorTok"/>
        </w:rPr>
        <w:t xml:space="preserve">genérico</w:t>
      </w:r>
      <w:r>
        <w:rPr>
          <w:rStyle w:val="NormalTok"/>
        </w:rPr>
        <w:t xml:space="preserve"> </w:t>
      </w:r>
      <w:r>
        <w:rPr>
          <w:rStyle w:val="ErrorTok"/>
        </w:rPr>
        <w:t xml:space="preserve">existente)</w:t>
      </w:r>
      <w:r>
        <w:br/>
      </w:r>
      <w:r>
        <w:rPr>
          <w:rStyle w:val="ErrorTok"/>
        </w:rPr>
        <w:t xml:space="preserve">//</w:t>
      </w:r>
      <w:r>
        <w:rPr>
          <w:rStyle w:val="NormalTok"/>
        </w:rPr>
        <w:t xml:space="preserve"> </w:t>
      </w:r>
      <w:r>
        <w:rPr>
          <w:rStyle w:val="ErrorTok"/>
        </w:rPr>
        <w:t xml:space="preserve">Body:</w:t>
      </w:r>
      <w:r>
        <w:rPr>
          <w:rStyle w:val="NormalTok"/>
        </w:rPr>
        <w:t xml:space="preserve"> </w:t>
      </w:r>
      <w:r>
        <w:rPr>
          <w:rStyle w:val="FunctionTok"/>
        </w:rPr>
        <w:t xml:space="preserve">{}</w:t>
      </w:r>
      <w:r>
        <w:br/>
      </w:r>
      <w:r>
        <w:rPr>
          <w:rStyle w:val="ErrorTok"/>
        </w:rPr>
        <w:t xml:space="preserve">//</w:t>
      </w:r>
      <w:r>
        <w:rPr>
          <w:rStyle w:val="NormalTok"/>
        </w:rPr>
        <w:t xml:space="preserve"> </w:t>
      </w:r>
      <w:r>
        <w:rPr>
          <w:rStyle w:val="ErrorTok"/>
        </w:rPr>
        <w:t xml:space="preserve">Respuesta:</w:t>
      </w:r>
      <w:r>
        <w:rPr>
          <w:rStyle w:val="NormalTok"/>
        </w:rPr>
        <w:t xml:space="preserve"> </w:t>
      </w:r>
      <w:r>
        <w:rPr>
          <w:rStyle w:val="ErrorTok"/>
        </w:rPr>
        <w:t xml:space="preserve">List&lt;catBanco&gt;</w:t>
      </w:r>
      <w:r>
        <w:rPr>
          <w:rStyle w:val="NormalTok"/>
        </w:rPr>
        <w:t xml:space="preserve"> </w:t>
      </w:r>
      <w:r>
        <w:rPr>
          <w:rStyle w:val="ErrorTok"/>
        </w:rPr>
        <w:t xml:space="preserve">—</w:t>
      </w:r>
      <w:r>
        <w:rPr>
          <w:rStyle w:val="NormalTok"/>
        </w:rPr>
        <w:t xml:space="preserve"> </w:t>
      </w:r>
      <w:r>
        <w:rPr>
          <w:rStyle w:val="ErrorTok"/>
        </w:rPr>
        <w:t xml:space="preserve">entidad</w:t>
      </w:r>
      <w:r>
        <w:rPr>
          <w:rStyle w:val="NormalTok"/>
        </w:rPr>
        <w:t xml:space="preserve"> </w:t>
      </w:r>
      <w:r>
        <w:rPr>
          <w:rStyle w:val="ErrorTok"/>
        </w:rPr>
        <w:t xml:space="preserve">completa,</w:t>
      </w:r>
      <w:r>
        <w:rPr>
          <w:rStyle w:val="NormalTok"/>
        </w:rPr>
        <w:t xml:space="preserve"> </w:t>
      </w:r>
      <w:r>
        <w:rPr>
          <w:rStyle w:val="ErrorTok"/>
        </w:rPr>
        <w:t xml:space="preserve">incluye</w:t>
      </w:r>
      <w:r>
        <w:rPr>
          <w:rStyle w:val="NormalTok"/>
        </w:rPr>
        <w:t xml:space="preserve"> </w:t>
      </w:r>
      <w:r>
        <w:rPr>
          <w:rStyle w:val="FunctionTok"/>
        </w:rPr>
        <w:t xml:space="preserve">{</w:t>
      </w:r>
      <w:r>
        <w:rPr>
          <w:rStyle w:val="NormalTok"/>
        </w:rPr>
        <w:t xml:space="preserve"> </w:t>
      </w:r>
      <w:r>
        <w:rPr>
          <w:rStyle w:val="DataTypeTok"/>
        </w:rPr>
        <w:t xml:space="preserve">"IdCatBanco"</w:t>
      </w:r>
      <w:r>
        <w:rPr>
          <w:rStyle w:val="FunctionTok"/>
        </w:rPr>
        <w:t xml:space="preserve">:</w:t>
      </w:r>
      <w:r>
        <w:rPr>
          <w:rStyle w:val="NormalTok"/>
        </w:rPr>
        <w:t xml:space="preserve"> </w:t>
      </w:r>
      <w:r>
        <w:rPr>
          <w:rStyle w:val="StringTok"/>
        </w:rPr>
        <w:t xml:space="preserve">"Guid"</w:t>
      </w:r>
      <w:r>
        <w:rPr>
          <w:rStyle w:val="FunctionTok"/>
        </w:rPr>
        <w:t xml:space="preserve">,</w:t>
      </w:r>
      <w:r>
        <w:rPr>
          <w:rStyle w:val="NormalTok"/>
        </w:rPr>
        <w:t xml:space="preserve"> </w:t>
      </w:r>
      <w:r>
        <w:rPr>
          <w:rStyle w:val="DataTypeTok"/>
        </w:rPr>
        <w:t xml:space="preserve">"Banco"</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"Clave"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"RequiereCodigoValidador"</w:t>
      </w:r>
      <w:r>
        <w:rPr>
          <w:rStyle w:val="FunctionTok"/>
        </w:rPr>
        <w:t xml:space="preserve">:</w:t>
      </w:r>
      <w:r>
        <w:rPr>
          <w:rStyle w:val="NormalTok"/>
        </w:rPr>
        <w:t xml:space="preserve"> </w:t>
      </w:r>
      <w:r>
        <w:rPr>
          <w:rStyle w:val="StringTok"/>
        </w:rPr>
        <w:t xml:space="preserve">"bool"</w:t>
      </w:r>
      <w:r>
        <w:rPr>
          <w:rStyle w:val="NormalTok"/>
        </w:rPr>
        <w:t xml:space="preserve"> </w:t>
      </w:r>
      <w:r>
        <w:rPr>
          <w:rStyle w:val="FunctionTok"/>
        </w:rPr>
        <w:t xml:space="preserve">}</w:t>
      </w:r>
    </w:p>
    <w:p>
      <w:pPr>
        <w:pStyle w:val="SourceCode"/>
      </w:pPr>
      <w:r>
        <w:rPr>
          <w:rStyle w:val="ErrorTok"/>
        </w:rPr>
        <w:t xml:space="preserve">//</w:t>
      </w:r>
      <w:r>
        <w:rPr>
          <w:rStyle w:val="NormalTok"/>
        </w:rPr>
        <w:t xml:space="preserve"> </w:t>
      </w:r>
      <w:r>
        <w:rPr>
          <w:rStyle w:val="ErrorTok"/>
        </w:rPr>
        <w:t xml:space="preserve">POST</w:t>
      </w:r>
      <w:r>
        <w:rPr>
          <w:rStyle w:val="NormalTok"/>
        </w:rPr>
        <w:t xml:space="preserve"> </w:t>
      </w:r>
      <w:r>
        <w:rPr>
          <w:rStyle w:val="ErrorTok"/>
        </w:rPr>
        <w:t xml:space="preserve">/vEmpresaDatosBancarios</w:t>
      </w:r>
      <w:r>
        <w:br/>
      </w:r>
      <w:r>
        <w:rPr>
          <w:rStyle w:val="FunctionTok"/>
        </w:rPr>
        <w:t xml:space="preserve">{</w:t>
      </w:r>
      <w:r>
        <w:br/>
      </w:r>
      <w:r>
        <w:rPr>
          <w:rStyle w:val="NormalTok"/>
        </w:rPr>
        <w:t xml:space="preserve">  </w:t>
      </w:r>
      <w:r>
        <w:rPr>
          <w:rStyle w:val="DataTypeTok"/>
        </w:rPr>
        <w:t xml:space="preserve">"filtros"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"IdCatBanco"</w:t>
      </w:r>
      <w:r>
        <w:rPr>
          <w:rStyle w:val="FunctionTok"/>
        </w:rPr>
        <w:t xml:space="preserve">:</w:t>
      </w:r>
      <w:r>
        <w:rPr>
          <w:rStyle w:val="NormalTok"/>
        </w:rPr>
        <w:t xml:space="preserve"> </w:t>
      </w:r>
      <w:r>
        <w:rPr>
          <w:rStyle w:val="StringTok"/>
        </w:rPr>
        <w:t xml:space="preserve">"Guid"</w:t>
      </w:r>
      <w:r>
        <w:br/>
      </w:r>
      <w:r>
        <w:rPr>
          <w:rStyle w:val="NormalTok"/>
        </w:rPr>
        <w:t xml:space="preserve">  </w:t>
      </w:r>
      <w:r>
        <w:rPr>
          <w:rStyle w:val="FunctionTok"/>
        </w:rPr>
        <w:t xml:space="preserve">}</w:t>
      </w:r>
      <w:r>
        <w:br/>
      </w:r>
      <w:r>
        <w:rPr>
          <w:rStyle w:val="FunctionTok"/>
        </w:rPr>
        <w:t xml:space="preserve">}</w:t>
      </w:r>
    </w:p>
    <w:p>
      <w:pPr>
        <w:pStyle w:val="Heading2"/>
      </w:pPr>
      <w:r>
        <w:rPr>
          <w:b/>
          <w:bCs/>
        </w:rPr>
        <w:t xml:space="preserve">2. Interfaces de salida</w:t>
      </w:r>
    </w:p>
    <w:tbl>
      <w:tblPr>
        <w:tblStyle w:val="Table"/>
        <w:tblW w:type="pct" w:w="5000"/>
        <w:tblLayout w:type="fixed"/>
        <w:tblLook w:firstRow="1" w:lastRow="0" w:firstColumn="0" w:lastColumn="0" w:noHBand="0" w:noVBand="0" w:val="0020"/>
      </w:tblPr>
      <w:tblGrid>
        <w:gridCol w:w="1950"/>
        <w:gridCol w:w="7410"/>
      </w:tblGrid>
      <w:tr>
        <w:trPr>
          <w:tblHeader w:val="on"/>
        </w:trPr>
        <w:tc>
          <w:tcPr>
            <w:tcW w:w="1950" w:type="dxa"/>
            <w:shd w:val="clear" w:color="auto" w:fill="434343"/>
          </w:tcPr>
          <w:p>
            <w:pPr>
              <w:pStyle w:val="Compact"/>
              <w:jc w:val="left"/>
            </w:pPr>
            <w:r>
              <w:rPr>
                <w:b/>
                <w:color w:val="FFFFFF"/>
              </w:rPr>
              <w:t xml:space="preserve">Interfaz</w:t>
            </w:r>
          </w:p>
        </w:tc>
        <w:tc>
          <w:tcPr>
            <w:tcW w:w="7410" w:type="dxa"/>
            <w:shd w:val="clear" w:color="auto" w:fill="434343"/>
          </w:tcPr>
          <w:p>
            <w:pPr>
              <w:pStyle w:val="Compact"/>
              <w:jc w:val="left"/>
            </w:pPr>
            <w:r>
              <w:rPr>
                <w:b/>
                <w:color w:val="FFFFFF"/>
              </w:rPr>
              <w:t xml:space="preserve">Descripción</w:t>
            </w:r>
          </w:p>
        </w:tc>
      </w:tr>
      <w:tr>
        <w:tc>
          <w:tcPr>
            <w:tcW w:w="1950" w:type="dxa"/>
          </w:tcPr>
          <w:tcPr/>
          <w:p>
            <w:pPr>
              <w:pStyle w:val="Compact"/>
              <w:jc w:val="left"/>
            </w:pPr>
            <w:r>
              <w:rPr>
                <w:rStyle w:val="VerbatimChar"/>
              </w:rPr>
              <w:t xml:space="preserve">tpProformaPedido.ReferenciaPago</w:t>
            </w:r>
          </w:p>
        </w:tc>
        <w:tc>
          <w:tcPr>
            <w:tcW w:w="7410" w:type="dxa"/>
          </w:tcPr>
          <w:tcPr/>
          <w:p>
            <w:pPr>
              <w:pStyle w:val="Compact"/>
              <w:jc w:val="left"/>
            </w:pPr>
            <w:r>
              <w:t xml:space="preserve">String con la referencia bancaria vigente leída de</w:t>
            </w:r>
            <w:r>
              <w:t xml:space="preserve"> </w:t>
            </w:r>
            <w:r>
              <w:rPr>
                <w:rStyle w:val="VerbatimChar"/>
              </w:rPr>
              <w:t xml:space="preserve">ClienteDatosBancarios.ReferenciaVigente</w:t>
            </w:r>
            <w:r>
              <w:t xml:space="preserve"> </w:t>
            </w:r>
            <w:r>
              <w:t xml:space="preserve">(vía el endpoint de RE-006); lo asigna RE-016 en su</w:t>
            </w:r>
            <w:r>
              <w:t xml:space="preserve"> </w:t>
            </w:r>
            <w:r>
              <w:rPr>
                <w:rStyle w:val="VerbatimChar"/>
              </w:rPr>
              <w:t xml:space="preserve">tpProformaPedidoFactory</w:t>
            </w:r>
            <w:r>
              <w:t xml:space="preserve"> </w:t>
            </w:r>
            <w:r>
              <w:t xml:space="preserve">al generar la proforma — no es escritura de RE-006</w:t>
            </w:r>
          </w:p>
        </w:tc>
      </w:tr>
      <w:tr>
        <w:tc>
          <w:tcPr>
            <w:tcW w:w="1950" w:type="dxa"/>
          </w:tcPr>
          <w:tcPr/>
          <w:p>
            <w:pPr>
              <w:pStyle w:val="Compact"/>
              <w:jc w:val="left"/>
            </w:pPr>
            <w:r>
              <w:t xml:space="preserve">Evento → Aplicativo de Bitácora</w:t>
            </w:r>
          </w:p>
        </w:tc>
        <w:tc>
          <w:tcPr>
            <w:tcW w:w="7410" w:type="dxa"/>
          </w:tcPr>
          <w:tcPr/>
          <w:p>
            <w:pPr>
              <w:pStyle w:val="Compact"/>
              <w:jc w:val="left"/>
            </w:pPr>
            <w:r>
              <w:t xml:space="preserve">Evento de auditoría publicado por RE-006 tras persistir cada alta/baja/modificación de asignación o</w:t>
            </w:r>
            <w:r>
              <w:t xml:space="preserve"> </w:t>
            </w:r>
            <w:r>
              <w:rPr>
                <w:rStyle w:val="VerbatimChar"/>
              </w:rPr>
              <w:t xml:space="preserve">CodigoValidador</w:t>
            </w:r>
            <w:r>
              <w:t xml:space="preserve"> </w:t>
            </w:r>
            <w:r>
              <w:t xml:space="preserve">(integración</w:t>
            </w:r>
            <w:r>
              <w:t xml:space="preserve"> </w:t>
            </w:r>
            <w:r>
              <w:rPr>
                <w:b/>
                <w:bCs/>
              </w:rPr>
              <w:t xml:space="preserve">por eventos</w:t>
            </w:r>
            <w:r>
              <w:t xml:space="preserve">).</w:t>
            </w:r>
            <w:r>
              <w:t xml:space="preserve"> </w:t>
            </w:r>
            <w:r>
              <w:rPr>
                <w:highlight w:val="yellow"/>
              </w:rPr>
              <w:t xml:space="preserve">Firma/contrato del endpoint pendiente de definir</w:t>
            </w:r>
            <w:r>
              <w:t xml:space="preserve"> </w:t>
            </w:r>
            <w:r>
              <w:t xml:space="preserve">— propuesta aprobada; infra y endpoints por detallar</w:t>
            </w:r>
          </w:p>
        </w:tc>
      </w:tr>
    </w:tbl>
    <w:p>
      <w:pPr>
        <w:pStyle w:val="Heading2"/>
      </w:pPr>
      <w:r>
        <w:rPr>
          <w:b/>
          <w:bCs/>
        </w:rPr>
        <w:t xml:space="preserve">3. Contrato de datos</w:t>
      </w:r>
    </w:p>
    <w:p>
      <w:pPr>
        <w:pStyle w:val="FirstParagraph"/>
      </w:pPr>
      <w:r>
        <w:t xml:space="preserve">Campos que expone</w:t>
      </w:r>
      <w:r>
        <w:t xml:space="preserve"> </w:t>
      </w:r>
      <w:r>
        <w:rPr>
          <w:rStyle w:val="VerbatimChar"/>
        </w:rPr>
        <w:t xml:space="preserve">ClienteDatosBancarios</w:t>
      </w:r>
      <w:r>
        <w:t xml:space="preserve"> </w:t>
      </w:r>
      <w:r>
        <w:t xml:space="preserve">en las respuestas del controller de escritura (</w:t>
      </w:r>
      <w:r>
        <w:rPr>
          <w:rStyle w:val="VerbatimChar"/>
        </w:rPr>
        <w:t xml:space="preserve">PUT</w:t>
      </w:r>
      <w:r>
        <w:t xml:space="preserve">/</w:t>
      </w:r>
      <w:r>
        <w:rPr>
          <w:rStyle w:val="VerbatimChar"/>
        </w:rPr>
        <w:t xml:space="preserve">DELETE</w:t>
      </w:r>
      <w:r>
        <w:t xml:space="preserve">). La respuesta de consulta</w:t>
      </w:r>
      <w:r>
        <w:t xml:space="preserve"> </w:t>
      </w:r>
      <w:r>
        <w:rPr>
          <w:rStyle w:val="VerbatimChar"/>
        </w:rPr>
        <w:t xml:space="preserve">POST /vClienteDatosBancarios</w:t>
      </w:r>
      <w:r>
        <w:t xml:space="preserve"> </w:t>
      </w:r>
      <w:r>
        <w:t xml:space="preserve">es un contrato distinto (objeto plano con campos de varias tablas) — ver body de respuesta en</w:t>
      </w:r>
      <w:r>
        <w:t xml:space="preserve"> </w:t>
      </w:r>
      <w:r>
        <w:t xml:space="preserve">“Interfaces de entrada”</w:t>
      </w:r>
      <w:r>
        <w:t xml:space="preserve"> </w:t>
      </w:r>
      <w:r>
        <w:t xml:space="preserve">(§1).</w:t>
      </w:r>
    </w:p>
    <w:p>
      <w:pPr>
        <w:pStyle w:val="SourceCode"/>
      </w:pPr>
      <w:r>
        <w:rPr>
          <w:rStyle w:val="FunctionTok"/>
        </w:rPr>
        <w:t xml:space="preserve">{</w:t>
      </w:r>
      <w:r>
        <w:br/>
      </w:r>
      <w:r>
        <w:rPr>
          <w:rStyle w:val="NormalTok"/>
        </w:rPr>
        <w:t xml:space="preserve">  </w:t>
      </w:r>
      <w:r>
        <w:rPr>
          <w:rStyle w:val="DataTypeTok"/>
        </w:rPr>
        <w:t xml:space="preserve">"IdClienteDatosBancarios"</w:t>
      </w:r>
      <w:r>
        <w:rPr>
          <w:rStyle w:val="FunctionTok"/>
        </w:rPr>
        <w:t xml:space="preserve">:</w:t>
      </w:r>
      <w:r>
        <w:rPr>
          <w:rStyle w:val="NormalTok"/>
        </w:rPr>
        <w:t xml:space="preserve"> </w:t>
      </w:r>
      <w:r>
        <w:rPr>
          <w:rStyle w:val="StringTok"/>
        </w:rPr>
        <w:t xml:space="preserve">"Guid"</w:t>
      </w:r>
      <w:r>
        <w:rPr>
          <w:rStyle w:val="FunctionTok"/>
        </w:rPr>
        <w:t xml:space="preserve">,</w:t>
      </w:r>
      <w:r>
        <w:br/>
      </w:r>
      <w:r>
        <w:rPr>
          <w:rStyle w:val="NormalTok"/>
        </w:rPr>
        <w:t xml:space="preserve">  </w:t>
      </w:r>
      <w:r>
        <w:rPr>
          <w:rStyle w:val="DataTypeTok"/>
        </w:rPr>
        <w:t xml:space="preserve">"IdCliente"</w:t>
      </w:r>
      <w:r>
        <w:rPr>
          <w:rStyle w:val="FunctionTok"/>
        </w:rPr>
        <w:t xml:space="preserve">:</w:t>
      </w:r>
      <w:r>
        <w:rPr>
          <w:rStyle w:val="NormalTok"/>
        </w:rPr>
        <w:t xml:space="preserve"> </w:t>
      </w:r>
      <w:r>
        <w:rPr>
          <w:rStyle w:val="StringTok"/>
        </w:rPr>
        <w:t xml:space="preserve">"Guid"</w:t>
      </w:r>
      <w:r>
        <w:rPr>
          <w:rStyle w:val="FunctionTok"/>
        </w:rPr>
        <w:t xml:space="preserve">,</w:t>
      </w:r>
      <w:r>
        <w:br/>
      </w:r>
      <w:r>
        <w:rPr>
          <w:rStyle w:val="NormalTok"/>
        </w:rPr>
        <w:t xml:space="preserve">  </w:t>
      </w:r>
      <w:r>
        <w:rPr>
          <w:rStyle w:val="DataTypeTok"/>
        </w:rPr>
        <w:t xml:space="preserve">"IdEmpresaDatosBancarios"</w:t>
      </w:r>
      <w:r>
        <w:rPr>
          <w:rStyle w:val="FunctionTok"/>
        </w:rPr>
        <w:t xml:space="preserve">:</w:t>
      </w:r>
      <w:r>
        <w:rPr>
          <w:rStyle w:val="NormalTok"/>
        </w:rPr>
        <w:t xml:space="preserve"> </w:t>
      </w:r>
      <w:r>
        <w:rPr>
          <w:rStyle w:val="StringTok"/>
        </w:rPr>
        <w:t xml:space="preserve">"Guid"</w:t>
      </w:r>
      <w:r>
        <w:rPr>
          <w:rStyle w:val="FunctionTok"/>
        </w:rPr>
        <w:t xml:space="preserve">,</w:t>
      </w:r>
      <w:r>
        <w:br/>
      </w:r>
      <w:r>
        <w:rPr>
          <w:rStyle w:val="NormalTok"/>
        </w:rPr>
        <w:t xml:space="preserve">  </w:t>
      </w:r>
      <w:r>
        <w:rPr>
          <w:rStyle w:val="DataTypeTok"/>
        </w:rPr>
        <w:t xml:space="preserve">"CodigoValidador"</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"ReferenciaVigente"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"Activo"</w:t>
      </w:r>
      <w:r>
        <w:rPr>
          <w:rStyle w:val="FunctionTok"/>
        </w:rPr>
        <w:t xml:space="preserve">:</w:t>
      </w:r>
      <w:r>
        <w:rPr>
          <w:rStyle w:val="NormalTok"/>
        </w:rPr>
        <w:t xml:space="preserve"> </w:t>
      </w:r>
      <w:r>
        <w:rPr>
          <w:rStyle w:val="StringTok"/>
        </w:rPr>
        <w:t xml:space="preserve">"bool"</w:t>
      </w:r>
      <w:r>
        <w:br/>
      </w:r>
      <w:r>
        <w:rPr>
          <w:rStyle w:val="FunctionTok"/>
        </w:rPr>
        <w:t xml:space="preserve">}</w:t>
      </w:r>
    </w:p>
    <w:p>
      <w:pPr>
        <w:pStyle w:val="FirstParagraph"/>
      </w:pPr>
      <w:r>
        <w:rPr>
          <w:b/>
          <w:bCs/>
        </w:rPr>
        <w:t xml:space="preserve">Campos de historial (solo BD, no expuestos en API en esta versión):</w:t>
      </w:r>
    </w:p>
    <w:p>
      <w:pPr>
        <w:pStyle w:val="Compact"/>
        <w:numPr>
          <w:ilvl w:val="0"/>
          <w:numId w:val="1008"/>
        </w:numPr>
      </w:pPr>
      <w:r>
        <w:rPr>
          <w:rStyle w:val="VerbatimChar"/>
        </w:rPr>
        <w:t xml:space="preserve">CodigoValidadorAnterior</w:t>
      </w:r>
      <w:r>
        <w:t xml:space="preserve"> </w:t>
      </w:r>
      <w:r>
        <w:t xml:space="preserve">(string, nullable)</w:t>
      </w:r>
    </w:p>
    <w:p>
      <w:pPr>
        <w:pStyle w:val="Compact"/>
        <w:numPr>
          <w:ilvl w:val="0"/>
          <w:numId w:val="1008"/>
        </w:numPr>
      </w:pPr>
      <w:r>
        <w:rPr>
          <w:rStyle w:val="VerbatimChar"/>
        </w:rPr>
        <w:t xml:space="preserve">FechaModificacionAnterior</w:t>
      </w:r>
      <w:r>
        <w:t xml:space="preserve"> </w:t>
      </w:r>
      <w:r>
        <w:t xml:space="preserve">(datetime, nullable)</w:t>
      </w:r>
    </w:p>
    <w:p>
      <w:pPr>
        <w:pStyle w:val="Compact"/>
        <w:numPr>
          <w:ilvl w:val="0"/>
          <w:numId w:val="1008"/>
        </w:numPr>
      </w:pPr>
      <w:r>
        <w:rPr>
          <w:rStyle w:val="VerbatimChar"/>
        </w:rPr>
        <w:t xml:space="preserve">IdUsuarioModificacionAnterior</w:t>
      </w:r>
      <w:r>
        <w:t xml:space="preserve"> </w:t>
      </w:r>
      <w:r>
        <w:t xml:space="preserve">(Guid, nullable)</w:t>
      </w:r>
    </w:p>
    <w:p>
      <w:pPr>
        <w:pStyle w:val="Compact"/>
        <w:numPr>
          <w:ilvl w:val="0"/>
          <w:numId w:val="1008"/>
        </w:numPr>
      </w:pPr>
      <w:r>
        <w:rPr>
          <w:rStyle w:val="VerbatimChar"/>
        </w:rPr>
        <w:t xml:space="preserve">IdUsuarioModificacion</w:t>
      </w:r>
      <w:r>
        <w:t xml:space="preserve"> </w:t>
      </w:r>
      <w:r>
        <w:t xml:space="preserve">(Guid, nullable) — usuario de la última modificación</w:t>
      </w:r>
    </w:p>
    <w:p>
      <w:pPr>
        <w:pStyle w:val="Compact"/>
        <w:numPr>
          <w:ilvl w:val="0"/>
          <w:numId w:val="1008"/>
        </w:numPr>
      </w:pPr>
      <w:r>
        <w:rPr>
          <w:rStyle w:val="VerbatimChar"/>
        </w:rPr>
        <w:t xml:space="preserve">FechaReferenciaVigente</w:t>
      </w:r>
      <w:r>
        <w:t xml:space="preserve"> </w:t>
      </w:r>
      <w:r>
        <w:t xml:space="preserve">(datetime, nullable)</w:t>
      </w:r>
    </w:p>
    <w:p>
      <w:pPr>
        <w:pStyle w:val="Heading2"/>
      </w:pPr>
      <w:r>
        <w:rPr>
          <w:b/>
          <w:bCs/>
        </w:rPr>
        <w:t xml:space="preserve">4. Tabla de EndPoints</w:t>
      </w:r>
    </w:p>
    <w:tbl>
      <w:tblPr>
        <w:tblStyle w:val="Table"/>
        <w:tblW w:type="pct" w:w="5000"/>
        <w:tblLayout w:type="fixed"/>
        <w:tblLook w:firstRow="1" w:lastRow="0" w:firstColumn="0" w:lastColumn="0" w:noHBand="0" w:noVBand="0" w:val="0020"/>
      </w:tblPr>
      <w:tblGrid>
        <w:gridCol w:w="1986"/>
        <w:gridCol w:w="2412"/>
        <w:gridCol w:w="1944"/>
        <w:gridCol w:w="3018"/>
      </w:tblGrid>
      <w:tr>
        <w:trPr>
          <w:tblHeader w:val="on"/>
        </w:trPr>
        <w:tc>
          <w:tcPr>
            <w:tcW w:w="1986" w:type="dxa"/>
            <w:shd w:val="clear" w:color="auto" w:fill="434343"/>
          </w:tcPr>
          <w:p>
            <w:pPr>
              <w:pStyle w:val="Compact"/>
              <w:jc w:val="left"/>
            </w:pPr>
            <w:r>
              <w:rPr>
                <w:b/>
                <w:color w:val="FFFFFF"/>
              </w:rPr>
              <w:t xml:space="preserve">Solución / Proyecto</w:t>
            </w:r>
          </w:p>
        </w:tc>
        <w:tc>
          <w:tcPr>
            <w:tcW w:w="2412" w:type="dxa"/>
            <w:shd w:val="clear" w:color="auto" w:fill="434343"/>
          </w:tcPr>
          <w:p>
            <w:pPr>
              <w:pStyle w:val="Compact"/>
              <w:jc w:val="left"/>
            </w:pPr>
            <w:r>
              <w:rPr>
                <w:b/>
                <w:color w:val="FFFFFF"/>
              </w:rPr>
              <w:t xml:space="preserve">EndPoint</w:t>
            </w:r>
          </w:p>
        </w:tc>
        <w:tc>
          <w:tcPr>
            <w:tcW w:w="1944" w:type="dxa"/>
            <w:shd w:val="clear" w:color="auto" w:fill="434343"/>
          </w:tcPr>
          <w:p>
            <w:pPr>
              <w:pStyle w:val="Compact"/>
              <w:jc w:val="left"/>
            </w:pPr>
            <w:r>
              <w:rPr>
                <w:b/>
                <w:color w:val="FFFFFF"/>
              </w:rPr>
              <w:t xml:space="preserve">Parámetros</w:t>
            </w:r>
          </w:p>
        </w:tc>
        <w:tc>
          <w:tcPr>
            <w:tcW w:w="3018" w:type="dxa"/>
            <w:shd w:val="clear" w:color="auto" w:fill="434343"/>
          </w:tcPr>
          <w:p>
            <w:pPr>
              <w:pStyle w:val="Compact"/>
              <w:jc w:val="left"/>
            </w:pPr>
            <w:r>
              <w:rPr>
                <w:b/>
                <w:color w:val="FFFFFF"/>
              </w:rPr>
              <w:t xml:space="preserve">Salida</w:t>
            </w:r>
          </w:p>
        </w:tc>
      </w:tr>
      <w:tr>
        <w:tc>
          <w:tcPr>
            <w:tcW w:w="1986" w:type="dxa"/>
          </w:tcPr>
          <w:tcPr/>
          <w:p>
            <w:pPr>
              <w:pStyle w:val="Compact"/>
              <w:jc w:val="left"/>
            </w:pPr>
            <w:r>
              <w:t xml:space="preserve">Catalogos</w:t>
            </w:r>
          </w:p>
        </w:tc>
        <w:tc>
          <w:tcPr>
            <w:tcW w:w="2412" w:type="dxa"/>
          </w:tcPr>
          <w:tcPr/>
          <w:p>
            <w:pPr>
              <w:pStyle w:val="Compact"/>
              <w:jc w:val="left"/>
            </w:pPr>
            <w:r>
              <w:rPr>
                <w:rStyle w:val="VerbatimChar"/>
              </w:rPr>
              <w:t xml:space="preserve">PUT /ClienteDatosBancarios</w:t>
            </w:r>
          </w:p>
        </w:tc>
        <w:tc>
          <w:tcPr>
            <w:tcW w:w="1944" w:type="dxa"/>
          </w:tcPr>
          <w:tcPr/>
          <w:p>
            <w:pPr>
              <w:pStyle w:val="Compact"/>
              <w:jc w:val="left"/>
            </w:pPr>
            <w:r>
              <w:t xml:space="preserve">Ver body en §1</w:t>
            </w:r>
          </w:p>
        </w:tc>
        <w:tc>
          <w:tcPr>
            <w:tcW w:w="3018" w:type="dxa"/>
          </w:tcPr>
          <w:tcPr/>
          <w:p>
            <w:pPr>
              <w:pStyle w:val="Compact"/>
              <w:jc w:val="left"/>
            </w:pPr>
            <w:r>
              <w:rPr>
                <w:rStyle w:val="VerbatimChar"/>
              </w:rPr>
              <w:t xml:space="preserve">ClienteDatosBancarios</w:t>
            </w:r>
          </w:p>
        </w:tc>
      </w:tr>
      <w:tr>
        <w:tc>
          <w:tcPr>
            <w:tcW w:w="1986" w:type="dxa"/>
          </w:tcPr>
          <w:tcPr/>
          <w:p>
            <w:pPr>
              <w:pStyle w:val="Compact"/>
              <w:jc w:val="left"/>
            </w:pPr>
            <w:r>
              <w:t xml:space="preserve">Catalogos</w:t>
            </w:r>
          </w:p>
        </w:tc>
        <w:tc>
          <w:tcPr>
            <w:tcW w:w="2412" w:type="dxa"/>
          </w:tcPr>
          <w:tcPr/>
          <w:p>
            <w:pPr>
              <w:pStyle w:val="Compact"/>
              <w:jc w:val="left"/>
            </w:pPr>
            <w:r>
              <w:rPr>
                <w:rStyle w:val="VerbatimChar"/>
              </w:rPr>
              <w:t xml:space="preserve">PUT /ClienteDatosBancarios/Codigo</w:t>
            </w:r>
          </w:p>
        </w:tc>
        <w:tc>
          <w:tcPr>
            <w:tcW w:w="1944" w:type="dxa"/>
          </w:tcPr>
          <w:tcPr/>
          <w:p>
            <w:pPr>
              <w:pStyle w:val="Compact"/>
              <w:jc w:val="left"/>
            </w:pPr>
            <w:r>
              <w:t xml:space="preserve">Ver body en §1</w:t>
            </w:r>
          </w:p>
        </w:tc>
        <w:tc>
          <w:tcPr>
            <w:tcW w:w="3018" w:type="dxa"/>
          </w:tcPr>
          <w:tcPr/>
          <w:p>
            <w:pPr>
              <w:pStyle w:val="Compact"/>
              <w:jc w:val="left"/>
            </w:pPr>
            <w:r>
              <w:rPr>
                <w:rStyle w:val="VerbatimChar"/>
              </w:rPr>
              <w:t xml:space="preserve">ClienteDatosBancarios</w:t>
            </w:r>
          </w:p>
        </w:tc>
      </w:tr>
      <w:tr>
        <w:tc>
          <w:tcPr>
            <w:tcW w:w="1986" w:type="dxa"/>
          </w:tcPr>
          <w:tcPr/>
          <w:p>
            <w:pPr>
              <w:pStyle w:val="Compact"/>
              <w:jc w:val="left"/>
            </w:pPr>
            <w:r>
              <w:t xml:space="preserve">Catalogos</w:t>
            </w:r>
          </w:p>
        </w:tc>
        <w:tc>
          <w:tcPr>
            <w:tcW w:w="2412" w:type="dxa"/>
          </w:tcPr>
          <w:tcPr/>
          <w:p>
            <w:pPr>
              <w:pStyle w:val="Compact"/>
              <w:jc w:val="left"/>
            </w:pPr>
            <w:r>
              <w:rPr>
                <w:rStyle w:val="VerbatimChar"/>
              </w:rPr>
              <w:t xml:space="preserve">DELETE /ClienteDatosBancarios</w:t>
            </w:r>
          </w:p>
        </w:tc>
        <w:tc>
          <w:tcPr>
            <w:tcW w:w="1944" w:type="dxa"/>
          </w:tcPr>
          <w:tcPr/>
          <w:p>
            <w:pPr>
              <w:pStyle w:val="Compact"/>
              <w:jc w:val="left"/>
            </w:pPr>
            <w:r>
              <w:rPr>
                <w:rStyle w:val="VerbatimChar"/>
              </w:rPr>
              <w:t xml:space="preserve">?IdClienteDatosBancarios={guid}</w:t>
            </w:r>
          </w:p>
        </w:tc>
        <w:tc>
          <w:tcPr>
            <w:tcW w:w="3018" w:type="dxa"/>
          </w:tcPr>
          <w:tcPr/>
          <w:p>
            <w:pPr>
              <w:pStyle w:val="Compact"/>
              <w:jc w:val="left"/>
            </w:pPr>
            <w:r>
              <w:rPr>
                <w:rStyle w:val="VerbatimChar"/>
              </w:rPr>
              <w:t xml:space="preserve">204 No Content</w:t>
            </w:r>
          </w:p>
        </w:tc>
      </w:tr>
      <w:tr>
        <w:tc>
          <w:tcPr>
            <w:tcW w:w="1986" w:type="dxa"/>
          </w:tcPr>
          <w:tcPr/>
          <w:p>
            <w:pPr>
              <w:pStyle w:val="Compact"/>
              <w:jc w:val="left"/>
            </w:pPr>
            <w:r>
              <w:t xml:space="preserve">Catalogos</w:t>
            </w:r>
          </w:p>
        </w:tc>
        <w:tc>
          <w:tcPr>
            <w:tcW w:w="2412" w:type="dxa"/>
          </w:tcPr>
          <w:tcPr/>
          <w:p>
            <w:pPr>
              <w:pStyle w:val="Compact"/>
              <w:jc w:val="left"/>
            </w:pPr>
            <w:r>
              <w:rPr>
                <w:rStyle w:val="VerbatimChar"/>
              </w:rPr>
              <w:t xml:space="preserve">POST /vClienteDatosBancarios</w:t>
            </w:r>
          </w:p>
        </w:tc>
        <w:tc>
          <w:tcPr>
            <w:tcW w:w="1944" w:type="dxa"/>
          </w:tcPr>
          <w:tcPr/>
          <w:p>
            <w:pPr>
              <w:pStyle w:val="Compact"/>
              <w:jc w:val="left"/>
            </w:pPr>
            <w:r>
              <w:t xml:space="preserve">Ver body en §1</w:t>
            </w:r>
          </w:p>
        </w:tc>
        <w:tc>
          <w:tcPr>
            <w:tcW w:w="3018" w:type="dxa"/>
          </w:tcPr>
          <w:tcPr/>
          <w:p>
            <w:pPr>
              <w:pStyle w:val="Compact"/>
              <w:jc w:val="left"/>
            </w:pPr>
            <w:r>
              <w:rPr>
                <w:rStyle w:val="VerbatimChar"/>
              </w:rPr>
              <w:t xml:space="preserve">List&lt;vClienteDatosBancarios&gt;</w:t>
            </w:r>
            <w:r>
              <w:t xml:space="preserve"> </w:t>
            </w:r>
            <w:r>
              <w:t xml:space="preserve">(siempre arreglo, respuesta plana)</w:t>
            </w:r>
          </w:p>
        </w:tc>
      </w:tr>
      <w:tr>
        <w:tc>
          <w:tcPr>
            <w:tcW w:w="1986" w:type="dxa"/>
          </w:tcPr>
          <w:tcPr/>
          <w:p>
            <w:pPr>
              <w:pStyle w:val="Compact"/>
              <w:jc w:val="left"/>
            </w:pPr>
            <w:r>
              <w:t xml:space="preserve">Catálogo genérico (existente)</w:t>
            </w:r>
          </w:p>
        </w:tc>
        <w:tc>
          <w:tcPr>
            <w:tcW w:w="2412" w:type="dxa"/>
          </w:tcPr>
          <w:tcPr/>
          <w:p>
            <w:pPr>
              <w:pStyle w:val="Compact"/>
              <w:jc w:val="left"/>
            </w:pPr>
            <w:r>
              <w:rPr>
                <w:rStyle w:val="VerbatimChar"/>
              </w:rPr>
              <w:t xml:space="preserve">POST /catBanco</w:t>
            </w:r>
          </w:p>
        </w:tc>
        <w:tc>
          <w:tcPr>
            <w:tcW w:w="1944" w:type="dxa"/>
          </w:tcPr>
          <w:tcPr/>
          <w:p>
            <w:pPr>
              <w:pStyle w:val="Compact"/>
              <w:jc w:val="left"/>
            </w:pPr>
            <w:r>
              <w:t xml:space="preserve">Ver body en §1</w:t>
            </w:r>
          </w:p>
        </w:tc>
        <w:tc>
          <w:tcPr>
            <w:tcW w:w="3018" w:type="dxa"/>
          </w:tcPr>
          <w:tcPr/>
          <w:p>
            <w:pPr>
              <w:pStyle w:val="Compact"/>
              <w:jc w:val="left"/>
            </w:pPr>
            <w:r>
              <w:rPr>
                <w:rStyle w:val="VerbatimChar"/>
              </w:rPr>
              <w:t xml:space="preserve">List&lt;catBanco&gt;</w:t>
            </w:r>
            <w:r>
              <w:t xml:space="preserve"> </w:t>
            </w:r>
            <w:r>
              <w:t xml:space="preserve">(entidad completa, incluye</w:t>
            </w:r>
            <w:r>
              <w:t xml:space="preserve"> </w:t>
            </w:r>
            <w:r>
              <w:rPr>
                <w:rStyle w:val="VerbatimChar"/>
              </w:rPr>
              <w:t xml:space="preserve">RequiereCodigoValidador</w:t>
            </w:r>
            <w:r>
              <w:t xml:space="preserve">)</w:t>
            </w:r>
          </w:p>
        </w:tc>
      </w:tr>
      <w:tr>
        <w:tc>
          <w:tcPr>
            <w:tcW w:w="1986" w:type="dxa"/>
          </w:tcPr>
          <w:tcPr/>
          <w:p>
            <w:pPr>
              <w:pStyle w:val="Compact"/>
              <w:jc w:val="left"/>
            </w:pPr>
            <w:r>
              <w:t xml:space="preserve">Catálogo existente (reutilizado)</w:t>
            </w:r>
          </w:p>
        </w:tc>
        <w:tc>
          <w:tcPr>
            <w:tcW w:w="2412" w:type="dxa"/>
          </w:tcPr>
          <w:tcPr/>
          <w:p>
            <w:pPr>
              <w:pStyle w:val="Compact"/>
              <w:jc w:val="left"/>
            </w:pPr>
            <w:r>
              <w:rPr>
                <w:rStyle w:val="VerbatimChar"/>
              </w:rPr>
              <w:t xml:space="preserve">POST /vEmpresaDatosBancarios</w:t>
            </w:r>
          </w:p>
        </w:tc>
        <w:tc>
          <w:tcPr>
            <w:tcW w:w="1944" w:type="dxa"/>
          </w:tcPr>
          <w:tcPr/>
          <w:p>
            <w:pPr>
              <w:pStyle w:val="Compact"/>
              <w:jc w:val="left"/>
            </w:pPr>
            <w:r>
              <w:t xml:space="preserve">Ver body en §1</w:t>
            </w:r>
          </w:p>
        </w:tc>
        <w:tc>
          <w:tcPr>
            <w:tcW w:w="3018" w:type="dxa"/>
          </w:tcPr>
          <w:tcPr/>
          <w:p>
            <w:pPr>
              <w:pStyle w:val="Compact"/>
              <w:jc w:val="left"/>
            </w:pPr>
            <w:r>
              <w:rPr>
                <w:rStyle w:val="VerbatimChar"/>
              </w:rPr>
              <w:t xml:space="preserve">List&lt;vEmpresaDatosBancarios&gt;</w:t>
            </w:r>
          </w:p>
        </w:tc>
      </w:tr>
    </w:tbl>
    <w:p>
      <w:r>
        <w:pict>
          <v:rect style="width:0;height:1.5pt" o:hralign="center" o:hrstd="t" o:hr="t"/>
        </w:pict>
      </w:r>
    </w:p>
    <w:p>
      <w:pPr>
        <w:pStyle w:val="Heading1"/>
      </w:pPr>
      <w:r>
        <w:rPr>
          <w:b/>
          <w:bCs/>
        </w:rPr>
        <w:t xml:space="preserve">Diseño de Modelo de Datos</w:t>
      </w:r>
    </w:p>
    <w:p>
      <w:pPr>
        <w:pStyle w:val="Heading2"/>
      </w:pPr>
      <w:r>
        <w:rPr>
          <w:b/>
          <w:bCs/>
        </w:rPr>
        <w:t xml:space="preserve">1. Nueva tabla — dbo.ClienteDatosBancarios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dbo.ClienteDatosBancarios</w:t>
      </w:r>
      <w:r>
        <w:br/>
      </w:r>
      <w:r>
        <w:rPr>
          <w:rStyle w:val="NormalTok"/>
        </w:rPr>
        <w:t xml:space="preserve">(</w:t>
      </w:r>
      <w:r>
        <w:br/>
      </w:r>
      <w:r>
        <w:rPr>
          <w:rStyle w:val="NormalTok"/>
        </w:rPr>
        <w:t xml:space="preserve">    IdClienteDatosBancarios          uniqueidentifier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CONSTRAINT</w:t>
      </w:r>
      <w:r>
        <w:rPr>
          <w:rStyle w:val="NormalTok"/>
        </w:rPr>
        <w:t xml:space="preserve"> PK_ClienteDatosBancarios </w:t>
      </w:r>
      <w:r>
        <w:rPr>
          <w:rStyle w:val="KeywordTok"/>
        </w:rPr>
        <w:t xml:space="preserve">PRIMARY</w:t>
      </w:r>
      <w:r>
        <w:rPr>
          <w:rStyle w:val="NormalTok"/>
        </w:rPr>
        <w:t xml:space="preserve"> </w:t>
      </w:r>
      <w:r>
        <w:rPr>
          <w:rStyle w:val="KeywordTok"/>
        </w:rPr>
        <w:t xml:space="preserve">KEY</w:t>
      </w:r>
      <w:r>
        <w:br/>
      </w:r>
      <w:r>
        <w:rPr>
          <w:rStyle w:val="NormalTok"/>
        </w:rPr>
        <w:t xml:space="preserve">        </w:t>
      </w:r>
      <w:r>
        <w:rPr>
          <w:rStyle w:val="KeywordTok"/>
        </w:rPr>
        <w:t xml:space="preserve">CONSTRAINT</w:t>
      </w:r>
      <w:r>
        <w:rPr>
          <w:rStyle w:val="NormalTok"/>
        </w:rPr>
        <w:t xml:space="preserve"> DF_ClienteDatosBancarios_Id </w:t>
      </w:r>
      <w:r>
        <w:rPr>
          <w:rStyle w:val="KeywordTok"/>
        </w:rPr>
        <w:t xml:space="preserve">DEFAULT</w:t>
      </w:r>
      <w:r>
        <w:rPr>
          <w:rStyle w:val="NormalTok"/>
        </w:rPr>
        <w:t xml:space="preserve"> (NEWID()),  </w:t>
      </w:r>
      <w:r>
        <w:rPr>
          <w:rStyle w:val="CommentTok"/>
        </w:rPr>
        <w:t xml:space="preserve">-- NEWID (no NEWSEQUENTIALID): problemas con .NET Core (comentario JD)</w:t>
      </w:r>
      <w:r>
        <w:br/>
      </w:r>
      <w:r>
        <w:br/>
      </w:r>
      <w:r>
        <w:rPr>
          <w:rStyle w:val="NormalTok"/>
        </w:rPr>
        <w:t xml:space="preserve">    IdCliente                        uniqueidentifier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CONSTRAINT</w:t>
      </w:r>
      <w:r>
        <w:rPr>
          <w:rStyle w:val="NormalTok"/>
        </w:rPr>
        <w:t xml:space="preserve"> FK_ClienteDatosBancarios_Cliente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w:t>
      </w:r>
      <w:r>
        <w:rPr>
          <w:rStyle w:val="KeywordTok"/>
        </w:rPr>
        <w:t xml:space="preserve">REFERENCES</w:t>
      </w:r>
      <w:r>
        <w:rPr>
          <w:rStyle w:val="NormalTok"/>
        </w:rPr>
        <w:t xml:space="preserve"> dbo.Cliente(IdCliente),</w:t>
      </w:r>
      <w:r>
        <w:br/>
      </w:r>
      <w:r>
        <w:br/>
      </w:r>
      <w:r>
        <w:rPr>
          <w:rStyle w:val="NormalTok"/>
        </w:rPr>
        <w:t xml:space="preserve">    IdEmpresaDatosBancarios          uniqueidentifier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CONSTRAINT</w:t>
      </w:r>
      <w:r>
        <w:rPr>
          <w:rStyle w:val="NormalTok"/>
        </w:rPr>
        <w:t xml:space="preserve"> FK_ClienteDatosBancarios_EmpresaDatosBancarios</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w:t>
      </w:r>
      <w:r>
        <w:rPr>
          <w:rStyle w:val="KeywordTok"/>
        </w:rPr>
        <w:t xml:space="preserve">REFERENCES</w:t>
      </w:r>
      <w:r>
        <w:rPr>
          <w:rStyle w:val="NormalTok"/>
        </w:rPr>
        <w:t xml:space="preserve"> dbo.EmpresaDatosBancarios(IdEmpresaDatosBancarios),</w:t>
      </w:r>
      <w:r>
        <w:br/>
      </w:r>
      <w:r>
        <w:br/>
      </w:r>
      <w:r>
        <w:rPr>
          <w:rStyle w:val="NormalTok"/>
        </w:rPr>
        <w:t xml:space="preserve">    </w:t>
      </w:r>
      <w:r>
        <w:rPr>
          <w:rStyle w:val="CommentTok"/>
        </w:rPr>
        <w:t xml:space="preserve">-- Longitud provisional varchar(50); confirmar máximo con cliente (DUDA-015 abierta)</w:t>
      </w:r>
      <w:r>
        <w:br/>
      </w:r>
      <w:r>
        <w:rPr>
          <w:rStyle w:val="NormalTok"/>
        </w:rPr>
        <w:t xml:space="preserve">    CodigoValidador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mmentTok"/>
        </w:rPr>
        <w:t xml:space="preserve">-- Referencia bancaria calculada al asignar/actualizar CodigoValidador (RT-07)</w:t>
      </w:r>
      <w:r>
        <w:br/>
      </w:r>
      <w:r>
        <w:rPr>
          <w:rStyle w:val="NormalTok"/>
        </w:rPr>
        <w:t xml:space="preserve">    ReferenciaVigente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NULL</w:t>
      </w:r>
      <w:r>
        <w:rPr>
          <w:rStyle w:val="NormalTok"/>
        </w:rPr>
        <w:t xml:space="preserve">,</w:t>
      </w:r>
      <w:r>
        <w:br/>
      </w:r>
      <w:r>
        <w:rPr>
          <w:rStyle w:val="NormalTok"/>
        </w:rPr>
        <w:t xml:space="preserve">    FechaReferenciaVigente           datetime         </w:t>
      </w:r>
      <w:r>
        <w:rPr>
          <w:rStyle w:val="KeywordTok"/>
        </w:rPr>
        <w:t xml:space="preserve">NULL</w:t>
      </w:r>
      <w:r>
        <w:rPr>
          <w:rStyle w:val="NormalTok"/>
        </w:rPr>
        <w:t xml:space="preserve">,</w:t>
      </w:r>
      <w:r>
        <w:br/>
      </w:r>
      <w:r>
        <w:br/>
      </w:r>
      <w:r>
        <w:rPr>
          <w:rStyle w:val="NormalTok"/>
        </w:rPr>
        <w:t xml:space="preserve">    </w:t>
      </w:r>
      <w:r>
        <w:rPr>
          <w:rStyle w:val="CommentTok"/>
        </w:rPr>
        <w:t xml:space="preserve">-- Historial último cambio (OBS-014, sesión 10-JUN-2026) — GAP-B confirmado</w:t>
      </w:r>
      <w:r>
        <w:br/>
      </w:r>
      <w:r>
        <w:rPr>
          <w:rStyle w:val="NormalTok"/>
        </w:rPr>
        <w:t xml:space="preserve">    CodigoValidadorAnterior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NULL</w:t>
      </w:r>
      <w:r>
        <w:rPr>
          <w:rStyle w:val="NormalTok"/>
        </w:rPr>
        <w:t xml:space="preserve">,</w:t>
      </w:r>
      <w:r>
        <w:br/>
      </w:r>
      <w:r>
        <w:rPr>
          <w:rStyle w:val="NormalTok"/>
        </w:rPr>
        <w:t xml:space="preserve">    FechaModificacionAnterior        datetime         </w:t>
      </w:r>
      <w:r>
        <w:rPr>
          <w:rStyle w:val="KeywordTok"/>
        </w:rPr>
        <w:t xml:space="preserve">NULL</w:t>
      </w:r>
      <w:r>
        <w:rPr>
          <w:rStyle w:val="NormalTok"/>
        </w:rPr>
        <w:t xml:space="preserve">,</w:t>
      </w:r>
      <w:r>
        <w:br/>
      </w:r>
      <w:r>
        <w:rPr>
          <w:rStyle w:val="NormalTok"/>
        </w:rPr>
        <w:t xml:space="preserve">    IdUsuarioModificacionAnterior    uniqueidentifier </w:t>
      </w:r>
      <w:r>
        <w:rPr>
          <w:rStyle w:val="KeywordTok"/>
        </w:rPr>
        <w:t xml:space="preserve">NULL</w:t>
      </w:r>
      <w:r>
        <w:rPr>
          <w:rStyle w:val="NormalTok"/>
        </w:rPr>
        <w:t xml:space="preserve">,</w:t>
      </w:r>
      <w:r>
        <w:br/>
      </w:r>
      <w:r>
        <w:br/>
      </w:r>
      <w:r>
        <w:rPr>
          <w:rStyle w:val="NormalTok"/>
        </w:rPr>
        <w:t xml:space="preserve">    FechaRegistro                    datetime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CONSTRAINT</w:t>
      </w:r>
      <w:r>
        <w:rPr>
          <w:rStyle w:val="NormalTok"/>
        </w:rPr>
        <w:t xml:space="preserve"> DF_ClienteDatosBancarios_FechaRegistro </w:t>
      </w:r>
      <w:r>
        <w:rPr>
          <w:rStyle w:val="KeywordTok"/>
        </w:rPr>
        <w:t xml:space="preserve">DEFAULT</w:t>
      </w:r>
      <w:r>
        <w:rPr>
          <w:rStyle w:val="NormalTok"/>
        </w:rPr>
        <w:t xml:space="preserve"> (GETDATE()),</w:t>
      </w:r>
      <w:r>
        <w:br/>
      </w:r>
      <w:r>
        <w:rPr>
          <w:rStyle w:val="NormalTok"/>
        </w:rPr>
        <w:t xml:space="preserve">    FechaUltimaActualizacion         datetime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CONSTRAINT</w:t>
      </w:r>
      <w:r>
        <w:rPr>
          <w:rStyle w:val="NormalTok"/>
        </w:rPr>
        <w:t xml:space="preserve"> DF_ClienteDatosBancarios_FechaActualizacion </w:t>
      </w:r>
      <w:r>
        <w:rPr>
          <w:rStyle w:val="KeywordTok"/>
        </w:rPr>
        <w:t xml:space="preserve">DEFAULT</w:t>
      </w:r>
      <w:r>
        <w:rPr>
          <w:rStyle w:val="NormalTok"/>
        </w:rPr>
        <w:t xml:space="preserve"> (GETDATE()),</w:t>
      </w:r>
      <w:r>
        <w:br/>
      </w:r>
      <w:r>
        <w:rPr>
          <w:rStyle w:val="NormalTok"/>
        </w:rPr>
        <w:t xml:space="preserve">    </w:t>
      </w:r>
      <w:r>
        <w:rPr>
          <w:rStyle w:val="CommentTok"/>
        </w:rPr>
        <w:t xml:space="preserve">-- Usuario de la última modificación (par de FechaUltimaActualizacion)</w:t>
      </w:r>
      <w:r>
        <w:br/>
      </w:r>
      <w:r>
        <w:rPr>
          <w:rStyle w:val="NormalTok"/>
        </w:rPr>
        <w:t xml:space="preserve">    IdUsuarioModificacion            uniqueidentifier </w:t>
      </w:r>
      <w:r>
        <w:rPr>
          <w:rStyle w:val="KeywordTok"/>
        </w:rPr>
        <w:t xml:space="preserve">NULL</w:t>
      </w:r>
      <w:r>
        <w:rPr>
          <w:rStyle w:val="NormalTok"/>
        </w:rPr>
        <w:t xml:space="preserve">,</w:t>
      </w:r>
      <w:r>
        <w:br/>
      </w:r>
      <w:r>
        <w:rPr>
          <w:rStyle w:val="NormalTok"/>
        </w:rPr>
        <w:t xml:space="preserve">    Activo                           bit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CONSTRAINT</w:t>
      </w:r>
      <w:r>
        <w:rPr>
          <w:rStyle w:val="NormalTok"/>
        </w:rPr>
        <w:t xml:space="preserve"> DF_ClienteDatosBancarios_Activo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w:t>
      </w:r>
      <w:r>
        <w:br/>
      </w:r>
      <w:r>
        <w:br/>
      </w:r>
      <w:r>
        <w:rPr>
          <w:rStyle w:val="CommentTok"/>
        </w:rPr>
        <w:t xml:space="preserve">-- Unicidad solo entre asignaciones ACTIVAS: un cliente no puede tener la</w:t>
      </w:r>
      <w:r>
        <w:br/>
      </w:r>
      <w:r>
        <w:rPr>
          <w:rStyle w:val="CommentTok"/>
        </w:rPr>
        <w:t xml:space="preserve">-- misma cuenta activa dos veces. La baja lógica (Activo = 0) libera el par</w:t>
      </w:r>
      <w:r>
        <w:br/>
      </w:r>
      <w:r>
        <w:rPr>
          <w:rStyle w:val="CommentTok"/>
        </w:rPr>
        <w:t xml:space="preserve">-- y permite re-asignar la cuenta al mismo cliente (RT-02). Un CONSTRAINT</w:t>
      </w:r>
      <w:r>
        <w:br/>
      </w:r>
      <w:r>
        <w:rPr>
          <w:rStyle w:val="CommentTok"/>
        </w:rPr>
        <w:t xml:space="preserve">-- UNIQUE inline no admite WHERE en SQL Server, por eso se usa índice filtrado.</w:t>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UQ_ClienteDatosBancarios_ClienteCuenta</w:t>
      </w:r>
      <w:r>
        <w:br/>
      </w:r>
      <w:r>
        <w:rPr>
          <w:rStyle w:val="NormalTok"/>
        </w:rPr>
        <w:t xml:space="preserve">    </w:t>
      </w:r>
      <w:r>
        <w:rPr>
          <w:rStyle w:val="KeywordTok"/>
        </w:rPr>
        <w:t xml:space="preserve">ON</w:t>
      </w:r>
      <w:r>
        <w:rPr>
          <w:rStyle w:val="NormalTok"/>
        </w:rPr>
        <w:t xml:space="preserve"> dbo.ClienteDatosBancarios (IdCliente, IdEmpresaDatosBancarios)</w:t>
      </w:r>
      <w:r>
        <w:br/>
      </w:r>
      <w:r>
        <w:rPr>
          <w:rStyle w:val="NormalTok"/>
        </w:rPr>
        <w:t xml:space="preserve">    </w:t>
      </w:r>
      <w:r>
        <w:rPr>
          <w:rStyle w:val="KeywordTok"/>
        </w:rPr>
        <w:t xml:space="preserve">WHERE</w:t>
      </w:r>
      <w:r>
        <w:rPr>
          <w:rStyle w:val="NormalTok"/>
        </w:rPr>
        <w:t xml:space="preserve"> Activo </w:t>
      </w:r>
      <w:r>
        <w:rPr>
          <w:rStyle w:val="OperatorTok"/>
        </w:rPr>
        <w:t xml:space="preserve">=</w:t>
      </w:r>
      <w:r>
        <w:rPr>
          <w:rStyle w:val="NormalTok"/>
        </w:rPr>
        <w:t xml:space="preserve"> </w:t>
      </w:r>
      <w:r>
        <w:rPr>
          <w:rStyle w:val="DecValTok"/>
        </w:rPr>
        <w:t xml:space="preserve">1</w:t>
      </w:r>
      <w:r>
        <w:rPr>
          <w:rStyle w:val="NormalTok"/>
        </w:rPr>
        <w:t xml:space="preserve">;</w:t>
      </w:r>
    </w:p>
    <w:p>
      <w:pPr>
        <w:pStyle w:val="Heading2"/>
      </w:pPr>
      <w:r>
        <w:rPr>
          <w:b/>
          <w:bCs/>
        </w:rPr>
        <w:t xml:space="preserve">2. Modificaciones en BD existente</w:t>
      </w:r>
    </w:p>
    <w:p>
      <w:pPr>
        <w:pStyle w:val="FirstParagraph"/>
      </w:pPr>
      <w:r>
        <w:t xml:space="preserve">No se modifican tablas existentes. Las tablas</w:t>
      </w:r>
      <w:r>
        <w:t xml:space="preserve"> </w:t>
      </w:r>
      <w:r>
        <w:rPr>
          <w:rStyle w:val="VerbatimChar"/>
        </w:rPr>
        <w:t xml:space="preserve">EmpresaDatosBancarios</w:t>
      </w:r>
      <w:r>
        <w:t xml:space="preserve">,</w:t>
      </w:r>
      <w:r>
        <w:t xml:space="preserve"> </w:t>
      </w:r>
      <w:r>
        <w:rPr>
          <w:rStyle w:val="VerbatimChar"/>
        </w:rPr>
        <w:t xml:space="preserve">DatosBancarios</w:t>
      </w:r>
      <w:r>
        <w:t xml:space="preserve">,</w:t>
      </w:r>
      <w:r>
        <w:t xml:space="preserve"> </w:t>
      </w:r>
      <w:r>
        <w:rPr>
          <w:rStyle w:val="VerbatimChar"/>
        </w:rPr>
        <w:t xml:space="preserve">catBanco</w:t>
      </w:r>
      <w:r>
        <w:t xml:space="preserve"> </w:t>
      </w:r>
      <w:r>
        <w:t xml:space="preserve">y</w:t>
      </w:r>
      <w:r>
        <w:t xml:space="preserve"> </w:t>
      </w:r>
      <w:r>
        <w:rPr>
          <w:rStyle w:val="VerbatimChar"/>
        </w:rPr>
        <w:t xml:space="preserve">catMoneda</w:t>
      </w:r>
      <w:r>
        <w:t xml:space="preserve"> </w:t>
      </w:r>
      <w:r>
        <w:t xml:space="preserve">se usan en modo lectura (la proyección LINQ</w:t>
      </w:r>
      <w:r>
        <w:t xml:space="preserve"> </w:t>
      </w:r>
      <w:r>
        <w:rPr>
          <w:rStyle w:val="VerbatimChar"/>
        </w:rPr>
        <w:t xml:space="preserve">vClienteDatosBancarios</w:t>
      </w:r>
      <w:r>
        <w:t xml:space="preserve">, en</w:t>
      </w:r>
      <w:r>
        <w:t xml:space="preserve"> </w:t>
      </w:r>
      <w:r>
        <w:rPr>
          <w:rStyle w:val="VerbatimChar"/>
        </w:rPr>
        <w:t xml:space="preserve">vClienteDatosBancariosBO</w:t>
      </w:r>
      <w:r>
        <w:t xml:space="preserve">, las une en código — no vista SQL, comentario JD).</w:t>
      </w:r>
    </w:p>
    <w:p>
      <w:pPr>
        <w:pStyle w:val="BodyText"/>
      </w:pPr>
      <w:r>
        <w:rPr>
          <w:b/>
          <w:bCs/>
        </w:rPr>
        <w:t xml:space="preserve">Flujo A — Migración inicial Legacy → PQF2 (script SQL de una sola ejecución — no SSIS, comentario JD)</w:t>
      </w:r>
    </w:p>
    <w:p>
      <w:pPr>
        <w:pStyle w:val="BodyText"/>
      </w:pPr>
      <w:r>
        <w:t xml:space="preserve">Un script SQL (ejecutado una sola vez) extrae cuentas bancarias asignadas por cliente y sus Códigos Validadores desde PConnect (vía linked server) y los carga en</w:t>
      </w:r>
      <w:r>
        <w:t xml:space="preserve"> </w:t>
      </w:r>
      <w:r>
        <w:rPr>
          <w:rStyle w:val="VerbatimChar"/>
        </w:rPr>
        <w:t xml:space="preserve">ClienteDatosBancarios</w:t>
      </w:r>
      <w:r>
        <w:t xml:space="preserve"> </w:t>
      </w:r>
      <w:r>
        <w:t xml:space="preserve">en ProquifaDotNet. Sin esta carga, la pantalla</w:t>
      </w:r>
      <w:r>
        <w:t xml:space="preserve"> </w:t>
      </w:r>
      <w:r>
        <w:t xml:space="preserve">“Referencia de Pago”</w:t>
      </w:r>
      <w:r>
        <w:t xml:space="preserve"> </w:t>
      </w:r>
      <w:r>
        <w:t xml:space="preserve">aparecería vacía para todos los clientes existentes. JD descartó un paquete SSIS por tratarse de una sola ejecución. Pendiente crear tarea formal (MIG-DATOS).</w:t>
      </w:r>
    </w:p>
    <w:tbl>
      <w:tblPr>
        <w:tblStyle w:val="Table"/>
        <w:tblW w:type="pct" w:w="5000"/>
        <w:tblLayout w:type="fixed"/>
        <w:tblLook w:firstRow="1" w:lastRow="0" w:firstColumn="0" w:lastColumn="0" w:noHBand="0" w:noVBand="0" w:val="0020"/>
      </w:tblPr>
      <w:tblGrid>
        <w:gridCol w:w="1415"/>
        <w:gridCol w:w="1611"/>
        <w:gridCol w:w="6334"/>
      </w:tblGrid>
      <w:tr>
        <w:trPr>
          <w:tblHeader w:val="on"/>
        </w:trPr>
        <w:tc>
          <w:tcPr>
            <w:tcW w:w="1415" w:type="dxa"/>
            <w:shd w:val="clear" w:color="auto" w:fill="434343"/>
          </w:tcPr>
          <w:p>
            <w:pPr>
              <w:pStyle w:val="Compact"/>
              <w:jc w:val="left"/>
            </w:pPr>
            <w:r>
              <w:rPr>
                <w:b/>
                <w:color w:val="FFFFFF"/>
              </w:rPr>
              <w:t xml:space="preserve">Campo PConnect (</w:t>
            </w:r>
            <w:r>
              <w:rPr>
                <w:b/>
                <w:color w:val="FFFFFF"/>
                <w:rStyle w:val="VerbatimChar"/>
              </w:rPr>
              <w:t xml:space="preserve">CuentaCliente</w:t>
            </w:r>
            <w:r>
              <w:rPr>
                <w:b/>
                <w:color w:val="FFFFFF"/>
              </w:rPr>
              <w:t xml:space="preserve">)</w:t>
            </w:r>
          </w:p>
        </w:tc>
        <w:tc>
          <w:tcPr>
            <w:tcW w:w="1611" w:type="dxa"/>
            <w:shd w:val="clear" w:color="auto" w:fill="434343"/>
          </w:tcPr>
          <w:p>
            <w:pPr>
              <w:pStyle w:val="Compact"/>
              <w:jc w:val="left"/>
            </w:pPr>
            <w:r>
              <w:rPr>
                <w:b/>
                <w:color w:val="FFFFFF"/>
              </w:rPr>
              <w:t xml:space="preserve">Campo PQF2 (</w:t>
            </w:r>
            <w:r>
              <w:rPr>
                <w:b/>
                <w:color w:val="FFFFFF"/>
                <w:rStyle w:val="VerbatimChar"/>
              </w:rPr>
              <w:t xml:space="preserve">ClienteDatosBancarios</w:t>
            </w:r>
            <w:r>
              <w:rPr>
                <w:b/>
                <w:color w:val="FFFFFF"/>
              </w:rPr>
              <w:t xml:space="preserve">)</w:t>
            </w:r>
          </w:p>
        </w:tc>
        <w:tc>
          <w:tcPr>
            <w:tcW w:w="6334" w:type="dxa"/>
            <w:shd w:val="clear" w:color="auto" w:fill="434343"/>
          </w:tcPr>
          <w:p>
            <w:pPr>
              <w:pStyle w:val="Compact"/>
              <w:jc w:val="left"/>
            </w:pPr>
            <w:r>
              <w:rPr>
                <w:b/>
                <w:color w:val="FFFFFF"/>
              </w:rPr>
              <w:t xml:space="preserve">Notas</w:t>
            </w:r>
          </w:p>
        </w:tc>
      </w:tr>
      <w:tr>
        <w:tc>
          <w:tcPr>
            <w:tcW w:w="1415" w:type="dxa"/>
          </w:tcPr>
          <w:tcPr/>
          <w:p>
            <w:pPr>
              <w:pStyle w:val="Compact"/>
              <w:jc w:val="left"/>
            </w:pPr>
            <w:r>
              <w:rPr>
                <w:rStyle w:val="VerbatimChar"/>
              </w:rPr>
              <w:t xml:space="preserve">claveCliente</w:t>
            </w:r>
            <w:r>
              <w:t xml:space="preserve"> </w:t>
            </w:r>
            <w:r>
              <w:t xml:space="preserve">(int)</w:t>
            </w:r>
          </w:p>
        </w:tc>
        <w:tc>
          <w:tcPr>
            <w:tcW w:w="1611" w:type="dxa"/>
          </w:tcPr>
          <w:tcPr/>
          <w:p>
            <w:pPr>
              <w:pStyle w:val="Compact"/>
              <w:jc w:val="left"/>
            </w:pPr>
            <w:r>
              <w:rPr>
                <w:rStyle w:val="VerbatimChar"/>
              </w:rPr>
              <w:t xml:space="preserve">IdCliente</w:t>
            </w:r>
            <w:r>
              <w:t xml:space="preserve"> </w:t>
            </w:r>
            <w:r>
              <w:t xml:space="preserve">(uniqueidentifier)</w:t>
            </w:r>
          </w:p>
        </w:tc>
        <w:tc>
          <w:tcPr>
            <w:tcW w:w="6334" w:type="dxa"/>
          </w:tcPr>
          <w:tcPr/>
          <w:p>
            <w:pPr>
              <w:pStyle w:val="Compact"/>
              <w:jc w:val="left"/>
            </w:pPr>
            <w:r>
              <w:t xml:space="preserve">Mapeo vía</w:t>
            </w:r>
            <w:r>
              <w:t xml:space="preserve"> </w:t>
            </w:r>
            <w:r>
              <w:rPr>
                <w:rStyle w:val="VerbatimChar"/>
              </w:rPr>
              <w:t xml:space="preserve">PConnectProquifaDotNet.dbo.Clientes</w:t>
            </w:r>
            <w:r>
              <w:t xml:space="preserve">:</w:t>
            </w:r>
            <w:r>
              <w:t xml:space="preserve"> </w:t>
            </w:r>
            <w:r>
              <w:rPr>
                <w:rStyle w:val="VerbatimChar"/>
              </w:rPr>
              <w:t xml:space="preserve">WHERE ClienteLegacy = claveCliente</w:t>
            </w:r>
            <w:r>
              <w:t xml:space="preserve"> </w:t>
            </w:r>
            <w:r>
              <w:t xml:space="preserve">retorna</w:t>
            </w:r>
            <w:r>
              <w:t xml:space="preserve"> </w:t>
            </w:r>
            <w:r>
              <w:rPr>
                <w:rStyle w:val="VerbatimChar"/>
              </w:rPr>
              <w:t xml:space="preserve">ClientePQF</w:t>
            </w:r>
            <w:r>
              <w:t xml:space="preserve"> </w:t>
            </w:r>
            <w:r>
              <w:t xml:space="preserve">(GUID de PQF2). GAP-E cerrado.</w:t>
            </w:r>
          </w:p>
        </w:tc>
      </w:tr>
      <w:tr>
        <w:tc>
          <w:tcPr>
            <w:tcW w:w="1415" w:type="dxa"/>
          </w:tcPr>
          <w:tcPr/>
          <w:p>
            <w:pPr>
              <w:pStyle w:val="Compact"/>
              <w:jc w:val="left"/>
            </w:pPr>
            <w:r>
              <w:rPr>
                <w:rStyle w:val="VerbatimChar"/>
              </w:rPr>
              <w:t xml:space="preserve">idCuenta</w:t>
            </w:r>
          </w:p>
        </w:tc>
        <w:tc>
          <w:tcPr>
            <w:tcW w:w="1611" w:type="dxa"/>
          </w:tcPr>
          <w:tcPr/>
          <w:p>
            <w:pPr>
              <w:pStyle w:val="Compact"/>
              <w:jc w:val="left"/>
            </w:pPr>
            <w:r>
              <w:rPr>
                <w:rStyle w:val="VerbatimChar"/>
              </w:rPr>
              <w:t xml:space="preserve">IdEmpresaDatosBancarios</w:t>
            </w:r>
          </w:p>
        </w:tc>
        <w:tc>
          <w:tcPr>
            <w:tcW w:w="6334" w:type="dxa"/>
          </w:tcPr>
          <w:tcPr/>
          <w:p>
            <w:pPr>
              <w:pStyle w:val="Compact"/>
              <w:jc w:val="left"/>
            </w:pPr>
            <w:r>
              <w:t xml:space="preserve">Mapeo por CLABE (verificado live 1-jul):</w:t>
            </w:r>
            <w:r>
              <w:t xml:space="preserve"> </w:t>
            </w:r>
            <w:r>
              <w:rPr>
                <w:rStyle w:val="VerbatimChar"/>
              </w:rPr>
              <w:t xml:space="preserve">CuentaCliente.idCuenta → CuentaBanco.Clabe → DatosBancarios.Clabe → EmpresaDatosBancarios.IdEmpresaDatosBancarios</w:t>
            </w:r>
            <w:r>
              <w:t xml:space="preserve">. Las 4 cuentas realmente usadas por las 7,075 asignaciones resuelven a exactamente un</w:t>
            </w:r>
            <w:r>
              <w:t xml:space="preserve"> </w:t>
            </w:r>
            <w:r>
              <w:rPr>
                <w:rStyle w:val="VerbatimChar"/>
              </w:rPr>
              <w:t xml:space="preserve">IdEmpresaDatosBancarios</w:t>
            </w:r>
            <w:r>
              <w:t xml:space="preserve"> </w:t>
            </w:r>
            <w:r>
              <w:t xml:space="preserve">(0 sin match, 0 ambiguo).</w:t>
            </w:r>
            <w:r>
              <w:t xml:space="preserve"> </w:t>
            </w:r>
            <w:r>
              <w:rPr>
                <w:b/>
                <w:bCs/>
              </w:rPr>
              <w:t xml:space="preserve">Caveats SSIS:</w:t>
            </w:r>
            <w:r>
              <w:t xml:space="preserve"> </w:t>
            </w:r>
            <w:r>
              <w:t xml:space="preserve">(a) la collation difiere (Legacy</w:t>
            </w:r>
            <w:r>
              <w:t xml:space="preserve"> </w:t>
            </w:r>
            <w:r>
              <w:rPr>
                <w:rStyle w:val="VerbatimChar"/>
              </w:rPr>
              <w:t xml:space="preserve">SQL_Latin1_General_CP1_CI_AS</w:t>
            </w:r>
            <w:r>
              <w:t xml:space="preserve"> </w:t>
            </w:r>
            <w:r>
              <w:t xml:space="preserve">vs PQF2</w:t>
            </w:r>
            <w:r>
              <w:t xml:space="preserve"> </w:t>
            </w:r>
            <w:r>
              <w:rPr>
                <w:rStyle w:val="VerbatimChar"/>
              </w:rPr>
              <w:t xml:space="preserve">Modern_Spanish_CI_AS</w:t>
            </w:r>
            <w:r>
              <w:t xml:space="preserve">) → aplicar</w:t>
            </w:r>
            <w:r>
              <w:t xml:space="preserve"> </w:t>
            </w:r>
            <w:r>
              <w:rPr>
                <w:rStyle w:val="VerbatimChar"/>
              </w:rPr>
              <w:t xml:space="preserve">COLLATE DATABASE_DEFAULT</w:t>
            </w:r>
            <w:r>
              <w:t xml:space="preserve"> </w:t>
            </w:r>
            <w:r>
              <w:t xml:space="preserve">en el join por Clabe; (b)</w:t>
            </w:r>
            <w:r>
              <w:t xml:space="preserve"> </w:t>
            </w:r>
            <w:r>
              <w:rPr>
                <w:rStyle w:val="VerbatimChar"/>
              </w:rPr>
              <w:t xml:space="preserve">CuentaBanco</w:t>
            </w:r>
            <w:r>
              <w:t xml:space="preserve"> </w:t>
            </w:r>
            <w:r>
              <w:t xml:space="preserve">tiene 2 CLABEs duplicadas a nivel global (fuera de las 4 en uso) → si una Clabe resuelve a 0 o &gt;1 cuentas PQF2, registrar error de fila y omitir sin cancelar el paquete.</w:t>
            </w:r>
          </w:p>
        </w:tc>
      </w:tr>
      <w:tr>
        <w:tc>
          <w:tcPr>
            <w:tcW w:w="1415" w:type="dxa"/>
          </w:tcPr>
          <w:tcPr/>
          <w:p>
            <w:pPr>
              <w:pStyle w:val="Compact"/>
              <w:jc w:val="left"/>
            </w:pPr>
            <w:r>
              <w:rPr>
                <w:rStyle w:val="VerbatimChar"/>
              </w:rPr>
              <w:t xml:space="preserve">CodValidador</w:t>
            </w:r>
          </w:p>
        </w:tc>
        <w:tc>
          <w:tcPr>
            <w:tcW w:w="1611" w:type="dxa"/>
          </w:tcPr>
          <w:tcPr/>
          <w:p>
            <w:pPr>
              <w:pStyle w:val="Compact"/>
              <w:jc w:val="left"/>
            </w:pPr>
            <w:r>
              <w:rPr>
                <w:rStyle w:val="VerbatimChar"/>
              </w:rPr>
              <w:t xml:space="preserve">CodigoValidador</w:t>
            </w:r>
          </w:p>
        </w:tc>
        <w:tc>
          <w:tcPr>
            <w:tcW w:w="6334" w:type="dxa"/>
          </w:tcPr>
          <w:tcPr/>
          <w:p>
            <w:pPr>
              <w:pStyle w:val="Compact"/>
              <w:jc w:val="left"/>
            </w:pPr>
            <w:r>
              <w:t xml:space="preserve">Nombre real confirmado en PConnect:</w:t>
            </w:r>
            <w:r>
              <w:t xml:space="preserve"> </w:t>
            </w:r>
            <w:r>
              <w:rPr>
                <w:rStyle w:val="VerbatimChar"/>
              </w:rPr>
              <w:t xml:space="preserve">CodValidador</w:t>
            </w:r>
            <w:r>
              <w:t xml:space="preserve">.</w:t>
            </w:r>
            <w:r>
              <w:t xml:space="preserve"> </w:t>
            </w:r>
            <w:r>
              <w:rPr>
                <w:rStyle w:val="VerbatimChar"/>
              </w:rPr>
              <w:t xml:space="preserve">CodValidar</w:t>
            </w:r>
            <w:r>
              <w:t xml:space="preserve"> </w:t>
            </w:r>
            <w:r>
              <w:t xml:space="preserve">en P72 S7 es typo. GAP-C cerrado.</w:t>
            </w:r>
          </w:p>
        </w:tc>
      </w:tr>
    </w:tbl>
    <w:p>
      <w:pPr>
        <w:pStyle w:val="BodyText"/>
      </w:pPr>
      <w:r>
        <w:t xml:space="preserve">Post-carga: calcular</w:t>
      </w:r>
      <w:r>
        <w:t xml:space="preserve"> </w:t>
      </w:r>
      <w:r>
        <w:rPr>
          <w:rStyle w:val="VerbatimChar"/>
        </w:rPr>
        <w:t xml:space="preserve">ReferenciaVigente</w:t>
      </w:r>
      <w:r>
        <w:t xml:space="preserve"> </w:t>
      </w:r>
      <w:r>
        <w:t xml:space="preserve">para cada registro migrado invocando</w:t>
      </w:r>
      <w:r>
        <w:t xml:space="preserve"> </w:t>
      </w:r>
      <w:r>
        <w:rPr>
          <w:rStyle w:val="VerbatimChar"/>
        </w:rPr>
        <w:t xml:space="preserve">BankReferenceBO</w:t>
      </w:r>
      <w:r>
        <w:t xml:space="preserve">.</w:t>
      </w:r>
    </w:p>
    <w:p>
      <w:pPr>
        <w:pStyle w:val="BodyText"/>
      </w:pPr>
      <w:r>
        <w:rPr>
          <w:b/>
          <w:bCs/>
        </w:rPr>
        <w:t xml:space="preserve">Flujo B — Sincronización ongoing PQF2 → Legacy (paquete SSIS existente, propiedad del cliente — SE MANTIENE, confirmado 4-jul)</w:t>
      </w:r>
    </w:p>
    <w:p>
      <w:pPr>
        <w:pStyle w:val="BodyText"/>
      </w:pPr>
      <w:r>
        <w:t xml:space="preserve">Unidireccional: cambios en</w:t>
      </w:r>
      <w:r>
        <w:t xml:space="preserve"> </w:t>
      </w:r>
      <w:r>
        <w:rPr>
          <w:rStyle w:val="VerbatimChar"/>
        </w:rPr>
        <w:t xml:space="preserve">ClienteDatosBancarios</w:t>
      </w:r>
      <w:r>
        <w:t xml:space="preserve"> </w:t>
      </w:r>
      <w:r>
        <w:t xml:space="preserve">PQF2 (cuentas asignadas +</w:t>
      </w:r>
      <w:r>
        <w:t xml:space="preserve"> </w:t>
      </w:r>
      <w:r>
        <w:rPr>
          <w:rStyle w:val="VerbatimChar"/>
        </w:rPr>
        <w:t xml:space="preserve">CodigoValidador</w:t>
      </w:r>
      <w:r>
        <w:t xml:space="preserve">) se transfieren a Legacy. Legacy no sobreescribe PQF2. Solo aplica a clientes México — Perú excluido. El paquete SSIS existente en PConnect es</w:t>
      </w:r>
      <w:r>
        <w:t xml:space="preserve"> </w:t>
      </w:r>
      <w:r>
        <w:rPr>
          <w:b/>
          <w:bCs/>
        </w:rPr>
        <w:t xml:space="preserve">propiedad del cliente</w:t>
      </w:r>
      <w:r>
        <w:t xml:space="preserve"> </w:t>
      </w:r>
      <w:r>
        <w:t xml:space="preserve">y se extiende (no se reemplaza) mapeando a</w:t>
      </w:r>
      <w:r>
        <w:t xml:space="preserve"> </w:t>
      </w:r>
      <w:r>
        <w:rPr>
          <w:b/>
          <w:bCs/>
        </w:rPr>
        <w:t xml:space="preserve">columnas Legacy ya existentes</w:t>
      </w:r>
      <w:r>
        <w:t xml:space="preserve">:</w:t>
      </w:r>
      <w:r>
        <w:t xml:space="preserve"> </w:t>
      </w:r>
      <w:r>
        <w:rPr>
          <w:rStyle w:val="VerbatimChar"/>
        </w:rPr>
        <w:t xml:space="preserve">CuentaCliente.CodValidador</w:t>
      </w:r>
      <w:r>
        <w:t xml:space="preserve"> </w:t>
      </w:r>
      <w:r>
        <w:t xml:space="preserve">ya existe y la asignación cliente-cuenta es la propia fila de</w:t>
      </w:r>
      <w:r>
        <w:t xml:space="preserve"> </w:t>
      </w:r>
      <w:r>
        <w:rPr>
          <w:rStyle w:val="VerbatimChar"/>
        </w:rPr>
        <w:t xml:space="preserve">CuentaCliente</w:t>
      </w:r>
      <w:r>
        <w:t xml:space="preserve">.</w:t>
      </w:r>
      <w:r>
        <w:t xml:space="preserve"> </w:t>
      </w:r>
      <w:r>
        <w:rPr>
          <w:b/>
          <w:bCs/>
        </w:rPr>
        <w:t xml:space="preserve">No se modifica el esquema de Legacy — sin</w:t>
      </w:r>
      <w:r>
        <w:rPr>
          <w:b/>
          <w:bCs/>
        </w:rPr>
        <w:t xml:space="preserve"> </w:t>
      </w:r>
      <w:r>
        <w:rPr>
          <w:rStyle w:val="VerbatimChar"/>
          <w:b/>
          <w:bCs/>
        </w:rPr>
        <w:t xml:space="preserve">ALTER TABLE</w:t>
      </w:r>
      <w:r>
        <w:t xml:space="preserve"> </w:t>
      </w:r>
      <w:r>
        <w:t xml:space="preserve">(comentario JD: Legacy no se modifica); cualquier ajuste estructural del lado Legacy o del paquete SSIS lo coordina y ejecuta el cliente. Manejo de errores por fila obligatorio sin cancelar el paquete completo.</w:t>
      </w:r>
    </w:p>
    <w:p>
      <w:r>
        <w:pict>
          <v:rect style="width:0;height:1.5pt" o:hralign="center" o:hrstd="t" o:hr="t"/>
        </w:pict>
      </w:r>
    </w:p>
    <w:p>
      <w:pPr>
        <w:pStyle w:val="Heading1"/>
      </w:pPr>
      <w:r>
        <w:rPr>
          <w:b/>
          <w:bCs/>
        </w:rPr>
        <w:t xml:space="preserve">Impacto Técnico</w:t>
      </w:r>
    </w:p>
    <w:p>
      <w:pPr>
        <w:pStyle w:val="Heading2"/>
      </w:pPr>
      <w:r>
        <w:rPr>
          <w:b/>
          <w:bCs/>
        </w:rPr>
        <w:t xml:space="preserve">1. Impacto en código existente</w:t>
      </w:r>
    </w:p>
    <w:p>
      <w:pPr>
        <w:pStyle w:val="FirstParagraph"/>
      </w:pPr>
      <w:r>
        <w:rPr>
          <w:b/>
          <w:bCs/>
        </w:rPr>
        <w:t xml:space="preserve">Repositorio ProquifaDotNet</w:t>
      </w:r>
    </w:p>
    <w:tbl>
      <w:tblPr>
        <w:tblStyle w:val="Table"/>
        <w:tblW w:type="pct" w:w="5000"/>
        <w:tblLayout w:type="fixed"/>
        <w:tblLook w:firstRow="1" w:lastRow="0" w:firstColumn="0" w:lastColumn="0" w:noHBand="0" w:noVBand="0" w:val="0020"/>
      </w:tblPr>
      <w:tblGrid>
        <w:gridCol w:w="1040"/>
        <w:gridCol w:w="2562"/>
        <w:gridCol w:w="5758"/>
      </w:tblGrid>
      <w:tr>
        <w:trPr>
          <w:tblHeader w:val="on"/>
        </w:trPr>
        <w:tc>
          <w:tcPr>
            <w:tcW w:w="1040" w:type="dxa"/>
            <w:shd w:val="clear" w:color="auto" w:fill="434343"/>
          </w:tcPr>
          <w:p>
            <w:pPr>
              <w:pStyle w:val="Compact"/>
              <w:jc w:val="left"/>
            </w:pPr>
            <w:r>
              <w:rPr>
                <w:b/>
                <w:color w:val="FFFFFF"/>
              </w:rPr>
              <w:t xml:space="preserve">#</w:t>
            </w:r>
          </w:p>
        </w:tc>
        <w:tc>
          <w:tcPr>
            <w:tcW w:w="2562" w:type="dxa"/>
            <w:shd w:val="clear" w:color="auto" w:fill="434343"/>
          </w:tcPr>
          <w:p>
            <w:pPr>
              <w:pStyle w:val="Compact"/>
              <w:jc w:val="left"/>
            </w:pPr>
            <w:r>
              <w:rPr>
                <w:b/>
                <w:color w:val="FFFFFF"/>
              </w:rPr>
              <w:t xml:space="preserve">Archivo</w:t>
            </w:r>
          </w:p>
        </w:tc>
        <w:tc>
          <w:tcPr>
            <w:tcW w:w="5758" w:type="dxa"/>
            <w:shd w:val="clear" w:color="auto" w:fill="434343"/>
          </w:tcPr>
          <w:p>
            <w:pPr>
              <w:pStyle w:val="Compact"/>
              <w:jc w:val="left"/>
            </w:pPr>
            <w:r>
              <w:rPr>
                <w:b/>
                <w:color w:val="FFFFFF"/>
              </w:rPr>
              <w:t xml:space="preserve">Tipo de cambio</w:t>
            </w:r>
          </w:p>
        </w:tc>
      </w:tr>
      <w:tr>
        <w:tc>
          <w:tcPr>
            <w:tcW w:w="1040" w:type="dxa"/>
          </w:tcPr>
          <w:tcPr/>
          <w:p>
            <w:pPr>
              <w:pStyle w:val="Compact"/>
              <w:jc w:val="left"/>
            </w:pPr>
            <w:r>
              <w:t xml:space="preserve">1</w:t>
            </w:r>
          </w:p>
        </w:tc>
        <w:tc>
          <w:tcPr>
            <w:tcW w:w="2562" w:type="dxa"/>
          </w:tcPr>
          <w:tcPr/>
          <w:p>
            <w:pPr>
              <w:pStyle w:val="Compact"/>
              <w:jc w:val="left"/>
            </w:pPr>
            <w:r>
              <w:t xml:space="preserve">BD:</w:t>
            </w:r>
            <w:r>
              <w:t xml:space="preserve"> </w:t>
            </w:r>
            <w:r>
              <w:rPr>
                <w:rStyle w:val="VerbatimChar"/>
              </w:rPr>
              <w:t xml:space="preserve">dbo.ClienteDatosBancarios</w:t>
            </w:r>
          </w:p>
        </w:tc>
        <w:tc>
          <w:tcPr>
            <w:tcW w:w="5758" w:type="dxa"/>
          </w:tcPr>
          <w:tcPr/>
          <w:p>
            <w:pPr>
              <w:pStyle w:val="Compact"/>
              <w:jc w:val="left"/>
            </w:pPr>
            <w:r>
              <w:t xml:space="preserve">Crear tabla nueva (DDL arriba)</w:t>
            </w:r>
          </w:p>
        </w:tc>
      </w:tr>
      <w:tr>
        <w:tc>
          <w:tcPr>
            <w:tcW w:w="1040" w:type="dxa"/>
          </w:tcPr>
          <w:tcPr/>
          <w:p>
            <w:pPr>
              <w:pStyle w:val="Compact"/>
              <w:jc w:val="left"/>
            </w:pPr>
            <w:r>
              <w:t xml:space="preserve">2</w:t>
            </w:r>
          </w:p>
        </w:tc>
        <w:tc>
          <w:tcPr>
            <w:tcW w:w="2562" w:type="dxa"/>
          </w:tcPr>
          <w:tcPr/>
          <w:p>
            <w:pPr>
              <w:pStyle w:val="Compact"/>
              <w:jc w:val="left"/>
            </w:pPr>
            <w:r>
              <w:rPr>
                <w:rStyle w:val="VerbatimChar"/>
              </w:rPr>
              <w:t xml:space="preserve">Logic.Pqf.Catalogos\Clientes\DatosBancarios\ClienteDatosBancariosBO.cs</w:t>
            </w:r>
          </w:p>
        </w:tc>
        <w:tc>
          <w:tcPr>
            <w:tcW w:w="5758" w:type="dxa"/>
          </w:tcPr>
          <w:tcPr/>
          <w:p>
            <w:pPr>
              <w:pStyle w:val="Compact"/>
              <w:jc w:val="left"/>
            </w:pPr>
            <w:r>
              <w:t xml:space="preserve">Clase nueva — CRUD de relación cliente-cuenta-CódigoValidador; invoca</w:t>
            </w:r>
            <w:r>
              <w:t xml:space="preserve"> </w:t>
            </w:r>
            <w:r>
              <w:rPr>
                <w:rStyle w:val="VerbatimChar"/>
              </w:rPr>
              <w:t xml:space="preserve">BankReferenceBO</w:t>
            </w:r>
            <w:r>
              <w:t xml:space="preserve"> </w:t>
            </w:r>
            <w:r>
              <w:t xml:space="preserve">y persiste</w:t>
            </w:r>
            <w:r>
              <w:t xml:space="preserve"> </w:t>
            </w:r>
            <w:r>
              <w:rPr>
                <w:rStyle w:val="VerbatimChar"/>
              </w:rPr>
              <w:t xml:space="preserve">ReferenciaVigente</w:t>
            </w:r>
            <w:r>
              <w:t xml:space="preserve"> </w:t>
            </w:r>
            <w:r>
              <w:t xml:space="preserve">en cada escritura</w:t>
            </w:r>
          </w:p>
        </w:tc>
      </w:tr>
      <w:tr>
        <w:tc>
          <w:tcPr>
            <w:tcW w:w="1040" w:type="dxa"/>
          </w:tcPr>
          <w:tcPr/>
          <w:p>
            <w:pPr>
              <w:pStyle w:val="Compact"/>
              <w:jc w:val="left"/>
            </w:pPr>
            <w:r>
              <w:t xml:space="preserve">3</w:t>
            </w:r>
          </w:p>
        </w:tc>
        <w:tc>
          <w:tcPr>
            <w:tcW w:w="2562" w:type="dxa"/>
          </w:tcPr>
          <w:tcPr/>
          <w:p>
            <w:pPr>
              <w:pStyle w:val="Compact"/>
              <w:jc w:val="left"/>
            </w:pPr>
            <w:r>
              <w:rPr>
                <w:rStyle w:val="VerbatimChar"/>
              </w:rPr>
              <w:t xml:space="preserve">Logic.Pqf.Catalogos\Clientes\DatosBancarios\BankReferenceBO.cs</w:t>
            </w:r>
          </w:p>
        </w:tc>
        <w:tc>
          <w:tcPr>
            <w:tcW w:w="5758" w:type="dxa"/>
          </w:tcPr>
          <w:tcPr/>
          <w:p>
            <w:pPr>
              <w:pStyle w:val="Compact"/>
              <w:jc w:val="left"/>
            </w:pPr>
            <w:r>
              <w:t xml:space="preserve">Clase nueva — algoritmo de construcción de referencia bancaria; invocada desde</w:t>
            </w:r>
            <w:r>
              <w:t xml:space="preserve"> </w:t>
            </w:r>
            <w:r>
              <w:rPr>
                <w:rStyle w:val="VerbatimChar"/>
              </w:rPr>
              <w:t xml:space="preserve">ClienteDatosBancariosBO</w:t>
            </w:r>
            <w:r>
              <w:t xml:space="preserve">, no desde el factory</w:t>
            </w:r>
          </w:p>
        </w:tc>
      </w:tr>
      <w:tr>
        <w:tc>
          <w:tcPr>
            <w:tcW w:w="1040" w:type="dxa"/>
          </w:tcPr>
          <w:tcPr/>
          <w:p>
            <w:pPr>
              <w:pStyle w:val="Compact"/>
              <w:jc w:val="left"/>
            </w:pPr>
            <w:r>
              <w:t xml:space="preserve">4</w:t>
            </w:r>
          </w:p>
        </w:tc>
        <w:tc>
          <w:tcPr>
            <w:tcW w:w="2562" w:type="dxa"/>
          </w:tcPr>
          <w:tcPr/>
          <w:p>
            <w:pPr>
              <w:pStyle w:val="Compact"/>
              <w:jc w:val="left"/>
            </w:pPr>
            <w:r>
              <w:rPr>
                <w:rStyle w:val="VerbatimChar"/>
                <w:strike/>
              </w:rPr>
              <w:t xml:space="preserve">tpProformaPedidoFactory.cs</w:t>
            </w:r>
            <w:r>
              <w:t xml:space="preserve"> </w:t>
            </w:r>
            <w:r>
              <w:t xml:space="preserve">(RE-016, no RE-006)</w:t>
            </w:r>
          </w:p>
        </w:tc>
        <w:tc>
          <w:tcPr>
            <w:tcW w:w="5758" w:type="dxa"/>
          </w:tcPr>
          <w:tcPr/>
          <w:p>
            <w:pPr>
              <w:pStyle w:val="Compact"/>
              <w:jc w:val="left"/>
            </w:pPr>
            <w:r>
              <w:t xml:space="preserve">Fuera del alcance de RE-006 desde v1.6. El casado lo hace RE-016 (solución</w:t>
            </w:r>
            <w:r>
              <w:t xml:space="preserve"> </w:t>
            </w:r>
            <w:r>
              <w:rPr>
                <w:rStyle w:val="VerbatimChar"/>
              </w:rPr>
              <w:t xml:space="preserve">Finanzas</w:t>
            </w:r>
            <w:r>
              <w:t xml:space="preserve">): su factory consume el endpoint de RE-006. RE-006 no toca este archivo</w:t>
            </w:r>
          </w:p>
        </w:tc>
      </w:tr>
      <w:tr>
        <w:tc>
          <w:tcPr>
            <w:tcW w:w="1040" w:type="dxa"/>
          </w:tcPr>
          <w:tcPr/>
          <w:p>
            <w:pPr>
              <w:pStyle w:val="Compact"/>
              <w:jc w:val="left"/>
            </w:pPr>
            <w:r>
              <w:t xml:space="preserve">5</w:t>
            </w:r>
          </w:p>
        </w:tc>
        <w:tc>
          <w:tcPr>
            <w:tcW w:w="2562" w:type="dxa"/>
          </w:tcPr>
          <w:tcPr/>
          <w:p>
            <w:pPr>
              <w:pStyle w:val="Compact"/>
              <w:jc w:val="left"/>
            </w:pPr>
            <w:r>
              <w:rPr>
                <w:rStyle w:val="VerbatimChar"/>
              </w:rPr>
              <w:t xml:space="preserve">WebApi.Catalogos\Controllers\Configuracion\Clientes\Relaciones\ClienteDatosBancariosController.cs</w:t>
            </w:r>
          </w:p>
        </w:tc>
        <w:tc>
          <w:tcPr>
            <w:tcW w:w="5758" w:type="dxa"/>
          </w:tcPr>
          <w:tcPr/>
          <w:p>
            <w:pPr>
              <w:pStyle w:val="Compact"/>
              <w:jc w:val="left"/>
            </w:pPr>
            <w:r>
              <w:t xml:space="preserve">Controller nuevo —</w:t>
            </w:r>
            <w:r>
              <w:t xml:space="preserve"> </w:t>
            </w:r>
            <w:r>
              <w:rPr>
                <w:rStyle w:val="VerbatimChar"/>
              </w:rPr>
              <w:t xml:space="preserve">PUT</w:t>
            </w:r>
            <w:r>
              <w:t xml:space="preserve"> </w:t>
            </w:r>
            <w:r>
              <w:t xml:space="preserve">(alta),</w:t>
            </w:r>
            <w:r>
              <w:t xml:space="preserve"> </w:t>
            </w:r>
            <w:r>
              <w:rPr>
                <w:rStyle w:val="VerbatimChar"/>
              </w:rPr>
              <w:t xml:space="preserve">PUT /Codigo</w:t>
            </w:r>
            <w:r>
              <w:t xml:space="preserve"> </w:t>
            </w:r>
            <w:r>
              <w:t xml:space="preserve">(edición CV, id en body),</w:t>
            </w:r>
            <w:r>
              <w:t xml:space="preserve"> </w:t>
            </w:r>
            <w:r>
              <w:rPr>
                <w:rStyle w:val="VerbatimChar"/>
              </w:rPr>
              <w:t xml:space="preserve">DELETE</w:t>
            </w:r>
            <w:r>
              <w:t xml:space="preserve"> </w:t>
            </w:r>
            <w:r>
              <w:t xml:space="preserve">(</w:t>
            </w:r>
            <w:r>
              <w:rPr>
                <w:rStyle w:val="VerbatimChar"/>
              </w:rPr>
              <w:t xml:space="preserve">?IdClienteDatosBancarios</w:t>
            </w:r>
            <w:r>
              <w:t xml:space="preserve"> </w:t>
            </w:r>
            <w:r>
              <w:t xml:space="preserve">querystring). Hereda de</w:t>
            </w:r>
            <w:r>
              <w:t xml:space="preserve"> </w:t>
            </w:r>
            <w:r>
              <w:rPr>
                <w:rStyle w:val="VerbatimChar"/>
              </w:rPr>
              <w:t xml:space="preserve">BaseApiController</w:t>
            </w:r>
            <w:r>
              <w:t xml:space="preserve"> </w:t>
            </w:r>
            <w:r>
              <w:t xml:space="preserve">y obtiene el usuario vía</w:t>
            </w:r>
            <w:r>
              <w:t xml:space="preserve"> </w:t>
            </w:r>
            <w:r>
              <w:rPr>
                <w:rStyle w:val="VerbatimChar"/>
              </w:rPr>
              <w:t xml:space="preserve">ObtenerUsuarioAutenticado().IdUsuario</w:t>
            </w:r>
            <w:r>
              <w:t xml:space="preserve"> </w:t>
            </w:r>
            <w:r>
              <w:t xml:space="preserve">para poblar</w:t>
            </w:r>
            <w:r>
              <w:t xml:space="preserve"> </w:t>
            </w:r>
            <w:r>
              <w:rPr>
                <w:rStyle w:val="VerbatimChar"/>
              </w:rPr>
              <w:t xml:space="preserve">IdUsuarioModificacion</w:t>
            </w:r>
            <w:r>
              <w:t xml:space="preserve"> </w:t>
            </w:r>
            <w:r>
              <w:t xml:space="preserve">(RT-09)</w:t>
            </w:r>
          </w:p>
        </w:tc>
      </w:tr>
      <w:tr>
        <w:tc>
          <w:tcPr>
            <w:tcW w:w="1040" w:type="dxa"/>
          </w:tcPr>
          <w:tcPr/>
          <w:p>
            <w:pPr>
              <w:pStyle w:val="Compact"/>
              <w:jc w:val="left"/>
            </w:pPr>
            <w:r>
              <w:t xml:space="preserve">6</w:t>
            </w:r>
          </w:p>
        </w:tc>
        <w:tc>
          <w:tcPr>
            <w:tcW w:w="2562" w:type="dxa"/>
          </w:tcPr>
          <w:tcPr/>
          <w:p>
            <w:pPr>
              <w:pStyle w:val="Compact"/>
              <w:jc w:val="left"/>
            </w:pPr>
            <w:r>
              <w:t xml:space="preserve">Selectores de Banco/Cuenta</w:t>
            </w:r>
          </w:p>
        </w:tc>
        <w:tc>
          <w:tcPr>
            <w:tcW w:w="5758" w:type="dxa"/>
          </w:tcPr>
          <w:tcPr/>
          <w:p>
            <w:pPr>
              <w:pStyle w:val="Compact"/>
              <w:jc w:val="left"/>
            </w:pPr>
            <w:r>
              <w:t xml:space="preserve">Sin cambio —</w:t>
            </w:r>
            <w:r>
              <w:t xml:space="preserve"> </w:t>
            </w:r>
            <w:r>
              <w:rPr>
                <w:rStyle w:val="VerbatimChar"/>
              </w:rPr>
              <w:t xml:space="preserve">POST /catBanco</w:t>
            </w:r>
            <w:r>
              <w:t xml:space="preserve"> </w:t>
            </w:r>
            <w:r>
              <w:t xml:space="preserve">(Banco) y</w:t>
            </w:r>
            <w:r>
              <w:t xml:space="preserve"> </w:t>
            </w:r>
            <w:r>
              <w:rPr>
                <w:rStyle w:val="VerbatimChar"/>
              </w:rPr>
              <w:t xml:space="preserve">POST /vEmpresaDatosBancarios</w:t>
            </w:r>
            <w:r>
              <w:t xml:space="preserve"> </w:t>
            </w:r>
            <w:r>
              <w:t xml:space="preserve">(Cuenta) ya existen (el segundo, construido por otro desarrollo); RE-006 los consume tal cual, sin desarrollo nuevo</w:t>
            </w:r>
          </w:p>
        </w:tc>
      </w:tr>
      <w:tr>
        <w:tc>
          <w:tcPr>
            <w:tcW w:w="1040" w:type="dxa"/>
          </w:tcPr>
          <w:tcPr/>
          <w:p>
            <w:pPr>
              <w:pStyle w:val="Compact"/>
              <w:jc w:val="left"/>
            </w:pPr>
            <w:r>
              <w:t xml:space="preserve">6b</w:t>
            </w:r>
          </w:p>
        </w:tc>
        <w:tc>
          <w:tcPr>
            <w:tcW w:w="2562" w:type="dxa"/>
          </w:tcPr>
          <w:tcPr/>
          <w:p>
            <w:pPr>
              <w:pStyle w:val="Compact"/>
              <w:jc w:val="left"/>
            </w:pPr>
            <w:r>
              <w:t xml:space="preserve">BD:</w:t>
            </w:r>
            <w:r>
              <w:t xml:space="preserve"> </w:t>
            </w:r>
            <w:r>
              <w:rPr>
                <w:rStyle w:val="VerbatimChar"/>
              </w:rPr>
              <w:t xml:space="preserve">dbo.spObtenerClienteLegacyId</w:t>
            </w:r>
          </w:p>
        </w:tc>
        <w:tc>
          <w:tcPr>
            <w:tcW w:w="5758" w:type="dxa"/>
          </w:tcPr>
          <w:tcPr/>
          <w:p>
            <w:pPr>
              <w:pStyle w:val="Compact"/>
              <w:jc w:val="left"/>
            </w:pPr>
            <w:r>
              <w:t xml:space="preserve">SP nuevo — recibe</w:t>
            </w:r>
            <w:r>
              <w:t xml:space="preserve"> </w:t>
            </w:r>
            <w:r>
              <w:rPr>
                <w:rStyle w:val="VerbatimChar"/>
              </w:rPr>
              <w:t xml:space="preserve">@IdCliente uniqueidentifier</w:t>
            </w:r>
            <w:r>
              <w:t xml:space="preserve">, retorna</w:t>
            </w:r>
            <w:r>
              <w:t xml:space="preserve"> </w:t>
            </w:r>
            <w:r>
              <w:rPr>
                <w:rStyle w:val="VerbatimChar"/>
              </w:rPr>
              <w:t xml:space="preserve">int?</w:t>
            </w:r>
            <w:r>
              <w:t xml:space="preserve"> </w:t>
            </w:r>
            <w:r>
              <w:t xml:space="preserve">con</w:t>
            </w:r>
            <w:r>
              <w:t xml:space="preserve"> </w:t>
            </w:r>
            <w:r>
              <w:rPr>
                <w:rStyle w:val="VerbatimChar"/>
              </w:rPr>
              <w:t xml:space="preserve">ClienteLegacy</w:t>
            </w:r>
            <w:r>
              <w:t xml:space="preserve"> </w:t>
            </w:r>
            <w:r>
              <w:t xml:space="preserve">desde</w:t>
            </w:r>
            <w:r>
              <w:t xml:space="preserve"> </w:t>
            </w:r>
            <w:r>
              <w:rPr>
                <w:rStyle w:val="VerbatimChar"/>
              </w:rPr>
              <w:t xml:space="preserve">PConnectProquifaDotNet.dbo.Clientes</w:t>
            </w:r>
            <w:r>
              <w:t xml:space="preserve"> </w:t>
            </w:r>
            <w:r>
              <w:t xml:space="preserve">(</w:t>
            </w:r>
            <w:r>
              <w:rPr>
                <w:rStyle w:val="VerbatimChar"/>
              </w:rPr>
              <w:t xml:space="preserve">TOP 1 ORDER BY FechaRegistro ASC</w:t>
            </w:r>
            <w:r>
              <w:t xml:space="preserve">). Patrón del ecosistema: el C# nunca instancia</w:t>
            </w:r>
            <w:r>
              <w:t xml:space="preserve"> </w:t>
            </w:r>
            <w:r>
              <w:rPr>
                <w:rStyle w:val="VerbatimChar"/>
              </w:rPr>
              <w:t xml:space="preserve">PConnectProquifaDotNetEntities</w:t>
            </w:r>
            <w:r>
              <w:t xml:space="preserve"> </w:t>
            </w:r>
            <w:r>
              <w:t xml:space="preserve">directamente en BOs.</w:t>
            </w:r>
          </w:p>
        </w:tc>
      </w:tr>
      <w:tr>
        <w:tc>
          <w:tcPr>
            <w:tcW w:w="1040" w:type="dxa"/>
          </w:tcPr>
          <w:tcPr/>
          <w:p>
            <w:pPr>
              <w:pStyle w:val="Compact"/>
              <w:jc w:val="left"/>
            </w:pPr>
            <w:r>
              <w:t xml:space="preserve">7</w:t>
            </w:r>
          </w:p>
        </w:tc>
        <w:tc>
          <w:tcPr>
            <w:tcW w:w="2562" w:type="dxa"/>
          </w:tcPr>
          <w:tcPr/>
          <w:p>
            <w:pPr>
              <w:pStyle w:val="Compact"/>
              <w:jc w:val="left"/>
            </w:pPr>
            <w:r>
              <w:t xml:space="preserve">Script SQL (Flujo A) — análisis carga inicial Legacy → PQF2</w:t>
            </w:r>
          </w:p>
        </w:tc>
        <w:tc>
          <w:tcPr>
            <w:tcW w:w="5758" w:type="dxa"/>
          </w:tcPr>
          <w:tcPr/>
          <w:p>
            <w:pPr>
              <w:pStyle w:val="Compact"/>
              <w:jc w:val="left"/>
            </w:pPr>
            <w:r>
              <w:t xml:space="preserve">Nuevo — mapear</w:t>
            </w:r>
            <w:r>
              <w:t xml:space="preserve"> </w:t>
            </w:r>
            <w:r>
              <w:rPr>
                <w:rStyle w:val="VerbatimChar"/>
              </w:rPr>
              <w:t xml:space="preserve">CuentaCliente</w:t>
            </w:r>
            <w:r>
              <w:t xml:space="preserve"> </w:t>
            </w:r>
            <w:r>
              <w:t xml:space="preserve">PConnect →</w:t>
            </w:r>
            <w:r>
              <w:t xml:space="preserve"> </w:t>
            </w:r>
            <w:r>
              <w:rPr>
                <w:rStyle w:val="VerbatimChar"/>
              </w:rPr>
              <w:t xml:space="preserve">ClienteDatosBancarios</w:t>
            </w:r>
            <w:r>
              <w:t xml:space="preserve"> </w:t>
            </w:r>
            <w:r>
              <w:t xml:space="preserve">PQF2: cliente vía</w:t>
            </w:r>
            <w:r>
              <w:t xml:space="preserve"> </w:t>
            </w:r>
            <w:r>
              <w:rPr>
                <w:rStyle w:val="VerbatimChar"/>
              </w:rPr>
              <w:t xml:space="preserve">PConnectProquifaDotNet.dbo.Clientes</w:t>
            </w:r>
            <w:r>
              <w:t xml:space="preserve">, cuenta vía CLABE (</w:t>
            </w:r>
            <w:r>
              <w:rPr>
                <w:rStyle w:val="VerbatimChar"/>
              </w:rPr>
              <w:t xml:space="preserve">CuentaBanco.Clabe → DatosBancarios.Clabe → EmpresaDatosBancarios</w:t>
            </w:r>
            <w:r>
              <w:t xml:space="preserve">, con</w:t>
            </w:r>
            <w:r>
              <w:t xml:space="preserve"> </w:t>
            </w:r>
            <w:r>
              <w:rPr>
                <w:rStyle w:val="VerbatimChar"/>
              </w:rPr>
              <w:t xml:space="preserve">COLLATE</w:t>
            </w:r>
            <w:r>
              <w:t xml:space="preserve">). Una sola ejecución, no SSIS (comentario JD); pendiente tarea formal MIG-DATOS</w:t>
            </w:r>
          </w:p>
        </w:tc>
      </w:tr>
      <w:tr>
        <w:tc>
          <w:tcPr>
            <w:tcW w:w="1040" w:type="dxa"/>
          </w:tcPr>
          <w:tcPr/>
          <w:p>
            <w:pPr>
              <w:pStyle w:val="Compact"/>
              <w:jc w:val="left"/>
            </w:pPr>
            <w:r>
              <w:t xml:space="preserve">8</w:t>
            </w:r>
          </w:p>
        </w:tc>
        <w:tc>
          <w:tcPr>
            <w:tcW w:w="2562" w:type="dxa"/>
          </w:tcPr>
          <w:tcPr/>
          <w:p>
            <w:pPr>
              <w:pStyle w:val="Compact"/>
              <w:jc w:val="left"/>
            </w:pPr>
            <w:r>
              <w:t xml:space="preserve">Script SQL (Flujo A) — ejecución carga inicial</w:t>
            </w:r>
          </w:p>
        </w:tc>
        <w:tc>
          <w:tcPr>
            <w:tcW w:w="5758" w:type="dxa"/>
          </w:tcPr>
          <w:tcPr/>
          <w:p>
            <w:pPr>
              <w:pStyle w:val="Compact"/>
              <w:jc w:val="left"/>
            </w:pPr>
            <w:r>
              <w:t xml:space="preserve">Nuevo — INSERT masivo (una sola vez) con validaciones de integridad + cálculo de</w:t>
            </w:r>
            <w:r>
              <w:t xml:space="preserve"> </w:t>
            </w:r>
            <w:r>
              <w:rPr>
                <w:rStyle w:val="VerbatimChar"/>
              </w:rPr>
              <w:t xml:space="preserve">ReferenciaVigente</w:t>
            </w:r>
            <w:r>
              <w:t xml:space="preserve"> </w:t>
            </w:r>
            <w:r>
              <w:t xml:space="preserve">por cada registro migrado</w:t>
            </w:r>
          </w:p>
        </w:tc>
      </w:tr>
      <w:tr>
        <w:tc>
          <w:tcPr>
            <w:tcW w:w="1040" w:type="dxa"/>
          </w:tcPr>
          <w:tcPr/>
          <w:p>
            <w:pPr>
              <w:pStyle w:val="Compact"/>
              <w:jc w:val="left"/>
            </w:pPr>
            <w:r>
              <w:t xml:space="preserve">9</w:t>
            </w:r>
          </w:p>
        </w:tc>
        <w:tc>
          <w:tcPr>
            <w:tcW w:w="2562" w:type="dxa"/>
          </w:tcPr>
          <w:tcPr/>
          <w:p>
            <w:pPr>
              <w:pStyle w:val="Compact"/>
              <w:jc w:val="left"/>
            </w:pPr>
            <w:r>
              <w:t xml:space="preserve">Script SQL (Flujo A) — pruebas carga inicial</w:t>
            </w:r>
          </w:p>
        </w:tc>
        <w:tc>
          <w:tcPr>
            <w:tcW w:w="5758" w:type="dxa"/>
          </w:tcPr>
          <w:tcPr/>
          <w:p>
            <w:pPr>
              <w:pStyle w:val="Compact"/>
              <w:jc w:val="left"/>
            </w:pPr>
            <w:r>
              <w:t xml:space="preserve">Nuevo — validar conteos y muestreo de registros migrados</w:t>
            </w:r>
          </w:p>
        </w:tc>
      </w:tr>
      <w:tr>
        <w:tc>
          <w:tcPr>
            <w:tcW w:w="1040" w:type="dxa"/>
          </w:tcPr>
          <w:tcPr/>
          <w:p>
            <w:pPr>
              <w:pStyle w:val="Compact"/>
              <w:jc w:val="left"/>
            </w:pPr>
            <w:r>
              <w:t xml:space="preserve">10</w:t>
            </w:r>
          </w:p>
        </w:tc>
        <w:tc>
          <w:tcPr>
            <w:tcW w:w="2562" w:type="dxa"/>
          </w:tcPr>
          <w:tcPr/>
          <w:p>
            <w:pPr>
              <w:pStyle w:val="Compact"/>
              <w:jc w:val="left"/>
            </w:pPr>
            <w:r>
              <w:t xml:space="preserve">Paquete SSIS existente del cliente (Flujo B, T6) — análisis campos R16</w:t>
            </w:r>
          </w:p>
        </w:tc>
        <w:tc>
          <w:tcPr>
            <w:tcW w:w="5758" w:type="dxa"/>
          </w:tcPr>
          <w:tcPr/>
          <w:p>
            <w:pPr>
              <w:pStyle w:val="Compact"/>
              <w:jc w:val="left"/>
            </w:pPr>
            <w:r>
              <w:t xml:space="preserve">Extender — analizar campos</w:t>
            </w:r>
            <w:r>
              <w:t xml:space="preserve"> </w:t>
            </w:r>
            <w:r>
              <w:rPr>
                <w:rStyle w:val="VerbatimChar"/>
              </w:rPr>
              <w:t xml:space="preserve">ClienteDatosBancarios</w:t>
            </w:r>
            <w:r>
              <w:t xml:space="preserve"> </w:t>
            </w:r>
            <w:r>
              <w:t xml:space="preserve">a mapear a columnas Legacy existentes en el paquete SSIS del cliente (PConnect)</w:t>
            </w:r>
          </w:p>
        </w:tc>
      </w:tr>
      <w:tr>
        <w:tc>
          <w:tcPr>
            <w:tcW w:w="1040" w:type="dxa"/>
          </w:tcPr>
          <w:tcPr/>
          <w:p>
            <w:pPr>
              <w:pStyle w:val="Compact"/>
              <w:jc w:val="left"/>
            </w:pPr>
            <w:r>
              <w:t xml:space="preserve">11</w:t>
            </w:r>
          </w:p>
        </w:tc>
        <w:tc>
          <w:tcPr>
            <w:tcW w:w="2562" w:type="dxa"/>
          </w:tcPr>
          <w:tcPr/>
          <w:p>
            <w:pPr>
              <w:pStyle w:val="Compact"/>
              <w:jc w:val="left"/>
            </w:pPr>
            <w:r>
              <w:t xml:space="preserve">Paquete SSIS existente del cliente (Flujo B, T7) — actualización</w:t>
            </w:r>
            <w:r>
              <w:t xml:space="preserve"> </w:t>
            </w:r>
            <w:r>
              <w:rPr>
                <w:rStyle w:val="VerbatimChar"/>
              </w:rPr>
              <w:t xml:space="preserve">.dtsx</w:t>
            </w:r>
          </w:p>
        </w:tc>
        <w:tc>
          <w:tcPr>
            <w:tcW w:w="5758" w:type="dxa"/>
          </w:tcPr>
          <w:tcPr/>
          <w:p>
            <w:pPr>
              <w:pStyle w:val="Compact"/>
              <w:jc w:val="left"/>
            </w:pPr>
            <w:r>
              <w:t xml:space="preserve">Extender — mapear campos RE-006 (</w:t>
            </w:r>
            <w:r>
              <w:rPr>
                <w:rStyle w:val="VerbatimChar"/>
              </w:rPr>
              <w:t xml:space="preserve">CodigoValidador</w:t>
            </w:r>
            <w:r>
              <w:t xml:space="preserve">, cuentas asignadas) a columnas Legacy ya existentes (</w:t>
            </w:r>
            <w:r>
              <w:rPr>
                <w:rStyle w:val="VerbatimChar"/>
              </w:rPr>
              <w:t xml:space="preserve">CuentaCliente.CodValidador</w:t>
            </w:r>
            <w:r>
              <w:t xml:space="preserve">).</w:t>
            </w:r>
            <w:r>
              <w:t xml:space="preserve"> </w:t>
            </w:r>
            <w:r>
              <w:rPr>
                <w:b/>
                <w:bCs/>
              </w:rPr>
              <w:t xml:space="preserve">Sin</w:t>
            </w:r>
            <w:r>
              <w:rPr>
                <w:b/>
                <w:bCs/>
              </w:rPr>
              <w:t xml:space="preserve"> </w:t>
            </w:r>
            <w:r>
              <w:rPr>
                <w:rStyle w:val="VerbatimChar"/>
                <w:b/>
                <w:bCs/>
              </w:rPr>
              <w:t xml:space="preserve">ALTER TABLE</w:t>
            </w:r>
            <w:r>
              <w:rPr>
                <w:b/>
                <w:bCs/>
              </w:rPr>
              <w:t xml:space="preserve"> </w:t>
            </w:r>
            <w:r>
              <w:rPr>
                <w:b/>
                <w:bCs/>
              </w:rPr>
              <w:t xml:space="preserve">— el esquema de Legacy no se modifica</w:t>
            </w:r>
            <w:r>
              <w:t xml:space="preserve"> </w:t>
            </w:r>
            <w:r>
              <w:t xml:space="preserve">(comentario JD); la ejecución la coordina el cliente, dueño del paquete</w:t>
            </w:r>
          </w:p>
        </w:tc>
      </w:tr>
      <w:tr>
        <w:tc>
          <w:tcPr>
            <w:tcW w:w="1040" w:type="dxa"/>
          </w:tcPr>
          <w:tcPr/>
          <w:p>
            <w:pPr>
              <w:pStyle w:val="Compact"/>
              <w:jc w:val="left"/>
            </w:pPr>
            <w:r>
              <w:t xml:space="preserve">12</w:t>
            </w:r>
          </w:p>
        </w:tc>
        <w:tc>
          <w:tcPr>
            <w:tcW w:w="2562" w:type="dxa"/>
          </w:tcPr>
          <w:tcPr/>
          <w:p>
            <w:pPr>
              <w:pStyle w:val="Compact"/>
              <w:jc w:val="left"/>
            </w:pPr>
            <w:r>
              <w:t xml:space="preserve">Paquete SSIS existente del cliente (Flujo B, T8) — pruebas sincronización</w:t>
            </w:r>
          </w:p>
        </w:tc>
        <w:tc>
          <w:tcPr>
            <w:tcW w:w="5758" w:type="dxa"/>
          </w:tcPr>
          <w:tcPr/>
          <w:p>
            <w:pPr>
              <w:pStyle w:val="Compact"/>
              <w:jc w:val="left"/>
            </w:pPr>
            <w:r>
              <w:t xml:space="preserve">Nuevo — validar que cambios en PQF2 se transfieren correctamente a Legacy; verificar que Legacy no sobreescribe PQF2</w:t>
            </w:r>
          </w:p>
        </w:tc>
      </w:tr>
      <w:tr>
        <w:tc>
          <w:tcPr>
            <w:tcW w:w="1040" w:type="dxa"/>
          </w:tcPr>
          <w:tcPr/>
          <w:p>
            <w:pPr>
              <w:pStyle w:val="Compact"/>
              <w:jc w:val="left"/>
            </w:pPr>
            <w:r>
              <w:t xml:space="preserve">13</w:t>
            </w:r>
          </w:p>
        </w:tc>
        <w:tc>
          <w:tcPr>
            <w:tcW w:w="2562" w:type="dxa"/>
          </w:tcPr>
          <w:tcPr/>
          <w:p>
            <w:pPr>
              <w:pStyle w:val="Compact"/>
              <w:jc w:val="left"/>
            </w:pPr>
            <w:r>
              <w:rPr>
                <w:rStyle w:val="VerbatimChar"/>
              </w:rPr>
              <w:t xml:space="preserve">Logic.Pqf.Catalogos\Clientes\ClienteBO.cs</w:t>
            </w:r>
          </w:p>
        </w:tc>
        <w:tc>
          <w:tcPr>
            <w:tcW w:w="5758" w:type="dxa"/>
          </w:tcPr>
          <w:tcPr/>
          <w:p>
            <w:pPr>
              <w:pStyle w:val="Compact"/>
              <w:jc w:val="left"/>
            </w:pPr>
            <w:r>
              <w:t xml:space="preserve">Modificar (hook Flujo 3, RF-15) — en</w:t>
            </w:r>
            <w:r>
              <w:t xml:space="preserve"> </w:t>
            </w:r>
            <w:r>
              <w:rPr>
                <w:rStyle w:val="VerbatimChar"/>
              </w:rPr>
              <w:t xml:space="preserve">_GuardarOActualizar</w:t>
            </w:r>
            <w:r>
              <w:t xml:space="preserve">, si cambió</w:t>
            </w:r>
            <w:r>
              <w:t xml:space="preserve"> </w:t>
            </w:r>
            <w:r>
              <w:rPr>
                <w:rStyle w:val="VerbatimChar"/>
              </w:rPr>
              <w:t xml:space="preserve">Cliente.Nombre</w:t>
            </w:r>
            <w:r>
              <w:t xml:space="preserve">, recalcular</w:t>
            </w:r>
            <w:r>
              <w:t xml:space="preserve"> </w:t>
            </w:r>
            <w:r>
              <w:rPr>
                <w:rStyle w:val="VerbatimChar"/>
              </w:rPr>
              <w:t xml:space="preserve">ReferenciaVigente</w:t>
            </w:r>
            <w:r>
              <w:t xml:space="preserve"> </w:t>
            </w:r>
            <w:r>
              <w:t xml:space="preserve">de las asignaciones activas del cliente (vía</w:t>
            </w:r>
            <w:r>
              <w:t xml:space="preserve"> </w:t>
            </w:r>
            <w:r>
              <w:rPr>
                <w:rStyle w:val="VerbatimChar"/>
              </w:rPr>
              <w:t xml:space="preserve">ClienteDatosBancariosBO</w:t>
            </w:r>
            <w:r>
              <w:t xml:space="preserve"> </w:t>
            </w:r>
            <w:r>
              <w:t xml:space="preserve">/</w:t>
            </w:r>
            <w:r>
              <w:t xml:space="preserve"> </w:t>
            </w:r>
            <w:r>
              <w:rPr>
                <w:rStyle w:val="VerbatimChar"/>
              </w:rPr>
              <w:t xml:space="preserve">BankReferenceBO</w:t>
            </w:r>
            <w:r>
              <w:t xml:space="preserve">) en la misma transacción; rollback si falla</w:t>
            </w:r>
          </w:p>
        </w:tc>
      </w:tr>
    </w:tbl>
    <w:p>
      <w:pPr>
        <w:pStyle w:val="BodyText"/>
      </w:pPr>
      <w:r>
        <w:rPr>
          <w:b/>
          <w:bCs/>
        </w:rPr>
        <w:t xml:space="preserve">Revisar adicionalmente:</w:t>
      </w:r>
    </w:p>
    <w:p>
      <w:pPr>
        <w:pStyle w:val="Compact"/>
        <w:numPr>
          <w:ilvl w:val="0"/>
          <w:numId w:val="1009"/>
        </w:numPr>
      </w:pPr>
      <w:r>
        <w:rPr>
          <w:rStyle w:val="VerbatimChar"/>
        </w:rPr>
        <w:t xml:space="preserve">WebApi.Catalogos\Controllers\Configuracion\Clientes\Relaciones\vClienteDatosBancariosController.cs</w:t>
      </w:r>
      <w:r>
        <w:t xml:space="preserve"> </w:t>
      </w:r>
      <w:r>
        <w:t xml:space="preserve">— controller nuevo, propio (no fusionado con el CRUD); invoca</w:t>
      </w:r>
      <w:r>
        <w:t xml:space="preserve"> </w:t>
      </w:r>
      <w:r>
        <w:rPr>
          <w:rStyle w:val="VerbatimChar"/>
        </w:rPr>
        <w:t xml:space="preserve">vClienteDatosBancariosBO</w:t>
      </w:r>
      <w:r>
        <w:t xml:space="preserve"> </w:t>
      </w:r>
      <w:r>
        <w:t xml:space="preserve">(proyección LINQ, no vista SQL); la respuesta es un objeto plano con los campos mínimos de cada tabla relacionada (Cliente, Empresa, DatosBancarios, catMoneda, catBanco). El controller huérfano homónimo de 2021 (ligado a una vista de BD ya eliminada, sin consumo real en ningún frontend del ecosistema) se elimina antes de construir este.</w:t>
      </w:r>
    </w:p>
    <w:p>
      <w:pPr>
        <w:pStyle w:val="Heading3"/>
      </w:pPr>
      <w:r>
        <w:rPr>
          <w:b/>
          <w:bCs/>
        </w:rPr>
        <w:t xml:space="preserve">⚠️ Corrección requerida en</w:t>
      </w:r>
      <w:r>
        <w:rPr>
          <w:b/>
          <w:bCs/>
        </w:rPr>
        <w:t xml:space="preserve"> </w:t>
      </w:r>
      <w:r>
        <w:rPr>
          <w:rStyle w:val="VerbatimChar"/>
          <w:b/>
          <w:bCs/>
        </w:rPr>
        <w:t xml:space="preserve">BankReferenceBO.cs</w:t>
      </w:r>
      <w:r>
        <w:rPr>
          <w:b/>
          <w:bCs/>
        </w:rPr>
        <w:t xml:space="preserve"> </w:t>
      </w:r>
      <w:r>
        <w:rPr>
          <w:b/>
          <w:bCs/>
        </w:rPr>
        <w:t xml:space="preserve">(GAP-E — Bug crítico)</w:t>
      </w:r>
    </w:p>
    <w:p>
      <w:pPr>
        <w:pStyle w:val="FirstParagraph"/>
      </w:pPr>
      <w:r>
        <w:t xml:space="preserve">El código actual de Juan David en</w:t>
      </w:r>
      <w:r>
        <w:t xml:space="preserve"> </w:t>
      </w:r>
      <w:r>
        <w:rPr>
          <w:rStyle w:val="VerbatimChar"/>
        </w:rPr>
        <w:t xml:space="preserve">BankReferenceBO.BuildBanamex()</w:t>
      </w:r>
      <w:r>
        <w:t xml:space="preserve"> </w:t>
      </w:r>
      <w:r>
        <w:t xml:space="preserve">usa</w:t>
      </w:r>
      <w:r>
        <w:t xml:space="preserve"> </w:t>
      </w:r>
      <w:r>
        <w:rPr>
          <w:rStyle w:val="VerbatimChar"/>
        </w:rPr>
        <w:t xml:space="preserve">cliente.Clave</w:t>
      </w:r>
      <w:r>
        <w:t xml:space="preserve"> </w:t>
      </w:r>
      <w:r>
        <w:t xml:space="preserve">para construir S4. La entidad</w:t>
      </w:r>
      <w:r>
        <w:t xml:space="preserve"> </w:t>
      </w:r>
      <w:r>
        <w:rPr>
          <w:rStyle w:val="VerbatimChar"/>
        </w:rPr>
        <w:t xml:space="preserve">dbo.Cliente</w:t>
      </w:r>
      <w:r>
        <w:t xml:space="preserve"> </w:t>
      </w:r>
      <w:r>
        <w:t xml:space="preserve">en PQF2 no tiene ese campo — el código no compilará o producirá S4 =</w:t>
      </w:r>
      <w:r>
        <w:t xml:space="preserve"> </w:t>
      </w:r>
      <w:r>
        <w:rPr>
          <w:rStyle w:val="VerbatimChar"/>
        </w:rPr>
        <w:t xml:space="preserve">"0000"</w:t>
      </w:r>
      <w:r>
        <w:t xml:space="preserve"> </w:t>
      </w:r>
      <w:r>
        <w:t xml:space="preserve">para todos los clientes.</w:t>
      </w:r>
    </w:p>
    <w:p>
      <w:pPr>
        <w:pStyle w:val="BodyText"/>
      </w:pPr>
      <w:r>
        <w:rPr>
          <w:b/>
          <w:bCs/>
        </w:rPr>
        <w:t xml:space="preserve">Datos de BD confirmados live (29-jun-2026):</w:t>
      </w:r>
    </w:p>
    <w:tbl>
      <w:tblPr>
        <w:tblStyle w:val="Table"/>
        <w:tblW w:type="pct" w:w="5000"/>
        <w:tblLayout w:type="fixed"/>
        <w:tblLook w:firstRow="1" w:lastRow="0" w:firstColumn="0" w:lastColumn="0" w:noHBand="0" w:noVBand="0" w:val="0020"/>
      </w:tblPr>
      <w:tblGrid>
        <w:gridCol w:w="2572"/>
        <w:gridCol w:w="6788"/>
      </w:tblGrid>
      <w:tr>
        <w:trPr>
          <w:tblHeader w:val="on"/>
        </w:trPr>
        <w:tc>
          <w:tcPr>
            <w:tcW w:w="2572" w:type="dxa"/>
            <w:shd w:val="clear" w:color="auto" w:fill="434343"/>
          </w:tcPr>
          <w:p>
            <w:pPr>
              <w:pStyle w:val="Compact"/>
              <w:jc w:val="left"/>
            </w:pPr>
            <w:r>
              <w:rPr>
                <w:b/>
                <w:color w:val="FFFFFF"/>
              </w:rPr>
              <w:t xml:space="preserve">Dato</w:t>
            </w:r>
          </w:p>
        </w:tc>
        <w:tc>
          <w:tcPr>
            <w:tcW w:w="6788" w:type="dxa"/>
            <w:shd w:val="clear" w:color="auto" w:fill="434343"/>
          </w:tcPr>
          <w:p>
            <w:pPr>
              <w:pStyle w:val="Compact"/>
              <w:jc w:val="left"/>
            </w:pPr>
            <w:r>
              <w:rPr>
                <w:b/>
                <w:color w:val="FFFFFF"/>
              </w:rPr>
              <w:t xml:space="preserve">Valor</w:t>
            </w:r>
          </w:p>
        </w:tc>
      </w:tr>
      <w:tr>
        <w:tc>
          <w:tcPr>
            <w:tcW w:w="2572" w:type="dxa"/>
          </w:tcPr>
          <w:tcPr/>
          <w:p>
            <w:pPr>
              <w:pStyle w:val="Compact"/>
              <w:jc w:val="left"/>
            </w:pPr>
            <w:r>
              <w:t xml:space="preserve">Tabla de mapeo</w:t>
            </w:r>
          </w:p>
        </w:tc>
        <w:tc>
          <w:tcPr>
            <w:tcW w:w="6788" w:type="dxa"/>
          </w:tcPr>
          <w:tcPr/>
          <w:p>
            <w:pPr>
              <w:pStyle w:val="Compact"/>
              <w:jc w:val="left"/>
            </w:pPr>
            <w:r>
              <w:rPr>
                <w:rStyle w:val="VerbatimChar"/>
              </w:rPr>
              <w:t xml:space="preserve">PConnectProquifaDotNet.dbo.Clientes</w:t>
            </w:r>
          </w:p>
        </w:tc>
      </w:tr>
      <w:tr>
        <w:tc>
          <w:tcPr>
            <w:tcW w:w="2572" w:type="dxa"/>
          </w:tcPr>
          <w:tcPr/>
          <w:p>
            <w:pPr>
              <w:pStyle w:val="Compact"/>
              <w:jc w:val="left"/>
            </w:pPr>
            <w:r>
              <w:t xml:space="preserve">Columnas relevantes</w:t>
            </w:r>
          </w:p>
        </w:tc>
        <w:tc>
          <w:tcPr>
            <w:tcW w:w="6788" w:type="dxa"/>
          </w:tcPr>
          <w:tcPr/>
          <w:p>
            <w:pPr>
              <w:pStyle w:val="Compact"/>
              <w:jc w:val="left"/>
            </w:pPr>
            <w:r>
              <w:rPr>
                <w:rStyle w:val="VerbatimChar"/>
              </w:rPr>
              <w:t xml:space="preserve">ClienteLegacy</w:t>
            </w:r>
            <w:r>
              <w:t xml:space="preserve"> </w:t>
            </w:r>
            <w:r>
              <w:t xml:space="preserve">(int, nullable) /</w:t>
            </w:r>
            <w:r>
              <w:t xml:space="preserve"> </w:t>
            </w:r>
            <w:r>
              <w:rPr>
                <w:rStyle w:val="VerbatimChar"/>
              </w:rPr>
              <w:t xml:space="preserve">ClientePQF</w:t>
            </w:r>
            <w:r>
              <w:t xml:space="preserve"> </w:t>
            </w:r>
            <w:r>
              <w:t xml:space="preserve">(uniqueidentifier, nullable)</w:t>
            </w:r>
          </w:p>
        </w:tc>
      </w:tr>
      <w:tr>
        <w:tc>
          <w:tcPr>
            <w:tcW w:w="2572" w:type="dxa"/>
          </w:tcPr>
          <w:tcPr/>
          <w:p>
            <w:pPr>
              <w:pStyle w:val="Compact"/>
              <w:jc w:val="left"/>
            </w:pPr>
            <w:r>
              <w:t xml:space="preserve">Total filas</w:t>
            </w:r>
          </w:p>
        </w:tc>
        <w:tc>
          <w:tcPr>
            <w:tcW w:w="6788" w:type="dxa"/>
          </w:tcPr>
          <w:tcPr/>
          <w:p>
            <w:pPr>
              <w:pStyle w:val="Compact"/>
              <w:jc w:val="left"/>
            </w:pPr>
            <w:r>
              <w:t xml:space="preserve">4,173 — duplicados idénticos por bug del job de sync (INSERT sin dedup)</w:t>
            </w:r>
          </w:p>
        </w:tc>
      </w:tr>
      <w:tr>
        <w:tc>
          <w:tcPr>
            <w:tcW w:w="2572" w:type="dxa"/>
          </w:tcPr>
          <w:tcPr/>
          <w:p>
            <w:pPr>
              <w:pStyle w:val="Compact"/>
              <w:jc w:val="left"/>
            </w:pPr>
            <w:r>
              <w:t xml:space="preserve">Cobertura vs PQF2</w:t>
            </w:r>
          </w:p>
        </w:tc>
        <w:tc>
          <w:tcPr>
            <w:tcW w:w="6788" w:type="dxa"/>
          </w:tcPr>
          <w:tcPr/>
          <w:p>
            <w:pPr>
              <w:pStyle w:val="Compact"/>
              <w:jc w:val="left"/>
            </w:pPr>
            <w:r>
              <w:t xml:space="preserve">1,398 / 1,400 clientes (99.9%)</w:t>
            </w:r>
          </w:p>
        </w:tc>
      </w:tr>
      <w:tr>
        <w:tc>
          <w:tcPr>
            <w:tcW w:w="2572" w:type="dxa"/>
          </w:tcPr>
          <w:tcPr/>
          <w:p>
            <w:pPr>
              <w:pStyle w:val="Compact"/>
              <w:jc w:val="left"/>
            </w:pPr>
            <w:r>
              <w:t xml:space="preserve">Clientes sin mapeo</w:t>
            </w:r>
          </w:p>
        </w:tc>
        <w:tc>
          <w:tcPr>
            <w:tcW w:w="6788" w:type="dxa"/>
          </w:tcPr>
          <w:tcPr/>
          <w:p>
            <w:pPr>
              <w:pStyle w:val="Compact"/>
              <w:jc w:val="left"/>
            </w:pPr>
            <w:r>
              <w:t xml:space="preserve">2 — producen S4 =</w:t>
            </w:r>
            <w:r>
              <w:t xml:space="preserve"> </w:t>
            </w:r>
            <w:r>
              <w:t xml:space="preserve">“0000”</w:t>
            </w:r>
            <w:r>
              <w:t xml:space="preserve"> </w:t>
            </w:r>
            <w:r>
              <w:t xml:space="preserve">(fallback aceptado)</w:t>
            </w:r>
          </w:p>
        </w:tc>
      </w:tr>
      <w:tr>
        <w:tc>
          <w:tcPr>
            <w:tcW w:w="2572" w:type="dxa"/>
          </w:tcPr>
          <w:tcPr/>
          <w:p>
            <w:pPr>
              <w:pStyle w:val="Compact"/>
              <w:jc w:val="left"/>
            </w:pPr>
            <w:r>
              <w:t xml:space="preserve">ClienteLegacy máximo</w:t>
            </w:r>
          </w:p>
        </w:tc>
        <w:tc>
          <w:tcPr>
            <w:tcW w:w="6788" w:type="dxa"/>
          </w:tcPr>
          <w:tcPr/>
          <w:p>
            <w:pPr>
              <w:pStyle w:val="Compact"/>
              <w:jc w:val="left"/>
            </w:pPr>
            <w:r>
              <w:t xml:space="preserve">7,237 — S4 seguro hasta 9,999</w:t>
            </w:r>
          </w:p>
        </w:tc>
      </w:tr>
      <w:tr>
        <w:tc>
          <w:tcPr>
            <w:tcW w:w="2572" w:type="dxa"/>
          </w:tcPr>
          <w:tcPr/>
          <w:p>
            <w:pPr>
              <w:pStyle w:val="Compact"/>
              <w:jc w:val="left"/>
            </w:pPr>
            <w:r>
              <w:t xml:space="preserve">Ambigüedad</w:t>
            </w:r>
          </w:p>
        </w:tc>
        <w:tc>
          <w:tcPr>
            <w:tcW w:w="6788" w:type="dxa"/>
          </w:tcPr>
          <w:tcPr/>
          <w:p>
            <w:pPr>
              <w:pStyle w:val="Compact"/>
              <w:jc w:val="left"/>
            </w:pPr>
            <w:r>
              <w:t xml:space="preserve">6</w:t>
            </w:r>
            <w:r>
              <w:t xml:space="preserve"> </w:t>
            </w:r>
            <w:r>
              <w:rPr>
                <w:rStyle w:val="VerbatimChar"/>
              </w:rPr>
              <w:t xml:space="preserve">ClienteLegacy</w:t>
            </w:r>
            <w:r>
              <w:t xml:space="preserve"> </w:t>
            </w:r>
            <w:r>
              <w:t xml:space="preserve">mapean a 2</w:t>
            </w:r>
            <w:r>
              <w:t xml:space="preserve"> </w:t>
            </w:r>
            <w:r>
              <w:rPr>
                <w:rStyle w:val="VerbatimChar"/>
              </w:rPr>
              <w:t xml:space="preserve">ClientePQF</w:t>
            </w:r>
            <w:r>
              <w:t xml:space="preserve"> </w:t>
            </w:r>
            <w:r>
              <w:t xml:space="preserve">distintos cada uno — no afecta el lookup porque la query filtra</w:t>
            </w:r>
            <w:r>
              <w:t xml:space="preserve"> </w:t>
            </w:r>
            <w:r>
              <w:rPr>
                <w:rStyle w:val="VerbatimChar"/>
              </w:rPr>
              <w:t xml:space="preserve">WHERE ClientePQF = @IdCliente</w:t>
            </w:r>
          </w:p>
        </w:tc>
      </w:tr>
    </w:tbl>
    <w:p>
      <w:pPr>
        <w:pStyle w:val="BodyText"/>
      </w:pPr>
      <w:r>
        <w:rPr>
          <w:b/>
          <w:bCs/>
        </w:rPr>
        <w:t xml:space="preserve">Fix recomendado — patrón parámetro (Juan David):</w:t>
      </w:r>
      <w:r>
        <w:t xml:space="preserve"> </w:t>
      </w:r>
      <w:r>
        <w:rPr>
          <w:rStyle w:val="VerbatimChar"/>
        </w:rPr>
        <w:t xml:space="preserve">ClienteDatosBancariosBO</w:t>
      </w:r>
      <w:r>
        <w:t xml:space="preserve"> </w:t>
      </w:r>
      <w:r>
        <w:t xml:space="preserve">resuelve</w:t>
      </w:r>
      <w:r>
        <w:t xml:space="preserve"> </w:t>
      </w:r>
      <w:r>
        <w:rPr>
          <w:rStyle w:val="VerbatimChar"/>
        </w:rPr>
        <w:t xml:space="preserve">ClienteLegacy</w:t>
      </w:r>
      <w:r>
        <w:t xml:space="preserve"> </w:t>
      </w:r>
      <w:r>
        <w:t xml:space="preserve">antes de invocar el algoritmo, evitando el contexto EF adicional dentro de</w:t>
      </w:r>
      <w:r>
        <w:t xml:space="preserve"> </w:t>
      </w:r>
      <w:r>
        <w:rPr>
          <w:rStyle w:val="VerbatimChar"/>
        </w:rPr>
        <w:t xml:space="preserve">BankReferenceBO</w:t>
      </w:r>
      <w:r>
        <w:t xml:space="preserve">:</w:t>
      </w:r>
    </w:p>
    <w:p>
      <w:pPr>
        <w:pStyle w:val="BodyText"/>
      </w:pPr>
      <w:r>
        <w:rPr>
          <w:b/>
          <w:bCs/>
        </w:rPr>
        <w:t xml:space="preserve">Paso 1 — modificar firma de</w:t>
      </w:r>
      <w:r>
        <w:rPr>
          <w:b/>
          <w:bCs/>
        </w:rPr>
        <w:t xml:space="preserve"> </w:t>
      </w:r>
      <w:r>
        <w:rPr>
          <w:rStyle w:val="VerbatimChar"/>
          <w:b/>
          <w:bCs/>
        </w:rPr>
        <w:t xml:space="preserve">BankReferenceBO.Build()</w:t>
      </w:r>
    </w:p>
    <w:p>
      <w:pPr>
        <w:pStyle w:val="SourceCode"/>
      </w:pPr>
      <w:r>
        <w:rPr>
          <w:rStyle w:val="CommentTok"/>
        </w:rPr>
        <w:t xml:space="preserve">// ANTES</w:t>
      </w:r>
      <w:r>
        <w:br/>
      </w:r>
      <w:r>
        <w:rPr>
          <w:rStyle w:val="KeywordTok"/>
        </w:rPr>
        <w:t xml:space="preserve">public</w:t>
      </w:r>
      <w:r>
        <w:rPr>
          <w:rStyle w:val="NormalTok"/>
        </w:rPr>
        <w:t xml:space="preserve"> </w:t>
      </w:r>
      <w:r>
        <w:rPr>
          <w:rStyle w:val="DataTypeTok"/>
        </w:rPr>
        <w:t xml:space="preserve">string</w:t>
      </w:r>
      <w:r>
        <w:rPr>
          <w:rStyle w:val="NormalTok"/>
        </w:rPr>
        <w:t xml:space="preserve"> </w:t>
      </w:r>
      <w:r>
        <w:rPr>
          <w:rStyle w:val="FunctionTok"/>
        </w:rPr>
        <w:t xml:space="preserve">Build</w:t>
      </w:r>
      <w:r>
        <w:rPr>
          <w:rStyle w:val="OperatorTok"/>
        </w:rPr>
        <w:t xml:space="preserve">(</w:t>
      </w:r>
      <w:r>
        <w:rPr>
          <w:rStyle w:val="NormalTok"/>
        </w:rPr>
        <w:t xml:space="preserve">Cliente cliente</w:t>
      </w:r>
      <w:r>
        <w:rPr>
          <w:rStyle w:val="OperatorTok"/>
        </w:rPr>
        <w:t xml:space="preserve">,</w:t>
      </w:r>
      <w:r>
        <w:rPr>
          <w:rStyle w:val="NormalTok"/>
        </w:rPr>
        <w:t xml:space="preserve"> EmpresaDatosBancarios cuenta</w:t>
      </w:r>
      <w:r>
        <w:rPr>
          <w:rStyle w:val="OperatorTok"/>
        </w:rPr>
        <w:t xml:space="preserve">,</w:t>
      </w:r>
      <w:r>
        <w:rPr>
          <w:rStyle w:val="NormalTok"/>
        </w:rPr>
        <w:t xml:space="preserve"> </w:t>
      </w:r>
      <w:r>
        <w:rPr>
          <w:rStyle w:val="DataTypeTok"/>
        </w:rPr>
        <w:t xml:space="preserve">string</w:t>
      </w:r>
      <w:r>
        <w:rPr>
          <w:rStyle w:val="NormalTok"/>
        </w:rPr>
        <w:t xml:space="preserve"> codigoValidador</w:t>
      </w:r>
      <w:r>
        <w:rPr>
          <w:rStyle w:val="OperatorTok"/>
        </w:rPr>
        <w:t xml:space="preserve">)</w:t>
      </w:r>
      <w:r>
        <w:br/>
      </w:r>
      <w:r>
        <w:br/>
      </w:r>
      <w:r>
        <w:rPr>
          <w:rStyle w:val="CommentTok"/>
        </w:rPr>
        <w:t xml:space="preserve">// DESPUÉS</w:t>
      </w:r>
      <w:r>
        <w:br/>
      </w:r>
      <w:r>
        <w:rPr>
          <w:rStyle w:val="KeywordTok"/>
        </w:rPr>
        <w:t xml:space="preserve">public</w:t>
      </w:r>
      <w:r>
        <w:rPr>
          <w:rStyle w:val="NormalTok"/>
        </w:rPr>
        <w:t xml:space="preserve"> </w:t>
      </w:r>
      <w:r>
        <w:rPr>
          <w:rStyle w:val="DataTypeTok"/>
        </w:rPr>
        <w:t xml:space="preserve">string</w:t>
      </w:r>
      <w:r>
        <w:rPr>
          <w:rStyle w:val="NormalTok"/>
        </w:rPr>
        <w:t xml:space="preserve"> </w:t>
      </w:r>
      <w:r>
        <w:rPr>
          <w:rStyle w:val="FunctionTok"/>
        </w:rPr>
        <w:t xml:space="preserve">Build</w:t>
      </w:r>
      <w:r>
        <w:rPr>
          <w:rStyle w:val="OperatorTok"/>
        </w:rPr>
        <w:t xml:space="preserve">(</w:t>
      </w:r>
      <w:r>
        <w:rPr>
          <w:rStyle w:val="NormalTok"/>
        </w:rPr>
        <w:t xml:space="preserve">Cliente cliente</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clienteLegacy</w:t>
      </w:r>
      <w:r>
        <w:rPr>
          <w:rStyle w:val="OperatorTok"/>
        </w:rPr>
        <w:t xml:space="preserve">,</w:t>
      </w:r>
      <w:r>
        <w:rPr>
          <w:rStyle w:val="NormalTok"/>
        </w:rPr>
        <w:t xml:space="preserve"> EmpresaDatosBancarios cuenta</w:t>
      </w:r>
      <w:r>
        <w:rPr>
          <w:rStyle w:val="OperatorTok"/>
        </w:rPr>
        <w:t xml:space="preserve">,</w:t>
      </w:r>
      <w:r>
        <w:rPr>
          <w:rStyle w:val="NormalTok"/>
        </w:rPr>
        <w:t xml:space="preserve"> </w:t>
      </w:r>
      <w:r>
        <w:rPr>
          <w:rStyle w:val="DataTypeTok"/>
        </w:rPr>
        <w:t xml:space="preserve">string</w:t>
      </w:r>
      <w:r>
        <w:rPr>
          <w:rStyle w:val="NormalTok"/>
        </w:rPr>
        <w:t xml:space="preserve"> codigoValidador</w:t>
      </w:r>
      <w:r>
        <w:rPr>
          <w:rStyle w:val="OperatorTok"/>
        </w:rPr>
        <w:t xml:space="preserve">)</w:t>
      </w:r>
    </w:p>
    <w:p>
      <w:pPr>
        <w:pStyle w:val="FirstParagraph"/>
      </w:pPr>
      <w:r>
        <w:rPr>
          <w:b/>
          <w:bCs/>
        </w:rPr>
        <w:t xml:space="preserve">Paso 2 — reemplazar</w:t>
      </w:r>
      <w:r>
        <w:rPr>
          <w:b/>
          <w:bCs/>
        </w:rPr>
        <w:t xml:space="preserve"> </w:t>
      </w:r>
      <w:r>
        <w:rPr>
          <w:rStyle w:val="VerbatimChar"/>
          <w:b/>
          <w:bCs/>
        </w:rPr>
        <w:t xml:space="preserve">cliente.Clave</w:t>
      </w:r>
      <w:r>
        <w:rPr>
          <w:b/>
          <w:bCs/>
        </w:rPr>
        <w:t xml:space="preserve"> </w:t>
      </w:r>
      <w:r>
        <w:rPr>
          <w:b/>
          <w:bCs/>
        </w:rPr>
        <w:t xml:space="preserve">en</w:t>
      </w:r>
      <w:r>
        <w:rPr>
          <w:b/>
          <w:bCs/>
        </w:rPr>
        <w:t xml:space="preserve"> </w:t>
      </w:r>
      <w:r>
        <w:rPr>
          <w:rStyle w:val="VerbatimChar"/>
          <w:b/>
          <w:bCs/>
        </w:rPr>
        <w:t xml:space="preserve">BuildBanamex()</w:t>
      </w:r>
    </w:p>
    <w:p>
      <w:pPr>
        <w:pStyle w:val="SourceCode"/>
      </w:pPr>
      <w:r>
        <w:rPr>
          <w:rStyle w:val="CommentTok"/>
        </w:rPr>
        <w:t xml:space="preserve">// ANTES — bug: cliente.Clave no existe en dbo.Cliente de PQF2</w:t>
      </w:r>
      <w:r>
        <w:br/>
      </w:r>
      <w:r>
        <w:rPr>
          <w:rStyle w:val="DataTypeTok"/>
        </w:rPr>
        <w:t xml:space="preserve">var</w:t>
      </w:r>
      <w:r>
        <w:rPr>
          <w:rStyle w:val="NormalTok"/>
        </w:rPr>
        <w:t xml:space="preserve"> clave </w:t>
      </w:r>
      <w:r>
        <w:rPr>
          <w:rStyle w:val="OperatorTok"/>
        </w:rPr>
        <w:t xml:space="preserve">=</w:t>
      </w:r>
      <w:r>
        <w:rPr>
          <w:rStyle w:val="NormalTok"/>
        </w:rPr>
        <w:t xml:space="preserve"> cliente</w:t>
      </w:r>
      <w:r>
        <w:rPr>
          <w:rStyle w:val="OperatorTok"/>
        </w:rPr>
        <w:t xml:space="preserve">.</w:t>
      </w:r>
      <w:r>
        <w:rPr>
          <w:rStyle w:val="FunctionTok"/>
        </w:rPr>
        <w:t xml:space="preserve">Clave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br/>
      </w:r>
      <w:r>
        <w:rPr>
          <w:rStyle w:val="CommentTok"/>
        </w:rPr>
        <w:t xml:space="preserve">// DESPUÉS — recibe clienteLegacy como parámetro ya resuelto por ClienteDatosBancariosBO</w:t>
      </w:r>
      <w:r>
        <w:br/>
      </w:r>
      <w:r>
        <w:rPr>
          <w:rStyle w:val="DataTypeTok"/>
        </w:rPr>
        <w:t xml:space="preserve">var</w:t>
      </w:r>
      <w:r>
        <w:rPr>
          <w:rStyle w:val="NormalTok"/>
        </w:rPr>
        <w:t xml:space="preserve"> claveStr </w:t>
      </w:r>
      <w:r>
        <w:rPr>
          <w:rStyle w:val="OperatorTok"/>
        </w:rPr>
        <w:t xml:space="preserve">=</w:t>
      </w:r>
      <w:r>
        <w:rPr>
          <w:rStyle w:val="NormalTok"/>
        </w:rPr>
        <w:t xml:space="preserve"> clienteLegacy</w:t>
      </w:r>
      <w:r>
        <w:rPr>
          <w:rStyle w:val="OperatorTok"/>
        </w:rPr>
        <w:t xml:space="preserve">?.</w:t>
      </w:r>
      <w:r>
        <w:rPr>
          <w:rStyle w:val="FunctionTok"/>
        </w:rPr>
        <w:t xml:space="preserve">ToString</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rPr>
          <w:rStyle w:val="DataTypeTok"/>
        </w:rPr>
        <w:t xml:space="preserve">var</w:t>
      </w:r>
      <w:r>
        <w:rPr>
          <w:rStyle w:val="NormalTok"/>
        </w:rPr>
        <w:t xml:space="preserve"> seg4 </w:t>
      </w:r>
      <w:r>
        <w:rPr>
          <w:rStyle w:val="OperatorTok"/>
        </w:rPr>
        <w:t xml:space="preserve">=</w:t>
      </w:r>
      <w:r>
        <w:rPr>
          <w:rStyle w:val="NormalTok"/>
        </w:rPr>
        <w:t xml:space="preserve"> claveStr</w:t>
      </w:r>
      <w:r>
        <w:rPr>
          <w:rStyle w:val="OperatorTok"/>
        </w:rPr>
        <w:t xml:space="preserve">.</w:t>
      </w:r>
      <w:r>
        <w:rPr>
          <w:rStyle w:val="Function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4</w:t>
      </w:r>
      <w:r>
        <w:br/>
      </w:r>
      <w:r>
        <w:rPr>
          <w:rStyle w:val="NormalTok"/>
        </w:rPr>
        <w:t xml:space="preserve">    </w:t>
      </w:r>
      <w:r>
        <w:rPr>
          <w:rStyle w:val="OperatorTok"/>
        </w:rPr>
        <w:t xml:space="preserve">?</w:t>
      </w:r>
      <w:r>
        <w:rPr>
          <w:rStyle w:val="NormalTok"/>
        </w:rPr>
        <w:t xml:space="preserve"> claveStr</w:t>
      </w:r>
      <w:r>
        <w:rPr>
          <w:rStyle w:val="OperatorTok"/>
        </w:rPr>
        <w:t xml:space="preserve">.</w:t>
      </w:r>
      <w:r>
        <w:rPr>
          <w:rStyle w:val="FunctionTok"/>
        </w:rPr>
        <w:t xml:space="preserve">Substring</w:t>
      </w:r>
      <w:r>
        <w:rPr>
          <w:rStyle w:val="OperatorTok"/>
        </w:rPr>
        <w:t xml:space="preserve">(</w:t>
      </w:r>
      <w:r>
        <w:rPr>
          <w:rStyle w:val="NormalTok"/>
        </w:rPr>
        <w:t xml:space="preserve">claveStr</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OperatorTok"/>
        </w:rPr>
        <w:t xml:space="preserve">:</w:t>
      </w:r>
      <w:r>
        <w:rPr>
          <w:rStyle w:val="NormalTok"/>
        </w:rPr>
        <w:t xml:space="preserve"> claveStr</w:t>
      </w:r>
      <w:r>
        <w:rPr>
          <w:rStyle w:val="OperatorTok"/>
        </w:rPr>
        <w:t xml:space="preserve">.</w:t>
      </w:r>
      <w:r>
        <w:rPr>
          <w:rStyle w:val="FunctionTok"/>
        </w:rPr>
        <w:t xml:space="preserve">PadLeft</w:t>
      </w:r>
      <w:r>
        <w:rPr>
          <w:rStyle w:val="OperatorTok"/>
        </w:rPr>
        <w:t xml:space="preserve">(</w:t>
      </w:r>
      <w:r>
        <w:rPr>
          <w:rStyle w:val="DecValTok"/>
        </w:rPr>
        <w:t xml:space="preserve">4</w:t>
      </w:r>
      <w:r>
        <w:rPr>
          <w:rStyle w:val="OperatorTok"/>
        </w:rPr>
        <w:t xml:space="preserve">,</w:t>
      </w:r>
      <w:r>
        <w:rPr>
          <w:rStyle w:val="NormalTok"/>
        </w:rPr>
        <w:t xml:space="preserve"> </w:t>
      </w:r>
      <w:r>
        <w:rPr>
          <w:rStyle w:val="CharTok"/>
        </w:rPr>
        <w:t xml:space="preserve">'0'</w:t>
      </w:r>
      <w:r>
        <w:rPr>
          <w:rStyle w:val="OperatorTok"/>
        </w:rPr>
        <w:t xml:space="preserve">);</w:t>
      </w:r>
    </w:p>
    <w:p>
      <w:pPr>
        <w:pStyle w:val="FirstParagraph"/>
      </w:pPr>
      <w:r>
        <w:rPr>
          <w:b/>
          <w:bCs/>
        </w:rPr>
        <w:t xml:space="preserve">Paso 3 — resolver</w:t>
      </w:r>
      <w:r>
        <w:rPr>
          <w:b/>
          <w:bCs/>
        </w:rPr>
        <w:t xml:space="preserve"> </w:t>
      </w:r>
      <w:r>
        <w:rPr>
          <w:rStyle w:val="VerbatimChar"/>
          <w:b/>
          <w:bCs/>
        </w:rPr>
        <w:t xml:space="preserve">ClienteLegacy</w:t>
      </w:r>
      <w:r>
        <w:rPr>
          <w:b/>
          <w:bCs/>
        </w:rPr>
        <w:t xml:space="preserve"> </w:t>
      </w:r>
      <w:r>
        <w:rPr>
          <w:b/>
          <w:bCs/>
        </w:rPr>
        <w:t xml:space="preserve">en</w:t>
      </w:r>
      <w:r>
        <w:rPr>
          <w:b/>
          <w:bCs/>
        </w:rPr>
        <w:t xml:space="preserve"> </w:t>
      </w:r>
      <w:r>
        <w:rPr>
          <w:rStyle w:val="VerbatimChar"/>
          <w:b/>
          <w:bCs/>
        </w:rPr>
        <w:t xml:space="preserve">ClienteDatosBancariosBO</w:t>
      </w:r>
      <w:r>
        <w:rPr>
          <w:b/>
          <w:bCs/>
        </w:rPr>
        <w:t xml:space="preserve"> </w:t>
      </w:r>
      <w:r>
        <w:rPr>
          <w:b/>
          <w:bCs/>
        </w:rPr>
        <w:t xml:space="preserve">antes de invocar el algoritmo</w:t>
      </w:r>
    </w:p>
    <w:p>
      <w:pPr>
        <w:pStyle w:val="BodyText"/>
      </w:pPr>
      <w:r>
        <w:t xml:space="preserve">Patrón del ecosistema: el C# nunca instancia</w:t>
      </w:r>
      <w:r>
        <w:t xml:space="preserve"> </w:t>
      </w:r>
      <w:r>
        <w:rPr>
          <w:rStyle w:val="VerbatimChar"/>
        </w:rPr>
        <w:t xml:space="preserve">PConnectProquifaDotNetEntities</w:t>
      </w:r>
      <w:r>
        <w:t xml:space="preserve"> </w:t>
      </w:r>
      <w:r>
        <w:t xml:space="preserve">directamente en BOs. Los cruces cross-DB se encapsulan en SPs invocados desde</w:t>
      </w:r>
      <w:r>
        <w:t xml:space="preserve"> </w:t>
      </w:r>
      <w:r>
        <w:rPr>
          <w:rStyle w:val="VerbatimChar"/>
        </w:rPr>
        <w:t xml:space="preserve">ProquifaDotNetEntities</w:t>
      </w:r>
      <w:r>
        <w:t xml:space="preserve">. Ejemplos en producción:</w:t>
      </w:r>
      <w:r>
        <w:t xml:space="preserve"> </w:t>
      </w:r>
      <w:r>
        <w:rPr>
          <w:rStyle w:val="VerbatimChar"/>
        </w:rPr>
        <w:t xml:space="preserve">spActualizarClienteLegacy</w:t>
      </w:r>
      <w:r>
        <w:t xml:space="preserve"> </w:t>
      </w:r>
      <w:r>
        <w:t xml:space="preserve">(ClienteBO),</w:t>
      </w:r>
      <w:r>
        <w:t xml:space="preserve"> </w:t>
      </w:r>
      <w:r>
        <w:rPr>
          <w:rStyle w:val="VerbatimChar"/>
        </w:rPr>
        <w:t xml:space="preserve">etlClienteContactoProcesarLegacy</w:t>
      </w:r>
      <w:r>
        <w:t xml:space="preserve"> </w:t>
      </w:r>
      <w:r>
        <w:t xml:space="preserve">(ContactoBO),</w:t>
      </w:r>
      <w:r>
        <w:t xml:space="preserve"> </w:t>
      </w:r>
      <w:r>
        <w:rPr>
          <w:rStyle w:val="VerbatimChar"/>
        </w:rPr>
        <w:t xml:space="preserve">etlClienteDireccionProcesarLegacy</w:t>
      </w:r>
      <w:r>
        <w:t xml:space="preserve"> </w:t>
      </w:r>
      <w:r>
        <w:t xml:space="preserve">(DireccionClienteBO).</w:t>
      </w:r>
    </w:p>
    <w:p>
      <w:pPr>
        <w:pStyle w:val="SourceCode"/>
      </w:pPr>
      <w:r>
        <w:rPr>
          <w:rStyle w:val="CommentTok"/>
        </w:rPr>
        <w:t xml:space="preserve">// SP invocado desde ProquifaDotNetEntities — patrón del ecosistema (NO EF directo a PConnectProquifaDotNetEntities)</w:t>
      </w:r>
      <w:r>
        <w:br/>
      </w:r>
      <w:r>
        <w:rPr>
          <w:rStyle w:val="CommentTok"/>
        </w:rPr>
        <w:t xml:space="preserve">// El SP cruza internamente a PConnectProquifaDotNet.dbo.Clientes con TOP 1 ORDER BY FechaRegistro ASC</w:t>
      </w:r>
      <w:r>
        <w:br/>
      </w:r>
      <w:r>
        <w:rPr>
          <w:rStyle w:val="CommentTok"/>
        </w:rPr>
        <w:t xml:space="preserve">// null si el cliente no tiene mapeo legacy → seg4 = "0000" (fallback aceptado, DIS RT-03)</w:t>
      </w:r>
      <w:r>
        <w:br/>
      </w:r>
      <w:r>
        <w:rPr>
          <w:rStyle w:val="DataTypeTok"/>
        </w:rPr>
        <w:t xml:space="preserve">int</w:t>
      </w:r>
      <w:r>
        <w:rPr>
          <w:rStyle w:val="OperatorTok"/>
        </w:rPr>
        <w:t xml:space="preserve">?</w:t>
      </w:r>
      <w:r>
        <w:rPr>
          <w:rStyle w:val="NormalTok"/>
        </w:rPr>
        <w:t xml:space="preserve"> clienteLegacy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KeywordTok"/>
        </w:rPr>
        <w:t xml:space="preserve">using</w:t>
      </w:r>
      <w:r>
        <w:rPr>
          <w:rStyle w:val="NormalTok"/>
        </w:rPr>
        <w:t xml:space="preserve"> </w:t>
      </w:r>
      <w:r>
        <w:rPr>
          <w:rStyle w:val="OperatorTok"/>
        </w:rPr>
        <w:t xml:space="preserve">(</w:t>
      </w:r>
      <w:r>
        <w:rPr>
          <w:rStyle w:val="DataTypeTok"/>
        </w:rPr>
        <w:t xml:space="preserve">var</w:t>
      </w:r>
      <w:r>
        <w:rPr>
          <w:rStyle w:val="NormalTok"/>
        </w:rPr>
        <w:t xml:space="preserve"> db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ProquifaDotNetEntities</w:t>
      </w:r>
      <w:r>
        <w:rPr>
          <w:rStyle w:val="OperatorTok"/>
        </w:rPr>
        <w:t xml:space="preserve">())</w:t>
      </w:r>
      <w:r>
        <w:br/>
      </w:r>
      <w:r>
        <w:rPr>
          <w:rStyle w:val="OperatorTok"/>
        </w:rPr>
        <w:t xml:space="preserve">{</w:t>
      </w:r>
      <w:r>
        <w:br/>
      </w:r>
      <w:r>
        <w:rPr>
          <w:rStyle w:val="NormalTok"/>
        </w:rPr>
        <w:t xml:space="preserve">    clienteLegacy </w:t>
      </w:r>
      <w:r>
        <w:rPr>
          <w:rStyle w:val="OperatorTok"/>
        </w:rPr>
        <w:t xml:space="preserve">=</w:t>
      </w:r>
      <w:r>
        <w:rPr>
          <w:rStyle w:val="NormalTok"/>
        </w:rPr>
        <w:t xml:space="preserve"> db</w:t>
      </w:r>
      <w:r>
        <w:rPr>
          <w:rStyle w:val="OperatorTok"/>
        </w:rPr>
        <w:t xml:space="preserve">.</w:t>
      </w:r>
      <w:r>
        <w:rPr>
          <w:rStyle w:val="FunctionTok"/>
        </w:rPr>
        <w:t xml:space="preserve">spObtenerClienteLegacyId</w:t>
      </w:r>
      <w:r>
        <w:rPr>
          <w:rStyle w:val="OperatorTok"/>
        </w:rPr>
        <w:t xml:space="preserve">(</w:t>
      </w:r>
      <w:r>
        <w:rPr>
          <w:rStyle w:val="NormalTok"/>
        </w:rPr>
        <w:t xml:space="preserve">cliente</w:t>
      </w:r>
      <w:r>
        <w:rPr>
          <w:rStyle w:val="OperatorTok"/>
        </w:rPr>
        <w:t xml:space="preserve">.</w:t>
      </w:r>
      <w:r>
        <w:rPr>
          <w:rStyle w:val="FunctionTok"/>
        </w:rPr>
        <w:t xml:space="preserve">IdCliente</w:t>
      </w:r>
      <w:r>
        <w:rPr>
          <w:rStyle w:val="OperatorTok"/>
        </w:rPr>
        <w:t xml:space="preserve">)</w:t>
      </w:r>
      <w:r>
        <w:br/>
      </w:r>
      <w:r>
        <w:rPr>
          <w:rStyle w:val="NormalTok"/>
        </w:rPr>
        <w:t xml:space="preserve">                      </w:t>
      </w:r>
      <w:r>
        <w:rPr>
          <w:rStyle w:val="OperatorTok"/>
        </w:rPr>
        <w:t xml:space="preserve">.</w:t>
      </w:r>
      <w:r>
        <w:rPr>
          <w:rStyle w:val="FunctionTok"/>
        </w:rPr>
        <w:t xml:space="preserve">SingleOrDefault</w:t>
      </w:r>
      <w:r>
        <w:rPr>
          <w:rStyle w:val="OperatorTok"/>
        </w:rPr>
        <w:t xml:space="preserve">();</w:t>
      </w:r>
      <w:r>
        <w:br/>
      </w:r>
      <w:r>
        <w:rPr>
          <w:rStyle w:val="OperatorTok"/>
        </w:rPr>
        <w:t xml:space="preserve">}</w:t>
      </w:r>
      <w:r>
        <w:br/>
      </w:r>
      <w:r>
        <w:br/>
      </w:r>
      <w:r>
        <w:rPr>
          <w:rStyle w:val="CommentTok"/>
        </w:rPr>
        <w:t xml:space="preserve">// Registrar advertencia si el cliente no tiene mapeo legacy</w:t>
      </w:r>
      <w:r>
        <w:br/>
      </w:r>
      <w:r>
        <w:rPr>
          <w:rStyle w:val="KeywordTok"/>
        </w:rPr>
        <w:t xml:space="preserve">if</w:t>
      </w:r>
      <w:r>
        <w:rPr>
          <w:rStyle w:val="NormalTok"/>
        </w:rPr>
        <w:t xml:space="preserve"> </w:t>
      </w:r>
      <w:r>
        <w:rPr>
          <w:rStyle w:val="OperatorTok"/>
        </w:rPr>
        <w:t xml:space="preserve">(</w:t>
      </w:r>
      <w:r>
        <w:rPr>
          <w:rStyle w:val="NormalTok"/>
        </w:rPr>
        <w:t xml:space="preserve">clienteLegacy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Logger</w:t>
      </w:r>
      <w:r>
        <w:rPr>
          <w:rStyle w:val="OperatorTok"/>
        </w:rPr>
        <w:t xml:space="preserve">.</w:t>
      </w:r>
      <w:r>
        <w:rPr>
          <w:rStyle w:val="FunctionTok"/>
        </w:rPr>
        <w:t xml:space="preserve">WarnFormat</w:t>
      </w:r>
      <w:r>
        <w:rPr>
          <w:rStyle w:val="OperatorTok"/>
        </w:rPr>
        <w:t xml:space="preserve">(</w:t>
      </w:r>
      <w:r>
        <w:rPr>
          <w:rStyle w:val="StringTok"/>
        </w:rPr>
        <w:t xml:space="preserve">"ClienteLegacy no encontrado para IdCliente {0} — S4 será '0000'"</w:t>
      </w:r>
      <w:r>
        <w:rPr>
          <w:rStyle w:val="OperatorTok"/>
        </w:rPr>
        <w:t xml:space="preserve">,</w:t>
      </w:r>
      <w:r>
        <w:rPr>
          <w:rStyle w:val="NormalTok"/>
        </w:rPr>
        <w:t xml:space="preserve"> cliente</w:t>
      </w:r>
      <w:r>
        <w:rPr>
          <w:rStyle w:val="OperatorTok"/>
        </w:rPr>
        <w:t xml:space="preserve">.</w:t>
      </w:r>
      <w:r>
        <w:rPr>
          <w:rStyle w:val="FunctionTok"/>
        </w:rPr>
        <w:t xml:space="preserve">IdCliente</w:t>
      </w:r>
      <w:r>
        <w:rPr>
          <w:rStyle w:val="OperatorTok"/>
        </w:rPr>
        <w:t xml:space="preserve">);</w:t>
      </w:r>
      <w:r>
        <w:br/>
      </w:r>
      <w:r>
        <w:br/>
      </w:r>
      <w:r>
        <w:rPr>
          <w:rStyle w:val="DataTypeTok"/>
        </w:rPr>
        <w:t xml:space="preserve">var</w:t>
      </w:r>
      <w:r>
        <w:rPr>
          <w:rStyle w:val="NormalTok"/>
        </w:rPr>
        <w:t xml:space="preserve"> referencia </w:t>
      </w:r>
      <w:r>
        <w:rPr>
          <w:rStyle w:val="OperatorTok"/>
        </w:rPr>
        <w:t xml:space="preserve">=</w:t>
      </w:r>
      <w:r>
        <w:rPr>
          <w:rStyle w:val="NormalTok"/>
        </w:rPr>
        <w:t xml:space="preserve"> _bankReferenceBO</w:t>
      </w:r>
      <w:r>
        <w:rPr>
          <w:rStyle w:val="OperatorTok"/>
        </w:rPr>
        <w:t xml:space="preserve">.</w:t>
      </w:r>
      <w:r>
        <w:rPr>
          <w:rStyle w:val="FunctionTok"/>
        </w:rPr>
        <w:t xml:space="preserve">Build</w:t>
      </w:r>
      <w:r>
        <w:rPr>
          <w:rStyle w:val="OperatorTok"/>
        </w:rPr>
        <w:t xml:space="preserve">(</w:t>
      </w:r>
      <w:r>
        <w:br/>
      </w:r>
      <w:r>
        <w:rPr>
          <w:rStyle w:val="NormalTok"/>
        </w:rPr>
        <w:t xml:space="preserve">    cliente</w:t>
      </w:r>
      <w:r>
        <w:rPr>
          <w:rStyle w:val="OperatorTok"/>
        </w:rPr>
        <w:t xml:space="preserve">,</w:t>
      </w:r>
      <w:r>
        <w:rPr>
          <w:rStyle w:val="NormalTok"/>
        </w:rPr>
        <w:t xml:space="preserve"> clienteLegacy</w:t>
      </w:r>
      <w:r>
        <w:rPr>
          <w:rStyle w:val="OperatorTok"/>
        </w:rPr>
        <w:t xml:space="preserve">,</w:t>
      </w:r>
      <w:r>
        <w:rPr>
          <w:rStyle w:val="NormalTok"/>
        </w:rPr>
        <w:t xml:space="preserve"> empresaDatosBancarios</w:t>
      </w:r>
      <w:r>
        <w:rPr>
          <w:rStyle w:val="OperatorTok"/>
        </w:rPr>
        <w:t xml:space="preserve">,</w:t>
      </w:r>
      <w:r>
        <w:rPr>
          <w:rStyle w:val="NormalTok"/>
        </w:rPr>
        <w:t xml:space="preserve"> codigoValidador</w:t>
      </w:r>
      <w:r>
        <w:rPr>
          <w:rStyle w:val="OperatorTok"/>
        </w:rPr>
        <w:t xml:space="preserve">);</w:t>
      </w:r>
    </w:p>
    <w:p>
      <w:pPr>
        <w:pStyle w:val="FirstParagraph"/>
      </w:pPr>
      <w:r>
        <w:rPr>
          <w:b/>
          <w:bCs/>
        </w:rPr>
        <w:t xml:space="preserve">Casos de prueba requeridos para</w:t>
      </w:r>
      <w:r>
        <w:rPr>
          <w:b/>
          <w:bCs/>
        </w:rPr>
        <w:t xml:space="preserve"> </w:t>
      </w:r>
      <w:r>
        <w:rPr>
          <w:rStyle w:val="VerbatimChar"/>
          <w:b/>
          <w:bCs/>
        </w:rPr>
        <w:t xml:space="preserve">BankReferenceBO</w:t>
      </w:r>
      <w:r>
        <w:rPr>
          <w:b/>
          <w:bCs/>
        </w:rPr>
        <w:t xml:space="preserve"> </w:t>
      </w:r>
      <w:r>
        <w:rPr>
          <w:b/>
          <w:bCs/>
        </w:rPr>
        <w:t xml:space="preserve">(unitarias):</w:t>
      </w:r>
    </w:p>
    <w:tbl>
      <w:tblPr>
        <w:tblStyle w:val="Table"/>
        <w:tblW w:type="auto" w:w="0"/>
        <w:tblLook w:firstRow="1" w:lastRow="0" w:firstColumn="0" w:lastColumn="0" w:noHBand="0" w:noVBand="0" w:val="0020"/>
      </w:tblPr>
      <w:tblGrid>
        <w:gridCol w:w="4577"/>
        <w:gridCol w:w="2152"/>
        <w:gridCol w:w="2631"/>
      </w:tblGrid>
      <w:tr>
        <w:trPr>
          <w:tblHeader w:val="on"/>
        </w:trPr>
        <w:tc>
          <w:tcPr>
            <w:tcW w:w="4577" w:type="dxa"/>
            <w:shd w:val="clear" w:color="auto" w:fill="434343"/>
          </w:tcPr>
          <w:p>
            <w:pPr>
              <w:pStyle w:val="Compact"/>
              <w:jc w:val="left"/>
            </w:pPr>
            <w:r>
              <w:rPr>
                <w:b/>
                <w:color w:val="FFFFFF"/>
              </w:rPr>
              <w:t xml:space="preserve">Caso</w:t>
            </w:r>
          </w:p>
        </w:tc>
        <w:tc>
          <w:tcPr>
            <w:tcW w:w="2152" w:type="dxa"/>
            <w:shd w:val="clear" w:color="auto" w:fill="434343"/>
          </w:tcPr>
          <w:p>
            <w:pPr>
              <w:pStyle w:val="Compact"/>
              <w:jc w:val="left"/>
            </w:pPr>
            <w:r>
              <w:rPr>
                <w:b/>
                <w:color w:val="FFFFFF"/>
                <w:rStyle w:val="VerbatimChar"/>
              </w:rPr>
              <w:t xml:space="preserve">clienteLegacy</w:t>
            </w:r>
          </w:p>
        </w:tc>
        <w:tc>
          <w:tcPr>
            <w:tcW w:w="2631" w:type="dxa"/>
            <w:shd w:val="clear" w:color="auto" w:fill="434343"/>
          </w:tcPr>
          <w:p>
            <w:pPr>
              <w:pStyle w:val="Compact"/>
              <w:jc w:val="left"/>
            </w:pPr>
            <w:r>
              <w:rPr>
                <w:b/>
                <w:color w:val="FFFFFF"/>
              </w:rPr>
              <w:t xml:space="preserve">S4 esperado</w:t>
            </w:r>
          </w:p>
        </w:tc>
      </w:tr>
      <w:tr>
        <w:tc>
          <w:tcPr>
            <w:tcW w:w="4577" w:type="dxa"/>
          </w:tcPr>
          <w:tcPr/>
          <w:p>
            <w:pPr>
              <w:pStyle w:val="Compact"/>
              <w:jc w:val="left"/>
            </w:pPr>
            <w:r>
              <w:t xml:space="preserve">Clave larga</w:t>
            </w:r>
          </w:p>
        </w:tc>
        <w:tc>
          <w:tcPr>
            <w:tcW w:w="2152" w:type="dxa"/>
          </w:tcPr>
          <w:tcPr/>
          <w:p>
            <w:pPr>
              <w:pStyle w:val="Compact"/>
              <w:jc w:val="left"/>
            </w:pPr>
            <w:r>
              <w:t xml:space="preserve">12345</w:t>
            </w:r>
          </w:p>
        </w:tc>
        <w:tc>
          <w:tcPr>
            <w:tcW w:w="2631" w:type="dxa"/>
          </w:tcPr>
          <w:tcPr/>
          <w:p>
            <w:pPr>
              <w:pStyle w:val="Compact"/>
              <w:jc w:val="left"/>
            </w:pPr>
            <w:r>
              <w:t xml:space="preserve">“2345”</w:t>
            </w:r>
          </w:p>
        </w:tc>
      </w:tr>
      <w:tr>
        <w:tc>
          <w:tcPr>
            <w:tcW w:w="4577" w:type="dxa"/>
          </w:tcPr>
          <w:tcPr/>
          <w:p>
            <w:pPr>
              <w:pStyle w:val="Compact"/>
              <w:jc w:val="left"/>
            </w:pPr>
            <w:r>
              <w:t xml:space="preserve">Clave exacta 4 dígitos</w:t>
            </w:r>
          </w:p>
        </w:tc>
        <w:tc>
          <w:tcPr>
            <w:tcW w:w="2152" w:type="dxa"/>
          </w:tcPr>
          <w:tcPr/>
          <w:p>
            <w:pPr>
              <w:pStyle w:val="Compact"/>
              <w:jc w:val="left"/>
            </w:pPr>
            <w:r>
              <w:t xml:space="preserve">1234</w:t>
            </w:r>
          </w:p>
        </w:tc>
        <w:tc>
          <w:tcPr>
            <w:tcW w:w="2631" w:type="dxa"/>
          </w:tcPr>
          <w:tcPr/>
          <w:p>
            <w:pPr>
              <w:pStyle w:val="Compact"/>
              <w:jc w:val="left"/>
            </w:pPr>
            <w:r>
              <w:t xml:space="preserve">“1234”</w:t>
            </w:r>
          </w:p>
        </w:tc>
      </w:tr>
      <w:tr>
        <w:tc>
          <w:tcPr>
            <w:tcW w:w="4577" w:type="dxa"/>
          </w:tcPr>
          <w:tcPr/>
          <w:p>
            <w:pPr>
              <w:pStyle w:val="Compact"/>
              <w:jc w:val="left"/>
            </w:pPr>
            <w:r>
              <w:t xml:space="preserve">Clave corta (2 dígitos)</w:t>
            </w:r>
          </w:p>
        </w:tc>
        <w:tc>
          <w:tcPr>
            <w:tcW w:w="2152" w:type="dxa"/>
          </w:tcPr>
          <w:tcPr/>
          <w:p>
            <w:pPr>
              <w:pStyle w:val="Compact"/>
              <w:jc w:val="left"/>
            </w:pPr>
            <w:r>
              <w:t xml:space="preserve">12</w:t>
            </w:r>
          </w:p>
        </w:tc>
        <w:tc>
          <w:tcPr>
            <w:tcW w:w="2631" w:type="dxa"/>
          </w:tcPr>
          <w:tcPr/>
          <w:p>
            <w:pPr>
              <w:pStyle w:val="Compact"/>
              <w:jc w:val="left"/>
            </w:pPr>
            <w:r>
              <w:t xml:space="preserve">“0012”</w:t>
            </w:r>
          </w:p>
        </w:tc>
      </w:tr>
      <w:tr>
        <w:tc>
          <w:tcPr>
            <w:tcW w:w="4577" w:type="dxa"/>
          </w:tcPr>
          <w:tcPr/>
          <w:p>
            <w:pPr>
              <w:pStyle w:val="Compact"/>
              <w:jc w:val="left"/>
            </w:pPr>
            <w:r>
              <w:t xml:space="preserve">Clave 1 dígito</w:t>
            </w:r>
          </w:p>
        </w:tc>
        <w:tc>
          <w:tcPr>
            <w:tcW w:w="2152" w:type="dxa"/>
          </w:tcPr>
          <w:tcPr/>
          <w:p>
            <w:pPr>
              <w:pStyle w:val="Compact"/>
              <w:jc w:val="left"/>
            </w:pPr>
            <w:r>
              <w:t xml:space="preserve">5</w:t>
            </w:r>
          </w:p>
        </w:tc>
        <w:tc>
          <w:tcPr>
            <w:tcW w:w="2631" w:type="dxa"/>
          </w:tcPr>
          <w:tcPr/>
          <w:p>
            <w:pPr>
              <w:pStyle w:val="Compact"/>
              <w:jc w:val="left"/>
            </w:pPr>
            <w:r>
              <w:t xml:space="preserve">“0005”</w:t>
            </w:r>
          </w:p>
        </w:tc>
      </w:tr>
      <w:tr>
        <w:tc>
          <w:tcPr>
            <w:tcW w:w="4577" w:type="dxa"/>
          </w:tcPr>
          <w:tcPr/>
          <w:p>
            <w:pPr>
              <w:pStyle w:val="Compact"/>
              <w:jc w:val="left"/>
            </w:pPr>
            <w:r>
              <w:t xml:space="preserve">Sin mapeo legacy</w:t>
            </w:r>
          </w:p>
        </w:tc>
        <w:tc>
          <w:tcPr>
            <w:tcW w:w="2152" w:type="dxa"/>
          </w:tcPr>
          <w:tcPr/>
          <w:p>
            <w:pPr>
              <w:pStyle w:val="Compact"/>
              <w:jc w:val="left"/>
            </w:pPr>
            <w:r>
              <w:t xml:space="preserve">null</w:t>
            </w:r>
          </w:p>
        </w:tc>
        <w:tc>
          <w:tcPr>
            <w:tcW w:w="2631" w:type="dxa"/>
          </w:tcPr>
          <w:tcPr/>
          <w:p>
            <w:pPr>
              <w:pStyle w:val="Compact"/>
              <w:jc w:val="left"/>
            </w:pPr>
            <w:r>
              <w:t xml:space="preserve">“0000”</w:t>
            </w:r>
          </w:p>
        </w:tc>
      </w:tr>
    </w:tbl>
    <w:p>
      <w:pPr>
        <w:pStyle w:val="Heading2"/>
      </w:pPr>
      <w:r>
        <w:rPr>
          <w:b/>
          <w:bCs/>
        </w:rPr>
        <w:t xml:space="preserve">2. Impacto en modelos</w:t>
      </w:r>
    </w:p>
    <w:p>
      <w:pPr>
        <w:pStyle w:val="Compact"/>
        <w:numPr>
          <w:ilvl w:val="0"/>
          <w:numId w:val="1010"/>
        </w:numPr>
      </w:pPr>
      <w:r>
        <w:rPr>
          <w:b/>
          <w:bCs/>
        </w:rPr>
        <w:t xml:space="preserve">Nueva entidad:</w:t>
      </w:r>
      <w:r>
        <w:t xml:space="preserve"> </w:t>
      </w:r>
      <w:r>
        <w:rPr>
          <w:rStyle w:val="VerbatimChar"/>
        </w:rPr>
        <w:t xml:space="preserve">ClienteDatosBancarios</w:t>
      </w:r>
      <w:r>
        <w:t xml:space="preserve"> </w:t>
      </w:r>
      <w:r>
        <w:t xml:space="preserve">con todos sus campos (ver DDL), incluyendo</w:t>
      </w:r>
      <w:r>
        <w:t xml:space="preserve"> </w:t>
      </w:r>
      <w:r>
        <w:rPr>
          <w:rStyle w:val="VerbatimChar"/>
        </w:rPr>
        <w:t xml:space="preserve">ReferenciaVigente</w:t>
      </w:r>
      <w:r>
        <w:t xml:space="preserve"> </w:t>
      </w:r>
      <w:r>
        <w:t xml:space="preserve">y</w:t>
      </w:r>
      <w:r>
        <w:t xml:space="preserve"> </w:t>
      </w:r>
      <w:r>
        <w:rPr>
          <w:rStyle w:val="VerbatimChar"/>
        </w:rPr>
        <w:t xml:space="preserve">FechaReferenciaVigente</w:t>
      </w:r>
      <w:r>
        <w:t xml:space="preserve">.</w:t>
      </w:r>
    </w:p>
    <w:p>
      <w:pPr>
        <w:pStyle w:val="Compact"/>
        <w:numPr>
          <w:ilvl w:val="0"/>
          <w:numId w:val="1010"/>
        </w:numPr>
      </w:pPr>
      <w:r>
        <w:rPr>
          <w:b/>
          <w:bCs/>
        </w:rPr>
        <w:t xml:space="preserve">Entidad modificada:</w:t>
      </w:r>
      <w:r>
        <w:t xml:space="preserve"> </w:t>
      </w:r>
      <w:r>
        <w:rPr>
          <w:rStyle w:val="VerbatimChar"/>
        </w:rPr>
        <w:t xml:space="preserve">tpProformaPedido</w:t>
      </w:r>
      <w:r>
        <w:t xml:space="preserve"> </w:t>
      </w:r>
      <w:r>
        <w:t xml:space="preserve">— el campo</w:t>
      </w:r>
      <w:r>
        <w:t xml:space="preserve"> </w:t>
      </w:r>
      <w:r>
        <w:rPr>
          <w:rStyle w:val="VerbatimChar"/>
        </w:rPr>
        <w:t xml:space="preserve">ReferenciaPago</w:t>
      </w:r>
      <w:r>
        <w:t xml:space="preserve"> </w:t>
      </w:r>
      <w:r>
        <w:t xml:space="preserve">ya existe y actualmente se asigna</w:t>
      </w:r>
      <w:r>
        <w:t xml:space="preserve"> </w:t>
      </w:r>
      <w:r>
        <w:rPr>
          <w:rStyle w:val="VerbatimChar"/>
        </w:rPr>
        <w:t xml:space="preserve">null</w:t>
      </w:r>
      <w:r>
        <w:t xml:space="preserve">; se asigna el string leído desde</w:t>
      </w:r>
      <w:r>
        <w:t xml:space="preserve"> </w:t>
      </w:r>
      <w:r>
        <w:rPr>
          <w:rStyle w:val="VerbatimChar"/>
        </w:rPr>
        <w:t xml:space="preserve">ClienteDatosBancarios.ReferenciaVigente</w:t>
      </w:r>
      <w:r>
        <w:t xml:space="preserve">.</w:t>
      </w:r>
    </w:p>
    <w:p>
      <w:pPr>
        <w:pStyle w:val="Compact"/>
        <w:numPr>
          <w:ilvl w:val="0"/>
          <w:numId w:val="1010"/>
        </w:numPr>
      </w:pPr>
      <w:r>
        <w:rPr>
          <w:b/>
          <w:bCs/>
        </w:rPr>
        <w:t xml:space="preserve">DTO de aplicación (no EF):</w:t>
      </w:r>
      <w:r>
        <w:t xml:space="preserve"> </w:t>
      </w:r>
      <w:r>
        <w:rPr>
          <w:rStyle w:val="VerbatimChar"/>
        </w:rPr>
        <w:t xml:space="preserve">vClienteDatosBancarios</w:t>
      </w:r>
      <w:r>
        <w:t xml:space="preserve">, objeto plano con los campos mínimos de</w:t>
      </w:r>
      <w:r>
        <w:t xml:space="preserve"> </w:t>
      </w:r>
      <w:r>
        <w:rPr>
          <w:rStyle w:val="VerbatimChar"/>
        </w:rPr>
        <w:t xml:space="preserve">ClienteDatosBancarios</w:t>
      </w:r>
      <w:r>
        <w:t xml:space="preserve">,</w:t>
      </w:r>
      <w:r>
        <w:t xml:space="preserve"> </w:t>
      </w:r>
      <w:r>
        <w:rPr>
          <w:rStyle w:val="VerbatimChar"/>
        </w:rPr>
        <w:t xml:space="preserve">Cliente</w:t>
      </w:r>
      <w:r>
        <w:t xml:space="preserve">,</w:t>
      </w:r>
      <w:r>
        <w:t xml:space="preserve"> </w:t>
      </w:r>
      <w:r>
        <w:rPr>
          <w:rStyle w:val="VerbatimChar"/>
        </w:rPr>
        <w:t xml:space="preserve">Empresa</w:t>
      </w:r>
      <w:r>
        <w:t xml:space="preserve">,</w:t>
      </w:r>
      <w:r>
        <w:t xml:space="preserve"> </w:t>
      </w:r>
      <w:r>
        <w:rPr>
          <w:rStyle w:val="VerbatimChar"/>
        </w:rPr>
        <w:t xml:space="preserve">EmpresaDatosBancarios</w:t>
      </w:r>
      <w:r>
        <w:t xml:space="preserve">,</w:t>
      </w:r>
      <w:r>
        <w:t xml:space="preserve"> </w:t>
      </w:r>
      <w:r>
        <w:rPr>
          <w:rStyle w:val="VerbatimChar"/>
        </w:rPr>
        <w:t xml:space="preserve">DatosBancarios</w:t>
      </w:r>
      <w:r>
        <w:t xml:space="preserve">,</w:t>
      </w:r>
      <w:r>
        <w:t xml:space="preserve"> </w:t>
      </w:r>
      <w:r>
        <w:rPr>
          <w:rStyle w:val="VerbatimChar"/>
        </w:rPr>
        <w:t xml:space="preserve">catMoneda</w:t>
      </w:r>
      <w:r>
        <w:t xml:space="preserve"> </w:t>
      </w:r>
      <w:r>
        <w:t xml:space="preserve">y</w:t>
      </w:r>
      <w:r>
        <w:t xml:space="preserve"> </w:t>
      </w:r>
      <w:r>
        <w:rPr>
          <w:rStyle w:val="VerbatimChar"/>
        </w:rPr>
        <w:t xml:space="preserve">catBanco</w:t>
      </w:r>
      <w:r>
        <w:t xml:space="preserve"> </w:t>
      </w:r>
      <w:r>
        <w:t xml:space="preserve">(ver §19 para el listado exacto). Vive en el código de la aplicación (</w:t>
      </w:r>
      <w:r>
        <w:rPr>
          <w:rStyle w:val="VerbatimChar"/>
        </w:rPr>
        <w:t xml:space="preserve">Logic.Pqf.Catalogos</w:t>
      </w:r>
      <w:r>
        <w:t xml:space="preserve">), sin cambios al modelo EF de</w:t>
      </w:r>
      <w:r>
        <w:t xml:space="preserve"> </w:t>
      </w:r>
      <w:r>
        <w:rPr>
          <w:rStyle w:val="VerbatimChar"/>
        </w:rPr>
        <w:t xml:space="preserve">Core.Pqf</w:t>
      </w:r>
      <w:r>
        <w:t xml:space="preserve">.</w:t>
      </w:r>
    </w:p>
    <w:p>
      <w:r>
        <w:pict>
          <v:rect style="width:0;height:1.5pt" o:hralign="center" o:hrstd="t" o:hr="t"/>
        </w:pict>
      </w:r>
    </w:p>
    <w:p>
      <w:pPr>
        <w:pStyle w:val="Heading1"/>
      </w:pPr>
      <w:r>
        <w:rPr>
          <w:b/>
          <w:bCs/>
        </w:rPr>
        <w:t xml:space="preserve">Manejo de Errores y Excepciones</w:t>
      </w:r>
    </w:p>
    <w:tbl>
      <w:tblPr>
        <w:tblStyle w:val="Table"/>
        <w:tblW w:type="pct" w:w="5000"/>
        <w:tblLayout w:type="fixed"/>
        <w:tblLook w:firstRow="1" w:lastRow="0" w:firstColumn="0" w:lastColumn="0" w:noHBand="0" w:noVBand="0" w:val="0020"/>
      </w:tblPr>
      <w:tblGrid>
        <w:gridCol w:w="3421"/>
        <w:gridCol w:w="5939"/>
      </w:tblGrid>
      <w:tr>
        <w:trPr>
          <w:tblHeader w:val="on"/>
        </w:trPr>
        <w:tc>
          <w:tcPr>
            <w:tcW w:w="3421" w:type="dxa"/>
            <w:shd w:val="clear" w:color="auto" w:fill="434343"/>
          </w:tcPr>
          <w:p>
            <w:pPr>
              <w:pStyle w:val="Compact"/>
              <w:jc w:val="left"/>
            </w:pPr>
            <w:r>
              <w:rPr>
                <w:b/>
                <w:color w:val="FFFFFF"/>
              </w:rPr>
              <w:t xml:space="preserve">Escenario</w:t>
            </w:r>
          </w:p>
        </w:tc>
        <w:tc>
          <w:tcPr>
            <w:tcW w:w="5939" w:type="dxa"/>
            <w:shd w:val="clear" w:color="auto" w:fill="434343"/>
          </w:tcPr>
          <w:p>
            <w:pPr>
              <w:pStyle w:val="Compact"/>
              <w:jc w:val="left"/>
            </w:pPr>
            <w:r>
              <w:rPr>
                <w:b/>
                <w:color w:val="FFFFFF"/>
              </w:rPr>
              <w:t xml:space="preserve">Comportamiento esperado</w:t>
            </w:r>
          </w:p>
        </w:tc>
      </w:tr>
      <w:tr>
        <w:tc>
          <w:tcPr>
            <w:tcW w:w="3421" w:type="dxa"/>
          </w:tcPr>
          <w:tcPr/>
          <w:p>
            <w:pPr>
              <w:pStyle w:val="Compact"/>
              <w:jc w:val="left"/>
            </w:pPr>
            <w:r>
              <w:rPr>
                <w:rStyle w:val="VerbatimChar"/>
              </w:rPr>
              <w:t xml:space="preserve">PUT /ClienteDatosBancarios</w:t>
            </w:r>
            <w:r>
              <w:t xml:space="preserve"> </w:t>
            </w:r>
            <w:r>
              <w:t xml:space="preserve">con</w:t>
            </w:r>
            <w:r>
              <w:t xml:space="preserve"> </w:t>
            </w:r>
            <w:r>
              <w:rPr>
                <w:rStyle w:val="VerbatimChar"/>
              </w:rPr>
              <w:t xml:space="preserve">IdEmpresaDatosBancarios</w:t>
            </w:r>
            <w:r>
              <w:t xml:space="preserve"> </w:t>
            </w:r>
            <w:r>
              <w:t xml:space="preserve">vacío, inválido o inexistente</w:t>
            </w:r>
          </w:p>
        </w:tc>
        <w:tc>
          <w:tcPr>
            <w:tcW w:w="5939" w:type="dxa"/>
          </w:tcPr>
          <w:tcPr/>
          <w:p>
            <w:pPr>
              <w:pStyle w:val="Compact"/>
              <w:jc w:val="left"/>
            </w:pPr>
            <w:r>
              <w:rPr>
                <w:rStyle w:val="VerbatimChar"/>
              </w:rPr>
              <w:t xml:space="preserve">ClienteDatosBancariosBO</w:t>
            </w:r>
            <w:r>
              <w:t xml:space="preserve"> </w:t>
            </w:r>
            <w:r>
              <w:t xml:space="preserve">rechaza; controller responde</w:t>
            </w:r>
            <w:r>
              <w:t xml:space="preserve"> </w:t>
            </w:r>
            <w:r>
              <w:rPr>
                <w:rStyle w:val="VerbatimChar"/>
              </w:rPr>
              <w:t xml:space="preserve">400 Bad Request</w:t>
            </w:r>
            <w:r>
              <w:t xml:space="preserve"> </w:t>
            </w:r>
            <w:r>
              <w:t xml:space="preserve">con mensaje</w:t>
            </w:r>
            <w:r>
              <w:t xml:space="preserve"> </w:t>
            </w:r>
            <w:r>
              <w:t xml:space="preserve">“La cuenta bancaria seleccionada no existe.”</w:t>
            </w:r>
          </w:p>
        </w:tc>
      </w:tr>
      <w:tr>
        <w:tc>
          <w:tcPr>
            <w:tcW w:w="3421" w:type="dxa"/>
          </w:tcPr>
          <w:tcPr/>
          <w:p>
            <w:pPr>
              <w:pStyle w:val="Compact"/>
              <w:jc w:val="left"/>
            </w:pPr>
            <w:r>
              <w:rPr>
                <w:rStyle w:val="VerbatimChar"/>
              </w:rPr>
              <w:t xml:space="preserve">PUT /ClienteDatosBancarios</w:t>
            </w:r>
            <w:r>
              <w:t xml:space="preserve"> </w:t>
            </w:r>
            <w:r>
              <w:t xml:space="preserve">con cuenta</w:t>
            </w:r>
            <w:r>
              <w:t xml:space="preserve"> </w:t>
            </w:r>
            <w:r>
              <w:rPr>
                <w:rStyle w:val="VerbatimChar"/>
              </w:rPr>
              <w:t xml:space="preserve">Activo = 0</w:t>
            </w:r>
          </w:p>
        </w:tc>
        <w:tc>
          <w:tcPr>
            <w:tcW w:w="5939" w:type="dxa"/>
          </w:tcPr>
          <w:tcPr/>
          <w:p>
            <w:pPr>
              <w:pStyle w:val="Compact"/>
              <w:jc w:val="left"/>
            </w:pPr>
            <w:r>
              <w:rPr>
                <w:rStyle w:val="VerbatimChar"/>
              </w:rPr>
              <w:t xml:space="preserve">ClienteDatosBancariosBO</w:t>
            </w:r>
            <w:r>
              <w:t xml:space="preserve"> </w:t>
            </w:r>
            <w:r>
              <w:t xml:space="preserve">rechaza; controller responde</w:t>
            </w:r>
            <w:r>
              <w:t xml:space="preserve"> </w:t>
            </w:r>
            <w:r>
              <w:rPr>
                <w:rStyle w:val="VerbatimChar"/>
              </w:rPr>
              <w:t xml:space="preserve">400 Bad Request</w:t>
            </w:r>
            <w:r>
              <w:t xml:space="preserve"> </w:t>
            </w:r>
            <w:r>
              <w:t xml:space="preserve">con mensaje</w:t>
            </w:r>
            <w:r>
              <w:t xml:space="preserve"> </w:t>
            </w:r>
            <w:r>
              <w:t xml:space="preserve">“La cuenta bancaria seleccionada no está activa.”</w:t>
            </w:r>
          </w:p>
        </w:tc>
      </w:tr>
      <w:tr>
        <w:tc>
          <w:tcPr>
            <w:tcW w:w="3421" w:type="dxa"/>
          </w:tcPr>
          <w:tcPr/>
          <w:p>
            <w:pPr>
              <w:pStyle w:val="Compact"/>
              <w:jc w:val="left"/>
            </w:pPr>
            <w:r>
              <w:rPr>
                <w:rStyle w:val="VerbatimChar"/>
              </w:rPr>
              <w:t xml:space="preserve">PUT /ClienteDatosBancarios</w:t>
            </w:r>
            <w:r>
              <w:t xml:space="preserve"> </w:t>
            </w:r>
            <w:r>
              <w:t xml:space="preserve">con par (</w:t>
            </w:r>
            <w:r>
              <w:rPr>
                <w:rStyle w:val="VerbatimChar"/>
              </w:rPr>
              <w:t xml:space="preserve">IdCliente</w:t>
            </w:r>
            <w:r>
              <w:t xml:space="preserve">,</w:t>
            </w:r>
            <w:r>
              <w:t xml:space="preserve"> </w:t>
            </w:r>
            <w:r>
              <w:rPr>
                <w:rStyle w:val="VerbatimChar"/>
              </w:rPr>
              <w:t xml:space="preserve">IdEmpresaDatosBancarios</w:t>
            </w:r>
            <w:r>
              <w:t xml:space="preserve">) ya existente y activo</w:t>
            </w:r>
          </w:p>
        </w:tc>
        <w:tc>
          <w:tcPr>
            <w:tcW w:w="5939" w:type="dxa"/>
          </w:tcPr>
          <w:tcPr/>
          <w:p>
            <w:pPr>
              <w:pStyle w:val="Compact"/>
              <w:jc w:val="left"/>
            </w:pPr>
            <w:r>
              <w:rPr>
                <w:rStyle w:val="VerbatimChar"/>
              </w:rPr>
              <w:t xml:space="preserve">ClienteDatosBancariosBO</w:t>
            </w:r>
            <w:r>
              <w:t xml:space="preserve"> </w:t>
            </w:r>
            <w:r>
              <w:t xml:space="preserve">detecta duplicado; controller responde</w:t>
            </w:r>
            <w:r>
              <w:t xml:space="preserve"> </w:t>
            </w:r>
            <w:r>
              <w:rPr>
                <w:rStyle w:val="VerbatimChar"/>
              </w:rPr>
              <w:t xml:space="preserve">400 Bad Request</w:t>
            </w:r>
            <w:r>
              <w:t xml:space="preserve"> </w:t>
            </w:r>
            <w:r>
              <w:t xml:space="preserve">con mensaje</w:t>
            </w:r>
            <w:r>
              <w:t xml:space="preserve"> </w:t>
            </w:r>
            <w:r>
              <w:t xml:space="preserve">“Esta cuenta ya está asignada al cliente.”</w:t>
            </w:r>
            <w:r>
              <w:t xml:space="preserve"> </w:t>
            </w:r>
            <w:r>
              <w:t xml:space="preserve">(mismo código que el resto de validaciones de este endpoint, sin distinción de</w:t>
            </w:r>
            <w:r>
              <w:t xml:space="preserve"> </w:t>
            </w:r>
            <w:r>
              <w:rPr>
                <w:rStyle w:val="VerbatimChar"/>
              </w:rPr>
              <w:t xml:space="preserve">409</w:t>
            </w:r>
            <w:r>
              <w:t xml:space="preserve">)</w:t>
            </w:r>
          </w:p>
        </w:tc>
      </w:tr>
      <w:tr>
        <w:tc>
          <w:tcPr>
            <w:tcW w:w="3421" w:type="dxa"/>
          </w:tcPr>
          <w:tcPr/>
          <w:p>
            <w:pPr>
              <w:pStyle w:val="Compact"/>
              <w:jc w:val="left"/>
            </w:pPr>
            <w:r>
              <w:rPr>
                <w:rStyle w:val="VerbatimChar"/>
              </w:rPr>
              <w:t xml:space="preserve">PUT</w:t>
            </w:r>
            <w:r>
              <w:t xml:space="preserve"> </w:t>
            </w:r>
            <w:r>
              <w:t xml:space="preserve">(alta) con</w:t>
            </w:r>
            <w:r>
              <w:t xml:space="preserve"> </w:t>
            </w:r>
            <w:r>
              <w:rPr>
                <w:rStyle w:val="VerbatimChar"/>
              </w:rPr>
              <w:t xml:space="preserve">CodigoValidador</w:t>
            </w:r>
            <w:r>
              <w:t xml:space="preserve"> </w:t>
            </w:r>
            <w:r>
              <w:t xml:space="preserve">nulo o vacío</w:t>
            </w:r>
            <w:r>
              <w:t xml:space="preserve"> </w:t>
            </w:r>
            <w:r>
              <w:rPr>
                <w:b/>
                <w:bCs/>
              </w:rPr>
              <w:t xml:space="preserve">y</w:t>
            </w:r>
            <w:r>
              <w:t xml:space="preserve"> </w:t>
            </w:r>
            <w:r>
              <w:t xml:space="preserve">cuenta de un banco que lo requiere (</w:t>
            </w:r>
            <w:r>
              <w:rPr>
                <w:rStyle w:val="VerbatimChar"/>
              </w:rPr>
              <w:t xml:space="preserve">RequiereCodigoValidador = true</w:t>
            </w:r>
            <w:r>
              <w:t xml:space="preserve">)</w:t>
            </w:r>
          </w:p>
        </w:tc>
        <w:tc>
          <w:tcPr>
            <w:tcW w:w="5939" w:type="dxa"/>
          </w:tcPr>
          <w:tcPr/>
          <w:p>
            <w:pPr>
              <w:pStyle w:val="Compact"/>
              <w:jc w:val="left"/>
            </w:pPr>
            <w:r>
              <w:rPr>
                <w:rStyle w:val="VerbatimChar"/>
              </w:rPr>
              <w:t xml:space="preserve">ClienteDatosBancariosBO</w:t>
            </w:r>
            <w:r>
              <w:t xml:space="preserve"> </w:t>
            </w:r>
            <w:r>
              <w:t xml:space="preserve">rechaza; controller responde</w:t>
            </w:r>
            <w:r>
              <w:t xml:space="preserve"> </w:t>
            </w:r>
            <w:r>
              <w:rPr>
                <w:rStyle w:val="VerbatimChar"/>
              </w:rPr>
              <w:t xml:space="preserve">400 Bad Request</w:t>
            </w:r>
            <w:r>
              <w:t xml:space="preserve"> </w:t>
            </w:r>
            <w:r>
              <w:t xml:space="preserve">con mensaje</w:t>
            </w:r>
            <w:r>
              <w:t xml:space="preserve"> </w:t>
            </w:r>
            <w:r>
              <w:t xml:space="preserve">“El Código Validador es requerido para el banco de la cuenta.”</w:t>
            </w:r>
            <w:r>
              <w:t xml:space="preserve"> </w:t>
            </w:r>
            <w:r>
              <w:t xml:space="preserve">No aplica a bancos donde</w:t>
            </w:r>
            <w:r>
              <w:t xml:space="preserve"> </w:t>
            </w:r>
            <w:r>
              <w:rPr>
                <w:rStyle w:val="VerbatimChar"/>
              </w:rPr>
              <w:t xml:space="preserve">RequiereCodigoValidador = false</w:t>
            </w:r>
            <w:r>
              <w:t xml:space="preserve"> </w:t>
            </w:r>
            <w:r>
              <w:t xml:space="preserve">— el alta procede sin el campo.</w:t>
            </w:r>
          </w:p>
        </w:tc>
      </w:tr>
      <w:tr>
        <w:tc>
          <w:tcPr>
            <w:tcW w:w="3421" w:type="dxa"/>
          </w:tcPr>
          <w:tcPr/>
          <w:p>
            <w:pPr>
              <w:pStyle w:val="Compact"/>
              <w:jc w:val="left"/>
            </w:pPr>
            <w:r>
              <w:t xml:space="preserve">Endpoint de RE-006 — cliente sin asignación activa para la empresa emisora</w:t>
            </w:r>
          </w:p>
        </w:tc>
        <w:tc>
          <w:tcPr>
            <w:tcW w:w="5939" w:type="dxa"/>
          </w:tcPr>
          <w:tcPr/>
          <w:p>
            <w:pPr>
              <w:pStyle w:val="Compact"/>
              <w:jc w:val="left"/>
            </w:pPr>
            <w:r>
              <w:t xml:space="preserve">El endpoint devuelve arreglo vacío; RE-016 deja</w:t>
            </w:r>
            <w:r>
              <w:t xml:space="preserve"> </w:t>
            </w:r>
            <w:r>
              <w:rPr>
                <w:rStyle w:val="VerbatimChar"/>
              </w:rPr>
              <w:t xml:space="preserve">ReferenciaPago = null</w:t>
            </w:r>
            <w:r>
              <w:t xml:space="preserve"> </w:t>
            </w:r>
            <w:r>
              <w:t xml:space="preserve">en la proforma — no bloquea la generación.</w:t>
            </w:r>
          </w:p>
        </w:tc>
      </w:tr>
      <w:tr>
        <w:tc>
          <w:tcPr>
            <w:tcW w:w="3421" w:type="dxa"/>
          </w:tcPr>
          <w:tcPr/>
          <w:p>
            <w:pPr>
              <w:pStyle w:val="Compact"/>
              <w:jc w:val="left"/>
            </w:pPr>
            <w:r>
              <w:t xml:space="preserve">Flujo 3 — fallo al recalcular una asignación durante la cascada</w:t>
            </w:r>
          </w:p>
        </w:tc>
        <w:tc>
          <w:tcPr>
            <w:tcW w:w="5939" w:type="dxa"/>
          </w:tcPr>
          <w:tcPr/>
          <w:p>
            <w:pPr>
              <w:pStyle w:val="Compact"/>
              <w:jc w:val="left"/>
            </w:pPr>
            <w:r>
              <w:t xml:space="preserve">Rollback de toda la transacción de guardado del cliente (consistencia &gt; disponibilidad); no se persiste el cambio de nombre con referencias inconsistentes.</w:t>
            </w:r>
          </w:p>
        </w:tc>
      </w:tr>
      <w:tr>
        <w:tc>
          <w:tcPr>
            <w:tcW w:w="3421" w:type="dxa"/>
          </w:tcPr>
          <w:tcPr/>
          <w:p>
            <w:pPr>
              <w:pStyle w:val="Compact"/>
              <w:jc w:val="left"/>
            </w:pPr>
            <w:r>
              <w:rPr>
                <w:rStyle w:val="VerbatimChar"/>
              </w:rPr>
              <w:t xml:space="preserve">BankReferenceBO</w:t>
            </w:r>
            <w:r>
              <w:t xml:space="preserve"> </w:t>
            </w:r>
            <w:r>
              <w:t xml:space="preserve">— nombre de cliente vacío o nulo (segmentos S1-S3)</w:t>
            </w:r>
          </w:p>
        </w:tc>
        <w:tc>
          <w:tcPr>
            <w:tcW w:w="5939" w:type="dxa"/>
          </w:tcPr>
          <w:tcPr/>
          <w:p>
            <w:pPr>
              <w:pStyle w:val="Compact"/>
              <w:jc w:val="left"/>
            </w:pPr>
            <w:r>
              <w:t xml:space="preserve">Aplica fallback</w:t>
            </w:r>
            <w:r>
              <w:t xml:space="preserve"> </w:t>
            </w:r>
            <w:r>
              <w:rPr>
                <w:rStyle w:val="VerbatimChar"/>
              </w:rPr>
              <w:t xml:space="preserve">'X'</w:t>
            </w:r>
            <w:r>
              <w:t xml:space="preserve"> </w:t>
            </w:r>
            <w:r>
              <w:t xml:space="preserve">por segmento faltante; no lanza excepción.</w:t>
            </w:r>
          </w:p>
        </w:tc>
      </w:tr>
      <w:tr>
        <w:tc>
          <w:tcPr>
            <w:tcW w:w="3421" w:type="dxa"/>
          </w:tcPr>
          <w:tcPr/>
          <w:p>
            <w:pPr>
              <w:pStyle w:val="Compact"/>
              <w:jc w:val="left"/>
            </w:pPr>
            <w:r>
              <w:rPr>
                <w:rStyle w:val="VerbatimChar"/>
              </w:rPr>
              <w:t xml:space="preserve">BankReferenceBO</w:t>
            </w:r>
            <w:r>
              <w:t xml:space="preserve"> </w:t>
            </w:r>
            <w:r>
              <w:t xml:space="preserve">—</w:t>
            </w:r>
            <w:r>
              <w:t xml:space="preserve"> </w:t>
            </w:r>
            <w:r>
              <w:rPr>
                <w:rStyle w:val="VerbatimChar"/>
              </w:rPr>
              <w:t xml:space="preserve">catBanco.RequiereCodigoValidador = 0</w:t>
            </w:r>
            <w:r>
              <w:t xml:space="preserve"> </w:t>
            </w:r>
            <w:r>
              <w:t xml:space="preserve">(o no encontrado)</w:t>
            </w:r>
          </w:p>
        </w:tc>
        <w:tc>
          <w:tcPr>
            <w:tcW w:w="5939" w:type="dxa"/>
          </w:tcPr>
          <w:tcPr/>
          <w:p>
            <w:pPr>
              <w:pStyle w:val="Compact"/>
              <w:jc w:val="left"/>
            </w:pPr>
            <w:r>
              <w:t xml:space="preserve">Tratar como no-Banamex: referencia =</w:t>
            </w:r>
            <w:r>
              <w:t xml:space="preserve"> </w:t>
            </w:r>
            <w:r>
              <w:rPr>
                <w:rStyle w:val="VerbatimChar"/>
              </w:rPr>
              <w:t xml:space="preserve">DatosFacturacionCliente.RazonSocial</w:t>
            </w:r>
            <w:r>
              <w:t xml:space="preserve">. No lanzar excepción. Registrar log de advertencia con</w:t>
            </w:r>
            <w:r>
              <w:t xml:space="preserve"> </w:t>
            </w:r>
            <w:r>
              <w:rPr>
                <w:rStyle w:val="VerbatimChar"/>
              </w:rPr>
              <w:t xml:space="preserve">IdCatBanco</w:t>
            </w:r>
            <w:r>
              <w:t xml:space="preserve"> </w:t>
            </w:r>
            <w:r>
              <w:t xml:space="preserve">para diagnóstico.</w:t>
            </w:r>
          </w:p>
        </w:tc>
      </w:tr>
      <w:tr>
        <w:tc>
          <w:tcPr>
            <w:tcW w:w="3421" w:type="dxa"/>
          </w:tcPr>
          <w:tcPr/>
          <w:p>
            <w:pPr>
              <w:pStyle w:val="Compact"/>
              <w:jc w:val="left"/>
            </w:pPr>
            <w:r>
              <w:t xml:space="preserve">Error al calcular</w:t>
            </w:r>
            <w:r>
              <w:t xml:space="preserve"> </w:t>
            </w:r>
            <w:r>
              <w:rPr>
                <w:rStyle w:val="VerbatimChar"/>
              </w:rPr>
              <w:t xml:space="preserve">ReferenciaVigente</w:t>
            </w:r>
            <w:r>
              <w:t xml:space="preserve"> </w:t>
            </w:r>
            <w:r>
              <w:t xml:space="preserve">en Flujo 1</w:t>
            </w:r>
          </w:p>
        </w:tc>
        <w:tc>
          <w:tcPr>
            <w:tcW w:w="5939" w:type="dxa"/>
          </w:tcPr>
          <w:tcPr/>
          <w:p>
            <w:pPr>
              <w:pStyle w:val="Compact"/>
              <w:jc w:val="left"/>
            </w:pPr>
            <w:r>
              <w:t xml:space="preserve">Propagar excepción; no persistir el registro con</w:t>
            </w:r>
            <w:r>
              <w:t xml:space="preserve"> </w:t>
            </w:r>
            <w:r>
              <w:rPr>
                <w:rStyle w:val="VerbatimChar"/>
              </w:rPr>
              <w:t xml:space="preserve">ReferenciaVigente</w:t>
            </w:r>
            <w:r>
              <w:t xml:space="preserve"> </w:t>
            </w:r>
            <w:r>
              <w:t xml:space="preserve">nula salvo que sea el fallback esperado por falta de asignación Banamex.</w:t>
            </w:r>
          </w:p>
        </w:tc>
      </w:tr>
    </w:tbl>
    <w:p>
      <w:r>
        <w:pict>
          <v:rect style="width:0;height:1.5pt" o:hralign="center" o:hrstd="t" o:hr="t"/>
        </w:pict>
      </w:r>
    </w:p>
    <w:p>
      <w:pPr>
        <w:pStyle w:val="Heading1"/>
      </w:pPr>
      <w:r>
        <w:rPr>
          <w:b/>
          <w:bCs/>
        </w:rPr>
        <w:t xml:space="preserve">Estrategia de Pruebas</w:t>
      </w:r>
    </w:p>
    <w:p>
      <w:pPr>
        <w:pStyle w:val="Heading2"/>
      </w:pPr>
      <w:r>
        <w:rPr>
          <w:b/>
          <w:bCs/>
        </w:rPr>
        <w:t xml:space="preserve">1. Pruebas funcionales (Criterios de Aceptación en DEV)</w:t>
      </w:r>
    </w:p>
    <w:p>
      <w:pPr>
        <w:pStyle w:val="Compact"/>
        <w:numPr>
          <w:ilvl w:val="0"/>
          <w:numId w:val="1011"/>
        </w:numPr>
      </w:pPr>
      <w:r>
        <w:t xml:space="preserve">Crear asignación nueva → registro creado en</w:t>
      </w:r>
      <w:r>
        <w:t xml:space="preserve"> </w:t>
      </w:r>
      <w:r>
        <w:rPr>
          <w:rStyle w:val="VerbatimChar"/>
        </w:rPr>
        <w:t xml:space="preserve">ClienteDatosBancarios</w:t>
      </w:r>
      <w:r>
        <w:t xml:space="preserve"> </w:t>
      </w:r>
      <w:r>
        <w:t xml:space="preserve">con</w:t>
      </w:r>
      <w:r>
        <w:t xml:space="preserve"> </w:t>
      </w:r>
      <w:r>
        <w:rPr>
          <w:rStyle w:val="VerbatimChar"/>
        </w:rPr>
        <w:t xml:space="preserve">ReferenciaVigente</w:t>
      </w:r>
      <w:r>
        <w:t xml:space="preserve"> </w:t>
      </w:r>
      <w:r>
        <w:t xml:space="preserve">calculada correctamente.</w:t>
      </w:r>
    </w:p>
    <w:p>
      <w:pPr>
        <w:pStyle w:val="Compact"/>
        <w:numPr>
          <w:ilvl w:val="0"/>
          <w:numId w:val="1011"/>
        </w:numPr>
      </w:pPr>
      <w:r>
        <w:t xml:space="preserve">Intentar crear asignación con cuenta inactiva →</w:t>
      </w:r>
      <w:r>
        <w:t xml:space="preserve"> </w:t>
      </w:r>
      <w:r>
        <w:rPr>
          <w:rStyle w:val="VerbatimChar"/>
        </w:rPr>
        <w:t xml:space="preserve">400 Bad Request</w:t>
      </w:r>
      <w:r>
        <w:t xml:space="preserve">.</w:t>
      </w:r>
    </w:p>
    <w:p>
      <w:pPr>
        <w:pStyle w:val="Compact"/>
        <w:numPr>
          <w:ilvl w:val="0"/>
          <w:numId w:val="1011"/>
        </w:numPr>
      </w:pPr>
      <w:r>
        <w:t xml:space="preserve">Intentar crear asignación duplicada (misma cuenta al mismo cliente) →</w:t>
      </w:r>
      <w:r>
        <w:t xml:space="preserve"> </w:t>
      </w:r>
      <w:r>
        <w:rPr>
          <w:rStyle w:val="VerbatimChar"/>
        </w:rPr>
        <w:t xml:space="preserve">400 Bad Request</w:t>
      </w:r>
      <w:r>
        <w:t xml:space="preserve">.</w:t>
      </w:r>
    </w:p>
    <w:p>
      <w:pPr>
        <w:pStyle w:val="Compact"/>
        <w:numPr>
          <w:ilvl w:val="0"/>
          <w:numId w:val="1011"/>
        </w:numPr>
      </w:pPr>
      <w:r>
        <w:t xml:space="preserve">Intentar crear asignación sin</w:t>
      </w:r>
      <w:r>
        <w:t xml:space="preserve"> </w:t>
      </w:r>
      <w:r>
        <w:rPr>
          <w:rStyle w:val="VerbatimChar"/>
        </w:rPr>
        <w:t xml:space="preserve">CodigoValidador</w:t>
      </w:r>
      <w:r>
        <w:t xml:space="preserve"> </w:t>
      </w:r>
      <w:r>
        <w:t xml:space="preserve">→</w:t>
      </w:r>
      <w:r>
        <w:t xml:space="preserve"> </w:t>
      </w:r>
      <w:r>
        <w:rPr>
          <w:rStyle w:val="VerbatimChar"/>
        </w:rPr>
        <w:t xml:space="preserve">400 Bad Request</w:t>
      </w:r>
      <w:r>
        <w:t xml:space="preserve">.</w:t>
      </w:r>
    </w:p>
    <w:p>
      <w:pPr>
        <w:pStyle w:val="Compact"/>
        <w:numPr>
          <w:ilvl w:val="0"/>
          <w:numId w:val="1011"/>
        </w:numPr>
      </w:pPr>
      <w:r>
        <w:t xml:space="preserve">Modificar</w:t>
      </w:r>
      <w:r>
        <w:t xml:space="preserve"> </w:t>
      </w:r>
      <w:r>
        <w:rPr>
          <w:rStyle w:val="VerbatimChar"/>
        </w:rPr>
        <w:t xml:space="preserve">CodigoValidador</w:t>
      </w:r>
      <w:r>
        <w:t xml:space="preserve"> </w:t>
      </w:r>
      <w:r>
        <w:t xml:space="preserve">→ valor anterior se mueve a</w:t>
      </w:r>
      <w:r>
        <w:t xml:space="preserve"> </w:t>
      </w:r>
      <w:r>
        <w:rPr>
          <w:rStyle w:val="VerbatimChar"/>
        </w:rPr>
        <w:t xml:space="preserve">CodigoValidadorAnterior</w:t>
      </w:r>
      <w:r>
        <w:t xml:space="preserve"> </w:t>
      </w:r>
      <w:r>
        <w:t xml:space="preserve">con fecha y usuario;</w:t>
      </w:r>
      <w:r>
        <w:t xml:space="preserve"> </w:t>
      </w:r>
      <w:r>
        <w:rPr>
          <w:rStyle w:val="VerbatimChar"/>
        </w:rPr>
        <w:t xml:space="preserve">ReferenciaVigente</w:t>
      </w:r>
      <w:r>
        <w:t xml:space="preserve"> </w:t>
      </w:r>
      <w:r>
        <w:t xml:space="preserve">se recalcula.</w:t>
      </w:r>
    </w:p>
    <w:p>
      <w:pPr>
        <w:pStyle w:val="Compact"/>
        <w:numPr>
          <w:ilvl w:val="0"/>
          <w:numId w:val="1011"/>
        </w:numPr>
      </w:pPr>
      <w:r>
        <w:t xml:space="preserve">Eliminar asignación →</w:t>
      </w:r>
      <w:r>
        <w:t xml:space="preserve"> </w:t>
      </w:r>
      <w:r>
        <w:rPr>
          <w:rStyle w:val="VerbatimChar"/>
        </w:rPr>
        <w:t xml:space="preserve">Activo = 0</w:t>
      </w:r>
      <w:r>
        <w:t xml:space="preserve">; no aparece en</w:t>
      </w:r>
      <w:r>
        <w:t xml:space="preserve"> </w:t>
      </w:r>
      <w:r>
        <w:rPr>
          <w:rStyle w:val="VerbatimChar"/>
        </w:rPr>
        <w:t xml:space="preserve">POST /vClienteDatosBancarios</w:t>
      </w:r>
      <w:r>
        <w:t xml:space="preserve"> </w:t>
      </w:r>
      <w:r>
        <w:t xml:space="preserve">con filtro activo.</w:t>
      </w:r>
    </w:p>
    <w:p>
      <w:pPr>
        <w:pStyle w:val="Compact"/>
        <w:numPr>
          <w:ilvl w:val="0"/>
          <w:numId w:val="1011"/>
        </w:numPr>
      </w:pPr>
      <w:r>
        <w:t xml:space="preserve">Generar proforma para cliente con cuenta Banamex y</w:t>
      </w:r>
      <w:r>
        <w:t xml:space="preserve"> </w:t>
      </w:r>
      <w:r>
        <w:rPr>
          <w:rStyle w:val="VerbatimChar"/>
        </w:rPr>
        <w:t xml:space="preserve">CodigoValidador ABC</w:t>
      </w:r>
      <w:r>
        <w:t xml:space="preserve"> </w:t>
      </w:r>
      <w:r>
        <w:t xml:space="preserve">→</w:t>
      </w:r>
      <w:r>
        <w:t xml:space="preserve"> </w:t>
      </w:r>
      <w:r>
        <w:rPr>
          <w:rStyle w:val="VerbatimChar"/>
        </w:rPr>
        <w:t xml:space="preserve">ReferenciaPago</w:t>
      </w:r>
      <w:r>
        <w:t xml:space="preserve"> </w:t>
      </w:r>
      <w:r>
        <w:t xml:space="preserve">contiene la referencia de 7 segmentos almacenada en</w:t>
      </w:r>
      <w:r>
        <w:t xml:space="preserve"> </w:t>
      </w:r>
      <w:r>
        <w:rPr>
          <w:rStyle w:val="VerbatimChar"/>
        </w:rPr>
        <w:t xml:space="preserve">ReferenciaVigente</w:t>
      </w:r>
      <w:r>
        <w:t xml:space="preserve">.</w:t>
      </w:r>
    </w:p>
    <w:p>
      <w:pPr>
        <w:pStyle w:val="Compact"/>
        <w:numPr>
          <w:ilvl w:val="0"/>
          <w:numId w:val="1011"/>
        </w:numPr>
      </w:pPr>
      <w:r>
        <w:t xml:space="preserve">Generar proforma para cliente con cuenta no-Banamex →</w:t>
      </w:r>
      <w:r>
        <w:t xml:space="preserve"> </w:t>
      </w:r>
      <w:r>
        <w:rPr>
          <w:rStyle w:val="VerbatimChar"/>
        </w:rPr>
        <w:t xml:space="preserve">ReferenciaPago</w:t>
      </w:r>
      <w:r>
        <w:t xml:space="preserve"> </w:t>
      </w:r>
      <w:r>
        <w:t xml:space="preserve">contiene la Razón Social del cliente (</w:t>
      </w:r>
      <w:r>
        <w:rPr>
          <w:rStyle w:val="VerbatimChar"/>
        </w:rPr>
        <w:t xml:space="preserve">DatosFacturacionCliente.RazonSocial</w:t>
      </w:r>
      <w:r>
        <w:t xml:space="preserve">) almacenada en</w:t>
      </w:r>
      <w:r>
        <w:t xml:space="preserve"> </w:t>
      </w:r>
      <w:r>
        <w:rPr>
          <w:rStyle w:val="VerbatimChar"/>
        </w:rPr>
        <w:t xml:space="preserve">ReferenciaVigente</w:t>
      </w:r>
      <w:r>
        <w:t xml:space="preserve">.</w:t>
      </w:r>
    </w:p>
    <w:p>
      <w:pPr>
        <w:pStyle w:val="Compact"/>
        <w:numPr>
          <w:ilvl w:val="0"/>
          <w:numId w:val="1011"/>
        </w:numPr>
      </w:pPr>
      <w:r>
        <w:t xml:space="preserve">Generar proforma para cliente sin asignación activa → proforma se genera sin bloqueo;</w:t>
      </w:r>
      <w:r>
        <w:t xml:space="preserve"> </w:t>
      </w:r>
      <w:r>
        <w:rPr>
          <w:rStyle w:val="VerbatimChar"/>
        </w:rPr>
        <w:t xml:space="preserve">ReferenciaPago</w:t>
      </w:r>
      <w:r>
        <w:t xml:space="preserve"> </w:t>
      </w:r>
      <w:r>
        <w:t xml:space="preserve">es nulo.</w:t>
      </w:r>
    </w:p>
    <w:p>
      <w:pPr>
        <w:pStyle w:val="Compact"/>
        <w:numPr>
          <w:ilvl w:val="0"/>
          <w:numId w:val="1011"/>
        </w:numPr>
      </w:pPr>
      <w:r>
        <w:t xml:space="preserve">Generar proforma para cliente con asignaciones en dos empresas distintas →</w:t>
      </w:r>
      <w:r>
        <w:t xml:space="preserve"> </w:t>
      </w:r>
      <w:r>
        <w:rPr>
          <w:rStyle w:val="VerbatimChar"/>
        </w:rPr>
        <w:t xml:space="preserve">ReferenciaPago</w:t>
      </w:r>
      <w:r>
        <w:t xml:space="preserve"> </w:t>
      </w:r>
      <w:r>
        <w:t xml:space="preserve">corresponde a la cuenta de la empresa emisora de la proforma (RT-08), no a la de otra empresa.</w:t>
      </w:r>
      <w:r>
        <w:t xml:space="preserve"> </w:t>
      </w:r>
      <w:r>
        <w:rPr>
          <w:i/>
          <w:iCs/>
        </w:rPr>
        <w:t xml:space="preserve">(Prueba de integración compartida con RE-016, que implementa el casado.)</w:t>
      </w:r>
    </w:p>
    <w:p>
      <w:pPr>
        <w:pStyle w:val="Compact"/>
        <w:numPr>
          <w:ilvl w:val="0"/>
          <w:numId w:val="1011"/>
        </w:numPr>
      </w:pPr>
      <w:r>
        <w:rPr>
          <w:b/>
          <w:bCs/>
        </w:rPr>
        <w:t xml:space="preserve">Endpoint (RT-10/RT-11):</w:t>
      </w:r>
      <w:r>
        <w:t xml:space="preserve"> </w:t>
      </w:r>
      <w:r>
        <w:rPr>
          <w:rStyle w:val="VerbatimChar"/>
        </w:rPr>
        <w:t xml:space="preserve">POST /vClienteDatosBancarios</w:t>
      </w:r>
      <w:r>
        <w:t xml:space="preserve"> </w:t>
      </w:r>
      <w:r>
        <w:t xml:space="preserve">sin ningún filtro → arreglo con todas las asignaciones activas del sistema; con sólo</w:t>
      </w:r>
      <w:r>
        <w:t xml:space="preserve"> </w:t>
      </w:r>
      <w:r>
        <w:rPr>
          <w:rStyle w:val="VerbatimChar"/>
        </w:rPr>
        <w:t xml:space="preserve">IdCliente</w:t>
      </w:r>
      <w:r>
        <w:t xml:space="preserve"> </w:t>
      </w:r>
      <w:r>
        <w:t xml:space="preserve">→ arreglo con todas las asignaciones activas de ese cliente; con</w:t>
      </w:r>
      <w:r>
        <w:t xml:space="preserve"> </w:t>
      </w:r>
      <w:r>
        <w:rPr>
          <w:rStyle w:val="VerbatimChar"/>
        </w:rPr>
        <w:t xml:space="preserve">IdCliente</w:t>
      </w:r>
      <w:r>
        <w:t xml:space="preserve">+</w:t>
      </w:r>
      <w:r>
        <w:rPr>
          <w:rStyle w:val="VerbatimChar"/>
        </w:rPr>
        <w:t xml:space="preserve">IdEmpresa</w:t>
      </w:r>
      <w:r>
        <w:t xml:space="preserve"> </w:t>
      </w:r>
      <w:r>
        <w:t xml:space="preserve">→ subconjunto de esa empresa; con cliente + banco + moneda + empresa que tenga 2 cuentas (caso STP) → arreglo con 2 registros (verifica no-unicidad); respuesta siempre en arreglo aunque haya 0 o 1.</w:t>
      </w:r>
    </w:p>
    <w:p>
      <w:pPr>
        <w:pStyle w:val="Compact"/>
        <w:numPr>
          <w:ilvl w:val="0"/>
          <w:numId w:val="1011"/>
        </w:numPr>
      </w:pPr>
      <w:r>
        <w:rPr>
          <w:b/>
          <w:bCs/>
        </w:rPr>
        <w:t xml:space="preserve">Flujo 3 (RT-12):</w:t>
      </w:r>
      <w:r>
        <w:t xml:space="preserve"> </w:t>
      </w:r>
      <w:r>
        <w:t xml:space="preserve">editar</w:t>
      </w:r>
      <w:r>
        <w:t xml:space="preserve"> </w:t>
      </w:r>
      <w:r>
        <w:rPr>
          <w:rStyle w:val="VerbatimChar"/>
        </w:rPr>
        <w:t xml:space="preserve">Cliente.Nombre</w:t>
      </w:r>
      <w:r>
        <w:t xml:space="preserve"> </w:t>
      </w:r>
      <w:r>
        <w:t xml:space="preserve">de un cliente con 2 asignaciones activas → ambas</w:t>
      </w:r>
      <w:r>
        <w:t xml:space="preserve"> </w:t>
      </w:r>
      <w:r>
        <w:rPr>
          <w:rStyle w:val="VerbatimChar"/>
        </w:rPr>
        <w:t xml:space="preserve">ReferenciaVigente</w:t>
      </w:r>
      <w:r>
        <w:t xml:space="preserve"> </w:t>
      </w:r>
      <w:r>
        <w:t xml:space="preserve">se recalculan en la misma transacción; forzar fallo en el recálculo → rollback (el nombre no se guarda); cliente sin asignaciones → no-op; una proforma emitida previa conserva su snapshot.</w:t>
      </w:r>
    </w:p>
    <w:p>
      <w:pPr>
        <w:pStyle w:val="Heading2"/>
      </w:pPr>
      <w:r>
        <w:rPr>
          <w:b/>
          <w:bCs/>
        </w:rPr>
        <w:t xml:space="preserve">2. Pruebas técnicas</w:t>
      </w:r>
    </w:p>
    <w:p>
      <w:pPr>
        <w:pStyle w:val="Heading3"/>
      </w:pPr>
      <w:r>
        <w:rPr>
          <w:b/>
          <w:bCs/>
        </w:rPr>
        <w:t xml:space="preserve">Unitarias</w:t>
      </w:r>
    </w:p>
    <w:p>
      <w:pPr>
        <w:pStyle w:val="Compact"/>
        <w:numPr>
          <w:ilvl w:val="0"/>
          <w:numId w:val="1012"/>
        </w:numPr>
      </w:pPr>
      <w:r>
        <w:rPr>
          <w:rStyle w:val="VerbatimChar"/>
        </w:rPr>
        <w:t xml:space="preserve">BankReferenceBO.Build()</w:t>
      </w:r>
      <w:r>
        <w:t xml:space="preserve"> </w:t>
      </w:r>
      <w:r>
        <w:t xml:space="preserve">retorna</w:t>
      </w:r>
      <w:r>
        <w:t xml:space="preserve"> </w:t>
      </w:r>
      <w:r>
        <w:rPr>
          <w:rStyle w:val="VerbatimChar"/>
        </w:rPr>
        <w:t xml:space="preserve">DatosFacturacionCliente.RazonSocial</w:t>
      </w:r>
      <w:r>
        <w:t xml:space="preserve"> </w:t>
      </w:r>
      <w:r>
        <w:t xml:space="preserve">para banco con</w:t>
      </w:r>
      <w:r>
        <w:t xml:space="preserve"> </w:t>
      </w:r>
      <w:r>
        <w:rPr>
          <w:rStyle w:val="VerbatimChar"/>
        </w:rPr>
        <w:t xml:space="preserve">catBanco.RequiereCodigoValidador = 0</w:t>
      </w:r>
      <w:r>
        <w:t xml:space="preserve">.</w:t>
      </w:r>
    </w:p>
    <w:p>
      <w:pPr>
        <w:pStyle w:val="Compact"/>
        <w:numPr>
          <w:ilvl w:val="0"/>
          <w:numId w:val="1012"/>
        </w:numPr>
      </w:pPr>
      <w:r>
        <w:rPr>
          <w:rStyle w:val="VerbatimChar"/>
        </w:rPr>
        <w:t xml:space="preserve">BankReferenceBO.BuildBanamex()</w:t>
      </w:r>
      <w:r>
        <w:t xml:space="preserve"> </w:t>
      </w:r>
      <w:r>
        <w:t xml:space="preserve">retorna concatenación correcta de 7 segmentos con datos completos.</w:t>
      </w:r>
    </w:p>
    <w:p>
      <w:pPr>
        <w:pStyle w:val="Compact"/>
        <w:numPr>
          <w:ilvl w:val="0"/>
          <w:numId w:val="1012"/>
        </w:numPr>
      </w:pPr>
      <w:r>
        <w:rPr>
          <w:rStyle w:val="VerbatimChar"/>
        </w:rPr>
        <w:t xml:space="preserve">BankReferenceBO.BuildBanamex()</w:t>
      </w:r>
      <w:r>
        <w:t xml:space="preserve"> </w:t>
      </w:r>
      <w:r>
        <w:t xml:space="preserve">aplica fallback</w:t>
      </w:r>
      <w:r>
        <w:t xml:space="preserve"> </w:t>
      </w:r>
      <w:r>
        <w:rPr>
          <w:rStyle w:val="VerbatimChar"/>
        </w:rPr>
        <w:t xml:space="preserve">'X'</w:t>
      </w:r>
      <w:r>
        <w:t xml:space="preserve"> </w:t>
      </w:r>
      <w:r>
        <w:t xml:space="preserve">en S1 cuando</w:t>
      </w:r>
      <w:r>
        <w:t xml:space="preserve"> </w:t>
      </w:r>
      <w:r>
        <w:rPr>
          <w:rStyle w:val="VerbatimChar"/>
        </w:rPr>
        <w:t xml:space="preserve">Cliente.Nombre</w:t>
      </w:r>
      <w:r>
        <w:t xml:space="preserve"> </w:t>
      </w:r>
      <w:r>
        <w:t xml:space="preserve">está vacío.</w:t>
      </w:r>
    </w:p>
    <w:p>
      <w:pPr>
        <w:pStyle w:val="Compact"/>
        <w:numPr>
          <w:ilvl w:val="0"/>
          <w:numId w:val="1012"/>
        </w:numPr>
      </w:pPr>
      <w:r>
        <w:rPr>
          <w:rStyle w:val="VerbatimChar"/>
        </w:rPr>
        <w:t xml:space="preserve">BankReferenceBO.BuildBanamex()</w:t>
      </w:r>
      <w:r>
        <w:t xml:space="preserve"> </w:t>
      </w:r>
      <w:r>
        <w:t xml:space="preserve">aplica padding</w:t>
      </w:r>
      <w:r>
        <w:t xml:space="preserve"> </w:t>
      </w:r>
      <w:r>
        <w:rPr>
          <w:rStyle w:val="VerbatimChar"/>
        </w:rPr>
        <w:t xml:space="preserve">'0'</w:t>
      </w:r>
      <w:r>
        <w:t xml:space="preserve"> </w:t>
      </w:r>
      <w:r>
        <w:t xml:space="preserve">en S4 cuando</w:t>
      </w:r>
      <w:r>
        <w:t xml:space="preserve"> </w:t>
      </w:r>
      <w:r>
        <w:rPr>
          <w:rStyle w:val="VerbatimChar"/>
        </w:rPr>
        <w:t xml:space="preserve">PConnectProquifaDotNet.dbo.Clientes.ClienteLegacy</w:t>
      </w:r>
      <w:r>
        <w:t xml:space="preserve"> </w:t>
      </w:r>
      <w:r>
        <w:t xml:space="preserve">tiene &lt; 4 dígitos.</w:t>
      </w:r>
    </w:p>
    <w:p>
      <w:pPr>
        <w:pStyle w:val="Compact"/>
        <w:numPr>
          <w:ilvl w:val="0"/>
          <w:numId w:val="1012"/>
        </w:numPr>
      </w:pPr>
      <w:r>
        <w:rPr>
          <w:rStyle w:val="VerbatimChar"/>
        </w:rPr>
        <w:t xml:space="preserve">BankReferenceBO.BuildBanamex()</w:t>
      </w:r>
      <w:r>
        <w:t xml:space="preserve"> </w:t>
      </w:r>
      <w:r>
        <w:t xml:space="preserve">retorna</w:t>
      </w:r>
      <w:r>
        <w:t xml:space="preserve"> </w:t>
      </w:r>
      <w:r>
        <w:rPr>
          <w:rStyle w:val="VerbatimChar"/>
        </w:rPr>
        <w:t xml:space="preserve">'D'</w:t>
      </w:r>
      <w:r>
        <w:t xml:space="preserve"> </w:t>
      </w:r>
      <w:r>
        <w:t xml:space="preserve">en S6 cuando la primera letra de</w:t>
      </w:r>
      <w:r>
        <w:t xml:space="preserve"> </w:t>
      </w:r>
      <w:r>
        <w:rPr>
          <w:rStyle w:val="VerbatimChar"/>
        </w:rPr>
        <w:t xml:space="preserve">catMoneda.ClaveMoneda</w:t>
      </w:r>
      <w:r>
        <w:t xml:space="preserve"> </w:t>
      </w:r>
      <w:r>
        <w:t xml:space="preserve">no es</w:t>
      </w:r>
      <w:r>
        <w:t xml:space="preserve"> </w:t>
      </w:r>
      <w:r>
        <w:rPr>
          <w:rStyle w:val="VerbatimChar"/>
        </w:rPr>
        <w:t xml:space="preserve">'M'</w:t>
      </w:r>
      <w:r>
        <w:t xml:space="preserve"> </w:t>
      </w:r>
      <w:r>
        <w:t xml:space="preserve">(resuelta vía</w:t>
      </w:r>
      <w:r>
        <w:t xml:space="preserve"> </w:t>
      </w:r>
      <w:r>
        <w:rPr>
          <w:rStyle w:val="VerbatimChar"/>
        </w:rPr>
        <w:t xml:space="preserve">DatosBancarios.IdCatMoneda → catMoneda</w:t>
      </w:r>
      <w:r>
        <w:t xml:space="preserve">).</w:t>
      </w:r>
    </w:p>
    <w:p>
      <w:pPr>
        <w:pStyle w:val="Compact"/>
        <w:numPr>
          <w:ilvl w:val="0"/>
          <w:numId w:val="1012"/>
        </w:numPr>
      </w:pPr>
      <w:r>
        <w:rPr>
          <w:rStyle w:val="VerbatimChar"/>
        </w:rPr>
        <w:t xml:space="preserve">ClienteDatosBancariosBO</w:t>
      </w:r>
      <w:r>
        <w:t xml:space="preserve"> </w:t>
      </w:r>
      <w:r>
        <w:t xml:space="preserve">rechaza inserción cuando</w:t>
      </w:r>
      <w:r>
        <w:t xml:space="preserve"> </w:t>
      </w:r>
      <w:r>
        <w:rPr>
          <w:rStyle w:val="VerbatimChar"/>
        </w:rPr>
        <w:t xml:space="preserve">EmpresaDatosBancarios.Activo = 0</w:t>
      </w:r>
      <w:r>
        <w:t xml:space="preserve">.</w:t>
      </w:r>
    </w:p>
    <w:p>
      <w:pPr>
        <w:pStyle w:val="Compact"/>
        <w:numPr>
          <w:ilvl w:val="0"/>
          <w:numId w:val="1012"/>
        </w:numPr>
      </w:pPr>
      <w:r>
        <w:rPr>
          <w:rStyle w:val="VerbatimChar"/>
        </w:rPr>
        <w:t xml:space="preserve">ClienteDatosBancariosBO</w:t>
      </w:r>
      <w:r>
        <w:t xml:space="preserve"> </w:t>
      </w:r>
      <w:r>
        <w:t xml:space="preserve">rechaza inserción cuando ya existe registro activo con mismo (</w:t>
      </w:r>
      <w:r>
        <w:rPr>
          <w:rStyle w:val="VerbatimChar"/>
        </w:rPr>
        <w:t xml:space="preserve">IdCliente</w:t>
      </w:r>
      <w:r>
        <w:t xml:space="preserve">,</w:t>
      </w:r>
      <w:r>
        <w:t xml:space="preserve"> </w:t>
      </w:r>
      <w:r>
        <w:rPr>
          <w:rStyle w:val="VerbatimChar"/>
        </w:rPr>
        <w:t xml:space="preserve">IdEmpresaDatosBancarios</w:t>
      </w:r>
      <w:r>
        <w:t xml:space="preserve">).</w:t>
      </w:r>
    </w:p>
    <w:p>
      <w:pPr>
        <w:pStyle w:val="Compact"/>
        <w:numPr>
          <w:ilvl w:val="0"/>
          <w:numId w:val="1012"/>
        </w:numPr>
      </w:pPr>
      <w:r>
        <w:rPr>
          <w:rStyle w:val="VerbatimChar"/>
        </w:rPr>
        <w:t xml:space="preserve">ClienteDatosBancariosBO</w:t>
      </w:r>
      <w:r>
        <w:t xml:space="preserve"> </w:t>
      </w:r>
      <w:r>
        <w:t xml:space="preserve">mueve</w:t>
      </w:r>
      <w:r>
        <w:t xml:space="preserve"> </w:t>
      </w:r>
      <w:r>
        <w:rPr>
          <w:rStyle w:val="VerbatimChar"/>
        </w:rPr>
        <w:t xml:space="preserve">CodigoValidador</w:t>
      </w:r>
      <w:r>
        <w:t xml:space="preserve"> </w:t>
      </w:r>
      <w:r>
        <w:t xml:space="preserve">a</w:t>
      </w:r>
      <w:r>
        <w:t xml:space="preserve"> </w:t>
      </w:r>
      <w:r>
        <w:rPr>
          <w:rStyle w:val="VerbatimChar"/>
        </w:rPr>
        <w:t xml:space="preserve">CodigoValidadorAnterior</w:t>
      </w:r>
      <w:r>
        <w:t xml:space="preserve"> </w:t>
      </w:r>
      <w:r>
        <w:t xml:space="preserve">y recalcula</w:t>
      </w:r>
      <w:r>
        <w:t xml:space="preserve"> </w:t>
      </w:r>
      <w:r>
        <w:rPr>
          <w:rStyle w:val="VerbatimChar"/>
        </w:rPr>
        <w:t xml:space="preserve">ReferenciaVigente</w:t>
      </w:r>
      <w:r>
        <w:t xml:space="preserve"> </w:t>
      </w:r>
      <w:r>
        <w:t xml:space="preserve">en UPDATE correctamente.</w:t>
      </w:r>
    </w:p>
    <w:p>
      <w:pPr>
        <w:pStyle w:val="Heading3"/>
      </w:pPr>
      <w:r>
        <w:rPr>
          <w:b/>
          <w:bCs/>
        </w:rPr>
        <w:t xml:space="preserve">Pruebas de integración</w:t>
      </w:r>
    </w:p>
    <w:p>
      <w:pPr>
        <w:pStyle w:val="Compact"/>
        <w:numPr>
          <w:ilvl w:val="0"/>
          <w:numId w:val="1013"/>
        </w:numPr>
      </w:pPr>
      <w:r>
        <w:rPr>
          <w:rStyle w:val="VerbatimChar"/>
        </w:rPr>
        <w:t xml:space="preserve">PUT /ClienteDatosBancarios</w:t>
      </w:r>
      <w:r>
        <w:t xml:space="preserve"> </w:t>
      </w:r>
      <w:r>
        <w:t xml:space="preserve">→ registro persiste en BD con todos los campos correctos incluyendo</w:t>
      </w:r>
      <w:r>
        <w:t xml:space="preserve"> </w:t>
      </w:r>
      <w:r>
        <w:rPr>
          <w:rStyle w:val="VerbatimChar"/>
        </w:rPr>
        <w:t xml:space="preserve">ReferenciaVigente</w:t>
      </w:r>
      <w:r>
        <w:t xml:space="preserve">.</w:t>
      </w:r>
    </w:p>
    <w:p>
      <w:pPr>
        <w:pStyle w:val="Compact"/>
        <w:numPr>
          <w:ilvl w:val="0"/>
          <w:numId w:val="1013"/>
        </w:numPr>
      </w:pPr>
      <w:r>
        <w:rPr>
          <w:rStyle w:val="VerbatimChar"/>
        </w:rPr>
        <w:t xml:space="preserve">PUT /ClienteDatosBancarios/Codigo</w:t>
      </w:r>
      <w:r>
        <w:t xml:space="preserve"> </w:t>
      </w:r>
      <w:r>
        <w:t xml:space="preserve">con body</w:t>
      </w:r>
      <w:r>
        <w:t xml:space="preserve"> </w:t>
      </w:r>
      <w:r>
        <w:rPr>
          <w:rStyle w:val="VerbatimChar"/>
        </w:rPr>
        <w:t xml:space="preserve">{ IdClienteDatosBancarios, CodigoValidador }</w:t>
      </w:r>
      <w:r>
        <w:t xml:space="preserve"> </w:t>
      </w:r>
      <w:r>
        <w:t xml:space="preserve">→ campos de historial actualizados y</w:t>
      </w:r>
      <w:r>
        <w:t xml:space="preserve"> </w:t>
      </w:r>
      <w:r>
        <w:rPr>
          <w:rStyle w:val="VerbatimChar"/>
        </w:rPr>
        <w:t xml:space="preserve">ReferenciaVigente</w:t>
      </w:r>
      <w:r>
        <w:t xml:space="preserve"> </w:t>
      </w:r>
      <w:r>
        <w:t xml:space="preserve">recalculada en BD.</w:t>
      </w:r>
    </w:p>
    <w:p>
      <w:pPr>
        <w:pStyle w:val="Compact"/>
        <w:numPr>
          <w:ilvl w:val="0"/>
          <w:numId w:val="1013"/>
        </w:numPr>
      </w:pPr>
      <w:r>
        <w:rPr>
          <w:rStyle w:val="VerbatimChar"/>
        </w:rPr>
        <w:t xml:space="preserve">DELETE /ClienteDatosBancarios?IdClienteDatosBancarios={guid}</w:t>
      </w:r>
      <w:r>
        <w:t xml:space="preserve"> </w:t>
      </w:r>
      <w:r>
        <w:t xml:space="preserve">→ registro queda con</w:t>
      </w:r>
      <w:r>
        <w:t xml:space="preserve"> </w:t>
      </w:r>
      <w:r>
        <w:rPr>
          <w:rStyle w:val="VerbatimChar"/>
        </w:rPr>
        <w:t xml:space="preserve">Activo = 0</w:t>
      </w:r>
      <w:r>
        <w:t xml:space="preserve">, no eliminado físicamente.</w:t>
      </w:r>
    </w:p>
    <w:p>
      <w:pPr>
        <w:pStyle w:val="Compact"/>
        <w:numPr>
          <w:ilvl w:val="0"/>
          <w:numId w:val="1013"/>
        </w:numPr>
      </w:pPr>
      <w:r>
        <w:t xml:space="preserve">Endpoint</w:t>
      </w:r>
      <w:r>
        <w:t xml:space="preserve"> </w:t>
      </w:r>
      <w:r>
        <w:rPr>
          <w:rStyle w:val="VerbatimChar"/>
        </w:rPr>
        <w:t xml:space="preserve">POST /vClienteDatosBancarios</w:t>
      </w:r>
      <w:r>
        <w:t xml:space="preserve"> </w:t>
      </w:r>
      <w:r>
        <w:t xml:space="preserve">devuelve</w:t>
      </w:r>
      <w:r>
        <w:t xml:space="preserve"> </w:t>
      </w:r>
      <w:r>
        <w:rPr>
          <w:rStyle w:val="VerbatimChar"/>
        </w:rPr>
        <w:t xml:space="preserve">ReferenciaVigente</w:t>
      </w:r>
      <w:r>
        <w:t xml:space="preserve"> </w:t>
      </w:r>
      <w:r>
        <w:t xml:space="preserve">no nula para cliente con asignación activa (es lo que RE-016 consumirá para casar</w:t>
      </w:r>
      <w:r>
        <w:t xml:space="preserve"> </w:t>
      </w:r>
      <w:r>
        <w:rPr>
          <w:rStyle w:val="VerbatimChar"/>
        </w:rPr>
        <w:t xml:space="preserve">ReferenciaPago</w:t>
      </w:r>
      <w:r>
        <w:t xml:space="preserve">).</w:t>
      </w:r>
    </w:p>
    <w:p>
      <w:pPr>
        <w:pStyle w:val="Compact"/>
        <w:numPr>
          <w:ilvl w:val="0"/>
          <w:numId w:val="1013"/>
        </w:numPr>
      </w:pPr>
      <w:r>
        <w:t xml:space="preserve">Migración (script SQL): el conteo de registros en</w:t>
      </w:r>
      <w:r>
        <w:t xml:space="preserve"> </w:t>
      </w:r>
      <w:r>
        <w:rPr>
          <w:rStyle w:val="VerbatimChar"/>
        </w:rPr>
        <w:t xml:space="preserve">ClienteDatosBancarios</w:t>
      </w:r>
      <w:r>
        <w:t xml:space="preserve"> </w:t>
      </w:r>
      <w:r>
        <w:t xml:space="preserve">post-migración iguala el de pares únicos en</w:t>
      </w:r>
      <w:r>
        <w:t xml:space="preserve"> </w:t>
      </w:r>
      <w:r>
        <w:rPr>
          <w:rStyle w:val="VerbatimChar"/>
        </w:rPr>
        <w:t xml:space="preserve">CuentaCliente</w:t>
      </w:r>
      <w:r>
        <w:t xml:space="preserve"> </w:t>
      </w:r>
      <w:r>
        <w:t xml:space="preserve">de PConnect; todos los registros tienen</w:t>
      </w:r>
      <w:r>
        <w:t xml:space="preserve"> </w:t>
      </w:r>
      <w:r>
        <w:rPr>
          <w:rStyle w:val="VerbatimChar"/>
        </w:rPr>
        <w:t xml:space="preserve">ReferenciaVigente</w:t>
      </w:r>
      <w:r>
        <w:t xml:space="preserve"> </w:t>
      </w:r>
      <w:r>
        <w:t xml:space="preserve">no nula.</w:t>
      </w:r>
    </w:p>
    <w:p>
      <w:pPr>
        <w:pStyle w:val="Heading2"/>
      </w:pPr>
      <w:r>
        <w:rPr>
          <w:b/>
          <w:bCs/>
        </w:rPr>
        <w:t xml:space="preserve">3. Casos críticos</w:t>
      </w:r>
    </w:p>
    <w:p>
      <w:pPr>
        <w:pStyle w:val="Compact"/>
        <w:numPr>
          <w:ilvl w:val="0"/>
          <w:numId w:val="1014"/>
        </w:numPr>
      </w:pPr>
      <w:r>
        <w:rPr>
          <w:b/>
          <w:bCs/>
        </w:rPr>
        <w:t xml:space="preserve">Cliente con múltiples cuentas:</w:t>
      </w:r>
      <w:r>
        <w:t xml:space="preserve"> </w:t>
      </w:r>
      <w:r>
        <w:t xml:space="preserve">cliente con varias asignaciones activas → cada una conserva su propia</w:t>
      </w:r>
      <w:r>
        <w:t xml:space="preserve"> </w:t>
      </w:r>
      <w:r>
        <w:rPr>
          <w:rStyle w:val="VerbatimChar"/>
        </w:rPr>
        <w:t xml:space="preserve">ReferenciaVigente</w:t>
      </w:r>
      <w:r>
        <w:t xml:space="preserve">; al generar la proforma el factory de RE-016 elige la de la empresa emisora (RT-08). Si hay varias para la misma empresa, gana la más reciente (</w:t>
      </w:r>
      <w:r>
        <w:rPr>
          <w:rStyle w:val="VerbatimChar"/>
        </w:rPr>
        <w:t xml:space="preserve">FechaUltimaActualizacion DESC</w:t>
      </w:r>
      <w:r>
        <w:t xml:space="preserve">).</w:t>
      </w:r>
      <w:r>
        <w:t xml:space="preserve"> </w:t>
      </w:r>
      <w:r>
        <w:rPr>
          <w:i/>
          <w:iCs/>
        </w:rPr>
        <w:t xml:space="preserve">(DUDA-118: mecanismo cerrado por diseño; resta confirmar con cliente sólo si existe un tope máximo de cuentas por cliente — no bloqueante.)</w:t>
      </w:r>
    </w:p>
    <w:p>
      <w:pPr>
        <w:pStyle w:val="Compact"/>
        <w:numPr>
          <w:ilvl w:val="0"/>
          <w:numId w:val="1014"/>
        </w:numPr>
      </w:pPr>
      <w:r>
        <w:rPr>
          <w:b/>
          <w:bCs/>
        </w:rPr>
        <w:t xml:space="preserve">Nombre de cliente muy corto:</w:t>
      </w:r>
      <w:r>
        <w:t xml:space="preserve"> </w:t>
      </w:r>
      <w:r>
        <w:t xml:space="preserve">cliente con nombre de 1 o 2 caracteres → S2 y/o S3 usan fallback</w:t>
      </w:r>
      <w:r>
        <w:t xml:space="preserve"> </w:t>
      </w:r>
      <w:r>
        <w:rPr>
          <w:rStyle w:val="VerbatimChar"/>
        </w:rPr>
        <w:t xml:space="preserve">'X'</w:t>
      </w:r>
      <w:r>
        <w:t xml:space="preserve">; referencia Banamex se genera sin error.</w:t>
      </w:r>
    </w:p>
    <w:p>
      <w:pPr>
        <w:pStyle w:val="Compact"/>
        <w:numPr>
          <w:ilvl w:val="0"/>
          <w:numId w:val="1014"/>
        </w:numPr>
      </w:pPr>
      <w:r>
        <w:rPr>
          <w:b/>
          <w:bCs/>
        </w:rPr>
        <w:t xml:space="preserve">CódigoValidador modificado tras generar PDF:</w:t>
      </w:r>
      <w:r>
        <w:t xml:space="preserve"> </w:t>
      </w:r>
      <w:r>
        <w:t xml:space="preserve">la proforma ya generada conserva la referencia original (snapshot en PDF);</w:t>
      </w:r>
      <w:r>
        <w:t xml:space="preserve"> </w:t>
      </w:r>
      <w:r>
        <w:rPr>
          <w:rStyle w:val="VerbatimChar"/>
        </w:rPr>
        <w:t xml:space="preserve">ReferenciaVigente</w:t>
      </w:r>
      <w:r>
        <w:t xml:space="preserve"> </w:t>
      </w:r>
      <w:r>
        <w:t xml:space="preserve">se actualiza para proformas futuras.</w:t>
      </w:r>
    </w:p>
    <w:p>
      <w:pPr>
        <w:pStyle w:val="Compact"/>
        <w:numPr>
          <w:ilvl w:val="0"/>
          <w:numId w:val="1014"/>
        </w:numPr>
      </w:pPr>
      <w:r>
        <w:rPr>
          <w:b/>
          <w:bCs/>
        </w:rPr>
        <w:t xml:space="preserve">Cuenta inactivada/eliminada tras asignación:</w:t>
      </w:r>
      <w:r>
        <w:t xml:space="preserve"> </w:t>
      </w:r>
      <w:r>
        <w:t xml:space="preserve">la asignación permanece en BD sin alteración automática; las proformas ya generadas conservan su snapshot. Para proformas nuevas, la cuenta inactiva (</w:t>
      </w:r>
      <w:r>
        <w:rPr>
          <w:rStyle w:val="VerbatimChar"/>
        </w:rPr>
        <w:t xml:space="preserve">EmpresaDatosBancarios.Activo = 0</w:t>
      </w:r>
      <w:r>
        <w:t xml:space="preserve">) no se considera →</w:t>
      </w:r>
      <w:r>
        <w:t xml:space="preserve"> </w:t>
      </w:r>
      <w:r>
        <w:rPr>
          <w:rStyle w:val="VerbatimChar"/>
        </w:rPr>
        <w:t xml:space="preserve">ReferenciaPago = null</w:t>
      </w:r>
      <w:r>
        <w:t xml:space="preserve"> </w:t>
      </w:r>
      <w:r>
        <w:t xml:space="preserve">(RT-08). No se permiten nuevas asignaciones sobre cuentas inactivas (RT-01).</w:t>
      </w:r>
      <w:r>
        <w:t xml:space="preserve"> </w:t>
      </w:r>
      <w:r>
        <w:rPr>
          <w:i/>
          <w:iCs/>
        </w:rPr>
        <w:t xml:space="preserve">(CA-EC2 cerrado: el sistema no toca proformas existentes y sólo impide crear nuevas referencias sobre cuentas inactivas.)</w:t>
      </w:r>
    </w:p>
    <w:p>
      <w:r>
        <w:pict>
          <v:rect style="width:0;height:1.5pt" o:hralign="center" o:hrstd="t" o:hr="t"/>
        </w:pict>
      </w:r>
    </w:p>
    <w:p>
      <w:pPr>
        <w:pStyle w:val="Heading1"/>
      </w:pPr>
      <w:r>
        <w:rPr>
          <w:b/>
          <w:bCs/>
        </w:rPr>
        <w:t xml:space="preserve">Control de versiones</w:t>
      </w:r>
    </w:p>
    <w:p>
      <w:pPr>
        <w:pStyle w:val="BlockText"/>
      </w:pPr>
      <w:r>
        <w:t xml:space="preserve">El detalle de cada versión se movió al</w:t>
      </w:r>
      <w:r>
        <w:t xml:space="preserve"> </w:t>
      </w:r>
      <w:r>
        <w:rPr>
          <w:b/>
          <w:bCs/>
        </w:rPr>
        <w:t xml:space="preserve">Anexo A</w:t>
      </w:r>
      <w:r>
        <w:t xml:space="preserve"> </w:t>
      </w:r>
      <w:r>
        <w:t xml:space="preserve">(la columna</w:t>
      </w:r>
      <w:r>
        <w:t xml:space="preserve"> </w:t>
      </w:r>
      <w:r>
        <w:t xml:space="preserve">“Descripción del cambio”</w:t>
      </w:r>
      <w:r>
        <w:t xml:space="preserve"> </w:t>
      </w:r>
      <w:r>
        <w:t xml:space="preserve">hacía que esta tabla superara 10 páginas al exportar). Aquí queda el índice; el detalle está agrupado por revisión de Juan David.</w:t>
      </w:r>
    </w:p>
    <w:tbl>
      <w:tblPr>
        <w:tblStyle w:val="Table"/>
        <w:tblW w:type="pct" w:w="5000"/>
        <w:tblLayout w:type="fixed"/>
        <w:tblLook w:firstRow="1" w:lastRow="0" w:firstColumn="0" w:lastColumn="0" w:noHBand="0" w:noVBand="0" w:val="0020"/>
      </w:tblPr>
      <w:tblGrid>
        <w:gridCol w:w="947"/>
        <w:gridCol w:w="1255"/>
        <w:gridCol w:w="2050"/>
        <w:gridCol w:w="3068"/>
        <w:gridCol w:w="1202"/>
        <w:gridCol w:w="838"/>
      </w:tblGrid>
      <w:tr>
        <w:trPr>
          <w:tblHeader w:val="on"/>
        </w:trPr>
        <w:tc>
          <w:tcPr>
            <w:tcW w:w="947" w:type="dxa"/>
            <w:shd w:val="clear" w:color="auto" w:fill="434343"/>
          </w:tcPr>
          <w:p>
            <w:pPr>
              <w:pStyle w:val="Compact"/>
              <w:jc w:val="left"/>
            </w:pPr>
            <w:r>
              <w:rPr>
                <w:b/>
                <w:color w:val="FFFFFF"/>
              </w:rPr>
              <w:t xml:space="preserve">Versión</w:t>
            </w:r>
          </w:p>
        </w:tc>
        <w:tc>
          <w:tcPr>
            <w:tcW w:w="1255" w:type="dxa"/>
            <w:shd w:val="clear" w:color="auto" w:fill="434343"/>
          </w:tcPr>
          <w:p>
            <w:pPr>
              <w:pStyle w:val="Compact"/>
              <w:jc w:val="left"/>
            </w:pPr>
            <w:r>
              <w:rPr>
                <w:b/>
                <w:color w:val="FFFFFF"/>
              </w:rPr>
              <w:t xml:space="preserve">Fecha</w:t>
            </w:r>
          </w:p>
        </w:tc>
        <w:tc>
          <w:tcPr>
            <w:tcW w:w="2050" w:type="dxa"/>
            <w:shd w:val="clear" w:color="auto" w:fill="434343"/>
          </w:tcPr>
          <w:p>
            <w:pPr>
              <w:pStyle w:val="Compact"/>
              <w:jc w:val="left"/>
            </w:pPr>
            <w:r>
              <w:rPr>
                <w:b/>
                <w:color w:val="FFFFFF"/>
              </w:rPr>
              <w:t xml:space="preserve">Autor</w:t>
            </w:r>
          </w:p>
        </w:tc>
        <w:tc>
          <w:tcPr>
            <w:tcW w:w="3068" w:type="dxa"/>
            <w:shd w:val="clear" w:color="auto" w:fill="434343"/>
          </w:tcPr>
          <w:p>
            <w:pPr>
              <w:pStyle w:val="Compact"/>
              <w:jc w:val="left"/>
            </w:pPr>
            <w:r>
              <w:rPr>
                <w:b/>
                <w:color w:val="FFFFFF"/>
              </w:rPr>
              <w:t xml:space="preserve">Tipo de Cambio</w:t>
            </w:r>
          </w:p>
        </w:tc>
        <w:tc>
          <w:tcPr>
            <w:tcW w:w="1202" w:type="dxa"/>
            <w:shd w:val="clear" w:color="auto" w:fill="434343"/>
          </w:tcPr>
          <w:p>
            <w:pPr>
              <w:pStyle w:val="Compact"/>
              <w:jc w:val="left"/>
            </w:pPr>
            <w:r>
              <w:rPr>
                <w:b/>
                <w:color w:val="FFFFFF"/>
              </w:rPr>
              <w:t xml:space="preserve">Detalle</w:t>
            </w:r>
          </w:p>
        </w:tc>
        <w:tc>
          <w:tcPr>
            <w:tcW w:w="838" w:type="dxa"/>
            <w:shd w:val="clear" w:color="auto" w:fill="434343"/>
          </w:tcPr>
          <w:p>
            <w:pPr>
              <w:pStyle w:val="Compact"/>
              <w:jc w:val="left"/>
            </w:pPr>
            <w:r>
              <w:rPr>
                <w:b/>
                <w:color w:val="FFFFFF"/>
              </w:rPr>
              <w:t xml:space="preserve">Aprobó</w:t>
            </w:r>
          </w:p>
        </w:tc>
      </w:tr>
      <w:tr>
        <w:tc>
          <w:tcPr>
            <w:tcW w:w="947" w:type="dxa"/>
          </w:tcPr>
          <w:tcPr/>
          <w:p>
            <w:pPr>
              <w:pStyle w:val="Compact"/>
              <w:jc w:val="left"/>
            </w:pPr>
            <w:r>
              <w:t xml:space="preserve">1.0</w:t>
            </w:r>
          </w:p>
        </w:tc>
        <w:tc>
          <w:tcPr>
            <w:tcW w:w="1255" w:type="dxa"/>
          </w:tcPr>
          <w:tcPr/>
          <w:p>
            <w:pPr>
              <w:pStyle w:val="Compact"/>
              <w:jc w:val="left"/>
            </w:pPr>
            <w:r>
              <w:t xml:space="preserve">19 jun 2026</w:t>
            </w:r>
          </w:p>
        </w:tc>
        <w:tc>
          <w:tcPr>
            <w:tcW w:w="2050" w:type="dxa"/>
          </w:tcPr>
          <w:tcPr/>
          <w:p>
            <w:pPr>
              <w:pStyle w:val="Compact"/>
              <w:jc w:val="left"/>
            </w:pPr>
            <w:r>
              <w:t xml:space="preserve">Jose Armando Santiago Lorenzo</w:t>
            </w:r>
          </w:p>
        </w:tc>
        <w:tc>
          <w:tcPr>
            <w:tcW w:w="3068" w:type="dxa"/>
          </w:tcPr>
          <w:tcPr/>
          <w:p>
            <w:pPr>
              <w:pStyle w:val="Compact"/>
              <w:jc w:val="left"/>
            </w:pPr>
            <w:r>
              <w:t xml:space="preserve">Creación</w:t>
            </w:r>
          </w:p>
        </w:tc>
        <w:tc>
          <w:tcPr>
            <w:tcW w:w="1202" w:type="dxa"/>
          </w:tcPr>
          <w:tcPr/>
          <w:p>
            <w:pPr>
              <w:pStyle w:val="Compact"/>
              <w:jc w:val="left"/>
            </w:pPr>
            <w:r>
              <w:t xml:space="preserve">Anexo A.1</w:t>
            </w:r>
          </w:p>
        </w:tc>
        <w:tc>
          <w:tcPr>
            <w:tcW w:w="838" w:type="dxa"/>
          </w:tcPr>
          <w:tcPr/>
          <w:p>
            <w:pPr>
              <w:pStyle w:val="Compact"/>
              <w:jc w:val="left"/>
            </w:pPr>
            <w:r>
              <w:t xml:space="preserve">—</w:t>
            </w:r>
          </w:p>
        </w:tc>
      </w:tr>
      <w:tr>
        <w:tc>
          <w:tcPr>
            <w:tcW w:w="947" w:type="dxa"/>
          </w:tcPr>
          <w:tcPr/>
          <w:p>
            <w:pPr>
              <w:pStyle w:val="Compact"/>
              <w:jc w:val="left"/>
            </w:pPr>
            <w:r>
              <w:t xml:space="preserve">1.1</w:t>
            </w:r>
          </w:p>
        </w:tc>
        <w:tc>
          <w:tcPr>
            <w:tcW w:w="1255" w:type="dxa"/>
          </w:tcPr>
          <w:tcPr/>
          <w:p>
            <w:pPr>
              <w:pStyle w:val="Compact"/>
              <w:jc w:val="left"/>
            </w:pPr>
            <w:r>
              <w:t xml:space="preserve">26 jun 2026</w:t>
            </w:r>
          </w:p>
        </w:tc>
        <w:tc>
          <w:tcPr>
            <w:tcW w:w="2050" w:type="dxa"/>
          </w:tcPr>
          <w:tcPr/>
          <w:p>
            <w:pPr>
              <w:pStyle w:val="Compact"/>
              <w:jc w:val="left"/>
            </w:pPr>
            <w:r>
              <w:t xml:space="preserve">Jose Armando Santiago Lorenzo</w:t>
            </w:r>
          </w:p>
        </w:tc>
        <w:tc>
          <w:tcPr>
            <w:tcW w:w="3068" w:type="dxa"/>
          </w:tcPr>
          <w:tcPr/>
          <w:p>
            <w:pPr>
              <w:pStyle w:val="Compact"/>
              <w:jc w:val="left"/>
            </w:pPr>
            <w:r>
              <w:t xml:space="preserve">1ª revisión JD</w:t>
            </w:r>
          </w:p>
        </w:tc>
        <w:tc>
          <w:tcPr>
            <w:tcW w:w="1202" w:type="dxa"/>
          </w:tcPr>
          <w:tcPr/>
          <w:p>
            <w:pPr>
              <w:pStyle w:val="Compact"/>
              <w:jc w:val="left"/>
            </w:pPr>
            <w:r>
              <w:t xml:space="preserve">Anexo A.2</w:t>
            </w:r>
          </w:p>
        </w:tc>
        <w:tc>
          <w:tcPr>
            <w:tcW w:w="838" w:type="dxa"/>
          </w:tcPr>
          <w:tcPr/>
          <w:p>
            <w:pPr>
              <w:pStyle w:val="Compact"/>
              <w:jc w:val="left"/>
            </w:pPr>
            <w:r>
              <w:t xml:space="preserve">—</w:t>
            </w:r>
          </w:p>
        </w:tc>
      </w:tr>
      <w:tr>
        <w:tc>
          <w:tcPr>
            <w:tcW w:w="947" w:type="dxa"/>
          </w:tcPr>
          <w:tcPr/>
          <w:p>
            <w:pPr>
              <w:pStyle w:val="Compact"/>
              <w:jc w:val="left"/>
            </w:pPr>
            <w:r>
              <w:t xml:space="preserve">1.2</w:t>
            </w:r>
          </w:p>
        </w:tc>
        <w:tc>
          <w:tcPr>
            <w:tcW w:w="1255" w:type="dxa"/>
          </w:tcPr>
          <w:tcPr/>
          <w:p>
            <w:pPr>
              <w:pStyle w:val="Compact"/>
              <w:jc w:val="left"/>
            </w:pPr>
            <w:r>
              <w:t xml:space="preserve">29 jun 2026</w:t>
            </w:r>
          </w:p>
        </w:tc>
        <w:tc>
          <w:tcPr>
            <w:tcW w:w="2050" w:type="dxa"/>
          </w:tcPr>
          <w:tcPr/>
          <w:p>
            <w:pPr>
              <w:pStyle w:val="Compact"/>
              <w:jc w:val="left"/>
            </w:pPr>
            <w:r>
              <w:t xml:space="preserve">Jose Armando Santiago Lorenzo</w:t>
            </w:r>
          </w:p>
        </w:tc>
        <w:tc>
          <w:tcPr>
            <w:tcW w:w="3068" w:type="dxa"/>
          </w:tcPr>
          <w:tcPr/>
          <w:p>
            <w:pPr>
              <w:pStyle w:val="Compact"/>
              <w:jc w:val="left"/>
            </w:pPr>
            <w:r>
              <w:t xml:space="preserve">1ª revisión JD (congruencia)</w:t>
            </w:r>
          </w:p>
        </w:tc>
        <w:tc>
          <w:tcPr>
            <w:tcW w:w="1202" w:type="dxa"/>
          </w:tcPr>
          <w:tcPr/>
          <w:p>
            <w:pPr>
              <w:pStyle w:val="Compact"/>
              <w:jc w:val="left"/>
            </w:pPr>
            <w:r>
              <w:t xml:space="preserve">Anexo A.2</w:t>
            </w:r>
          </w:p>
        </w:tc>
        <w:tc>
          <w:tcPr>
            <w:tcW w:w="838" w:type="dxa"/>
          </w:tcPr>
          <w:tcPr/>
          <w:p>
            <w:pPr>
              <w:pStyle w:val="Compact"/>
              <w:jc w:val="left"/>
            </w:pPr>
            <w:r>
              <w:t xml:space="preserve">—</w:t>
            </w:r>
          </w:p>
        </w:tc>
      </w:tr>
      <w:tr>
        <w:tc>
          <w:tcPr>
            <w:tcW w:w="947" w:type="dxa"/>
          </w:tcPr>
          <w:tcPr/>
          <w:p>
            <w:pPr>
              <w:pStyle w:val="Compact"/>
              <w:jc w:val="left"/>
            </w:pPr>
            <w:r>
              <w:t xml:space="preserve">1.3</w:t>
            </w:r>
          </w:p>
        </w:tc>
        <w:tc>
          <w:tcPr>
            <w:tcW w:w="1255" w:type="dxa"/>
          </w:tcPr>
          <w:tcPr/>
          <w:p>
            <w:pPr>
              <w:pStyle w:val="Compact"/>
              <w:jc w:val="left"/>
            </w:pPr>
            <w:r>
              <w:t xml:space="preserve">29 jun 2026</w:t>
            </w:r>
          </w:p>
        </w:tc>
        <w:tc>
          <w:tcPr>
            <w:tcW w:w="2050" w:type="dxa"/>
          </w:tcPr>
          <w:tcPr/>
          <w:p>
            <w:pPr>
              <w:pStyle w:val="Compact"/>
              <w:jc w:val="left"/>
            </w:pPr>
            <w:r>
              <w:t xml:space="preserve">Jose Armando Santiago Lorenzo</w:t>
            </w:r>
          </w:p>
        </w:tc>
        <w:tc>
          <w:tcPr>
            <w:tcW w:w="3068" w:type="dxa"/>
          </w:tcPr>
          <w:tcPr/>
          <w:p>
            <w:pPr>
              <w:pStyle w:val="Compact"/>
              <w:jc w:val="left"/>
            </w:pPr>
            <w:r>
              <w:t xml:space="preserve">1ª revisión JD (GAP-E)</w:t>
            </w:r>
          </w:p>
        </w:tc>
        <w:tc>
          <w:tcPr>
            <w:tcW w:w="1202" w:type="dxa"/>
          </w:tcPr>
          <w:tcPr/>
          <w:p>
            <w:pPr>
              <w:pStyle w:val="Compact"/>
              <w:jc w:val="left"/>
            </w:pPr>
            <w:r>
              <w:t xml:space="preserve">Anexo A.2</w:t>
            </w:r>
          </w:p>
        </w:tc>
        <w:tc>
          <w:tcPr>
            <w:tcW w:w="838" w:type="dxa"/>
          </w:tcPr>
          <w:tcPr/>
          <w:p>
            <w:pPr>
              <w:pStyle w:val="Compact"/>
              <w:jc w:val="left"/>
            </w:pPr>
            <w:r>
              <w:t xml:space="preserve">—</w:t>
            </w:r>
          </w:p>
        </w:tc>
      </w:tr>
      <w:tr>
        <w:tc>
          <w:tcPr>
            <w:tcW w:w="947" w:type="dxa"/>
          </w:tcPr>
          <w:tcPr/>
          <w:p>
            <w:pPr>
              <w:pStyle w:val="Compact"/>
              <w:jc w:val="left"/>
            </w:pPr>
            <w:r>
              <w:t xml:space="preserve">1.4</w:t>
            </w:r>
          </w:p>
        </w:tc>
        <w:tc>
          <w:tcPr>
            <w:tcW w:w="1255" w:type="dxa"/>
          </w:tcPr>
          <w:tcPr/>
          <w:p>
            <w:pPr>
              <w:pStyle w:val="Compact"/>
              <w:jc w:val="left"/>
            </w:pPr>
            <w:r>
              <w:t xml:space="preserve">30 jun 2026</w:t>
            </w:r>
          </w:p>
        </w:tc>
        <w:tc>
          <w:tcPr>
            <w:tcW w:w="2050" w:type="dxa"/>
          </w:tcPr>
          <w:tcPr/>
          <w:p>
            <w:pPr>
              <w:pStyle w:val="Compact"/>
              <w:jc w:val="left"/>
            </w:pPr>
            <w:r>
              <w:t xml:space="preserve">Jose Armando Santiago Lorenzo</w:t>
            </w:r>
          </w:p>
        </w:tc>
        <w:tc>
          <w:tcPr>
            <w:tcW w:w="3068" w:type="dxa"/>
          </w:tcPr>
          <w:tcPr/>
          <w:p>
            <w:pPr>
              <w:pStyle w:val="Compact"/>
              <w:jc w:val="left"/>
            </w:pPr>
            <w:r>
              <w:t xml:space="preserve">1ª revisión JD (patrón SP)</w:t>
            </w:r>
          </w:p>
        </w:tc>
        <w:tc>
          <w:tcPr>
            <w:tcW w:w="1202" w:type="dxa"/>
          </w:tcPr>
          <w:tcPr/>
          <w:p>
            <w:pPr>
              <w:pStyle w:val="Compact"/>
              <w:jc w:val="left"/>
            </w:pPr>
            <w:r>
              <w:t xml:space="preserve">Anexo A.2</w:t>
            </w:r>
          </w:p>
        </w:tc>
        <w:tc>
          <w:tcPr>
            <w:tcW w:w="838" w:type="dxa"/>
          </w:tcPr>
          <w:tcPr/>
          <w:p>
            <w:pPr>
              <w:pStyle w:val="Compact"/>
              <w:jc w:val="left"/>
            </w:pPr>
            <w:r>
              <w:t xml:space="preserve">—</w:t>
            </w:r>
          </w:p>
        </w:tc>
      </w:tr>
      <w:tr>
        <w:tc>
          <w:tcPr>
            <w:tcW w:w="947" w:type="dxa"/>
          </w:tcPr>
          <w:tcPr/>
          <w:p>
            <w:pPr>
              <w:pStyle w:val="Compact"/>
              <w:jc w:val="left"/>
            </w:pPr>
            <w:r>
              <w:t xml:space="preserve">1.5</w:t>
            </w:r>
          </w:p>
        </w:tc>
        <w:tc>
          <w:tcPr>
            <w:tcW w:w="1255" w:type="dxa"/>
          </w:tcPr>
          <w:tcPr/>
          <w:p>
            <w:pPr>
              <w:pStyle w:val="Compact"/>
              <w:jc w:val="left"/>
            </w:pPr>
            <w:r>
              <w:t xml:space="preserve">1 jul 2026</w:t>
            </w:r>
          </w:p>
        </w:tc>
        <w:tc>
          <w:tcPr>
            <w:tcW w:w="2050" w:type="dxa"/>
          </w:tcPr>
          <w:tcPr/>
          <w:p>
            <w:pPr>
              <w:pStyle w:val="Compact"/>
              <w:jc w:val="left"/>
            </w:pPr>
            <w:r>
              <w:t xml:space="preserve">Jose Armando Santiago Lorenzo</w:t>
            </w:r>
          </w:p>
        </w:tc>
        <w:tc>
          <w:tcPr>
            <w:tcW w:w="3068" w:type="dxa"/>
          </w:tcPr>
          <w:tcPr/>
          <w:p>
            <w:pPr>
              <w:pStyle w:val="Compact"/>
              <w:jc w:val="left"/>
            </w:pPr>
            <w:r>
              <w:t xml:space="preserve">1ª revisión JD (cierres)</w:t>
            </w:r>
          </w:p>
        </w:tc>
        <w:tc>
          <w:tcPr>
            <w:tcW w:w="1202" w:type="dxa"/>
          </w:tcPr>
          <w:tcPr/>
          <w:p>
            <w:pPr>
              <w:pStyle w:val="Compact"/>
              <w:jc w:val="left"/>
            </w:pPr>
            <w:r>
              <w:t xml:space="preserve">Anexo A.2</w:t>
            </w:r>
          </w:p>
        </w:tc>
        <w:tc>
          <w:tcPr>
            <w:tcW w:w="838" w:type="dxa"/>
          </w:tcPr>
          <w:tcPr/>
          <w:p>
            <w:pPr>
              <w:pStyle w:val="Compact"/>
              <w:jc w:val="left"/>
            </w:pPr>
            <w:r>
              <w:t xml:space="preserve">—</w:t>
            </w:r>
          </w:p>
        </w:tc>
      </w:tr>
      <w:tr>
        <w:tc>
          <w:tcPr>
            <w:tcW w:w="947" w:type="dxa"/>
          </w:tcPr>
          <w:tcPr/>
          <w:p>
            <w:pPr>
              <w:pStyle w:val="Compact"/>
              <w:jc w:val="left"/>
            </w:pPr>
            <w:r>
              <w:t xml:space="preserve">1.6</w:t>
            </w:r>
          </w:p>
        </w:tc>
        <w:tc>
          <w:tcPr>
            <w:tcW w:w="1255" w:type="dxa"/>
          </w:tcPr>
          <w:tcPr/>
          <w:p>
            <w:pPr>
              <w:pStyle w:val="Compact"/>
              <w:jc w:val="left"/>
            </w:pPr>
            <w:r>
              <w:t xml:space="preserve">4 jul 2026</w:t>
            </w:r>
          </w:p>
        </w:tc>
        <w:tc>
          <w:tcPr>
            <w:tcW w:w="2050" w:type="dxa"/>
          </w:tcPr>
          <w:tcPr/>
          <w:p>
            <w:pPr>
              <w:pStyle w:val="Compact"/>
              <w:jc w:val="left"/>
            </w:pPr>
            <w:r>
              <w:t xml:space="preserve">Jose Armando Santiago Lorenzo</w:t>
            </w:r>
          </w:p>
        </w:tc>
        <w:tc>
          <w:tcPr>
            <w:tcW w:w="3068" w:type="dxa"/>
          </w:tcPr>
          <w:tcPr/>
          <w:p>
            <w:pPr>
              <w:pStyle w:val="Compact"/>
              <w:jc w:val="left"/>
            </w:pPr>
            <w:r>
              <w:t xml:space="preserve">2ª revisión JD</w:t>
            </w:r>
          </w:p>
        </w:tc>
        <w:tc>
          <w:tcPr>
            <w:tcW w:w="1202" w:type="dxa"/>
          </w:tcPr>
          <w:tcPr/>
          <w:p>
            <w:pPr>
              <w:pStyle w:val="Compact"/>
              <w:jc w:val="left"/>
            </w:pPr>
            <w:r>
              <w:t xml:space="preserve">Anexo A.3</w:t>
            </w:r>
          </w:p>
        </w:tc>
        <w:tc>
          <w:tcPr>
            <w:tcW w:w="838" w:type="dxa"/>
          </w:tcPr>
          <w:tcPr/>
          <w:p>
            <w:pPr>
              <w:pStyle w:val="Compact"/>
              <w:jc w:val="left"/>
            </w:pPr>
            <w:r>
              <w:t xml:space="preserve">—</w:t>
            </w:r>
          </w:p>
        </w:tc>
      </w:tr>
      <w:tr>
        <w:tc>
          <w:tcPr>
            <w:tcW w:w="947" w:type="dxa"/>
          </w:tcPr>
          <w:tcPr/>
          <w:p>
            <w:pPr>
              <w:pStyle w:val="Compact"/>
              <w:jc w:val="left"/>
            </w:pPr>
            <w:r>
              <w:t xml:space="preserve">1.7</w:t>
            </w:r>
          </w:p>
        </w:tc>
        <w:tc>
          <w:tcPr>
            <w:tcW w:w="1255" w:type="dxa"/>
          </w:tcPr>
          <w:tcPr/>
          <w:p>
            <w:pPr>
              <w:pStyle w:val="Compact"/>
              <w:jc w:val="left"/>
            </w:pPr>
            <w:r>
              <w:t xml:space="preserve">6 jul 2026</w:t>
            </w:r>
          </w:p>
        </w:tc>
        <w:tc>
          <w:tcPr>
            <w:tcW w:w="2050" w:type="dxa"/>
          </w:tcPr>
          <w:tcPr/>
          <w:p>
            <w:pPr>
              <w:pStyle w:val="Compact"/>
              <w:jc w:val="left"/>
            </w:pPr>
            <w:r>
              <w:t xml:space="preserve">Jose Armando Santiago Lorenzo</w:t>
            </w:r>
          </w:p>
        </w:tc>
        <w:tc>
          <w:tcPr>
            <w:tcW w:w="3068" w:type="dxa"/>
          </w:tcPr>
          <w:tcPr/>
          <w:p>
            <w:pPr>
              <w:pStyle w:val="Compact"/>
              <w:jc w:val="left"/>
            </w:pPr>
            <w:r>
              <w:t xml:space="preserve">Comentarios JD (verbales)</w:t>
            </w:r>
          </w:p>
        </w:tc>
        <w:tc>
          <w:tcPr>
            <w:tcW w:w="1202" w:type="dxa"/>
          </w:tcPr>
          <w:tcPr/>
          <w:p>
            <w:pPr>
              <w:pStyle w:val="Compact"/>
              <w:jc w:val="left"/>
            </w:pPr>
            <w:r>
              <w:t xml:space="preserve">Anexo A.4</w:t>
            </w:r>
          </w:p>
        </w:tc>
        <w:tc>
          <w:tcPr>
            <w:tcW w:w="838" w:type="dxa"/>
          </w:tcPr>
          <w:tcPr/>
          <w:p>
            <w:pPr>
              <w:pStyle w:val="Compact"/>
              <w:jc w:val="left"/>
            </w:pPr>
            <w:r>
              <w:t xml:space="preserve">—</w:t>
            </w:r>
          </w:p>
        </w:tc>
      </w:tr>
      <w:tr>
        <w:tc>
          <w:tcPr>
            <w:tcW w:w="947" w:type="dxa"/>
          </w:tcPr>
          <w:tcPr/>
          <w:p>
            <w:pPr>
              <w:pStyle w:val="Compact"/>
              <w:jc w:val="left"/>
            </w:pPr>
            <w:r>
              <w:t xml:space="preserve">1.8</w:t>
            </w:r>
          </w:p>
        </w:tc>
        <w:tc>
          <w:tcPr>
            <w:tcW w:w="1255" w:type="dxa"/>
          </w:tcPr>
          <w:tcPr/>
          <w:p>
            <w:pPr>
              <w:pStyle w:val="Compact"/>
              <w:jc w:val="left"/>
            </w:pPr>
            <w:r>
              <w:t xml:space="preserve">6 jul 2026</w:t>
            </w:r>
          </w:p>
        </w:tc>
        <w:tc>
          <w:tcPr>
            <w:tcW w:w="2050" w:type="dxa"/>
          </w:tcPr>
          <w:tcPr/>
          <w:p>
            <w:pPr>
              <w:pStyle w:val="Compact"/>
              <w:jc w:val="left"/>
            </w:pPr>
            <w:r>
              <w:t xml:space="preserve">Jose Armando Santiago Lorenzo</w:t>
            </w:r>
          </w:p>
        </w:tc>
        <w:tc>
          <w:tcPr>
            <w:tcW w:w="3068" w:type="dxa"/>
          </w:tcPr>
          <w:tcPr/>
          <w:p>
            <w:pPr>
              <w:pStyle w:val="Compact"/>
              <w:jc w:val="left"/>
            </w:pPr>
            <w:r>
              <w:t xml:space="preserve">Formato de código</w:t>
            </w:r>
          </w:p>
        </w:tc>
        <w:tc>
          <w:tcPr>
            <w:tcW w:w="1202" w:type="dxa"/>
          </w:tcPr>
          <w:tcPr/>
          <w:p>
            <w:pPr>
              <w:pStyle w:val="Compact"/>
              <w:jc w:val="left"/>
            </w:pPr>
            <w:r>
              <w:t xml:space="preserve">Anexo A.5</w:t>
            </w:r>
          </w:p>
        </w:tc>
        <w:tc>
          <w:tcPr>
            <w:tcW w:w="838" w:type="dxa"/>
          </w:tcPr>
          <w:tcPr/>
          <w:p>
            <w:pPr>
              <w:pStyle w:val="Compact"/>
              <w:jc w:val="left"/>
            </w:pPr>
            <w:r>
              <w:t xml:space="preserve">—</w:t>
            </w:r>
          </w:p>
        </w:tc>
      </w:tr>
      <w:tr>
        <w:tc>
          <w:tcPr>
            <w:tcW w:w="947" w:type="dxa"/>
          </w:tcPr>
          <w:tcPr/>
          <w:p>
            <w:pPr>
              <w:pStyle w:val="Compact"/>
              <w:jc w:val="left"/>
            </w:pPr>
            <w:r>
              <w:t xml:space="preserve">1.9</w:t>
            </w:r>
          </w:p>
        </w:tc>
        <w:tc>
          <w:tcPr>
            <w:tcW w:w="1255" w:type="dxa"/>
          </w:tcPr>
          <w:tcPr/>
          <w:p>
            <w:pPr>
              <w:pStyle w:val="Compact"/>
              <w:jc w:val="left"/>
            </w:pPr>
            <w:r>
              <w:t xml:space="preserve">9 jul 2026</w:t>
            </w:r>
          </w:p>
        </w:tc>
        <w:tc>
          <w:tcPr>
            <w:tcW w:w="2050" w:type="dxa"/>
          </w:tcPr>
          <w:tcPr/>
          <w:p>
            <w:pPr>
              <w:pStyle w:val="Compact"/>
              <w:jc w:val="left"/>
            </w:pPr>
            <w:r>
              <w:t xml:space="preserve">Jose Armando Santiago Lorenzo</w:t>
            </w:r>
          </w:p>
        </w:tc>
        <w:tc>
          <w:tcPr>
            <w:tcW w:w="3068" w:type="dxa"/>
          </w:tcPr>
          <w:tcPr/>
          <w:p>
            <w:pPr>
              <w:pStyle w:val="Compact"/>
              <w:jc w:val="left"/>
            </w:pPr>
            <w:r>
              <w:t xml:space="preserve">Comentario JD (Flujo B / Legacy)</w:t>
            </w:r>
          </w:p>
        </w:tc>
        <w:tc>
          <w:tcPr>
            <w:tcW w:w="1202" w:type="dxa"/>
          </w:tcPr>
          <w:tcPr/>
          <w:p>
            <w:pPr>
              <w:pStyle w:val="Compact"/>
              <w:jc w:val="left"/>
            </w:pPr>
            <w:r>
              <w:t xml:space="preserve">Anexo A.6</w:t>
            </w:r>
          </w:p>
        </w:tc>
        <w:tc>
          <w:tcPr>
            <w:tcW w:w="838" w:type="dxa"/>
          </w:tcPr>
          <w:tcPr/>
          <w:p>
            <w:pPr>
              <w:pStyle w:val="Compact"/>
              <w:jc w:val="left"/>
            </w:pPr>
            <w:r>
              <w:t xml:space="preserve">—</w:t>
            </w:r>
          </w:p>
        </w:tc>
      </w:tr>
      <w:tr>
        <w:tc>
          <w:tcPr>
            <w:tcW w:w="947" w:type="dxa"/>
          </w:tcPr>
          <w:tcPr/>
          <w:p>
            <w:pPr>
              <w:pStyle w:val="Compact"/>
              <w:jc w:val="left"/>
            </w:pPr>
            <w:r>
              <w:t xml:space="preserve">1.10</w:t>
            </w:r>
          </w:p>
        </w:tc>
        <w:tc>
          <w:tcPr>
            <w:tcW w:w="1255" w:type="dxa"/>
          </w:tcPr>
          <w:tcPr/>
          <w:p>
            <w:pPr>
              <w:pStyle w:val="Compact"/>
              <w:jc w:val="left"/>
            </w:pPr>
            <w:r>
              <w:t xml:space="preserve">9 jul 2026</w:t>
            </w:r>
          </w:p>
        </w:tc>
        <w:tc>
          <w:tcPr>
            <w:tcW w:w="2050" w:type="dxa"/>
          </w:tcPr>
          <w:tcPr/>
          <w:p>
            <w:pPr>
              <w:pStyle w:val="Compact"/>
              <w:jc w:val="left"/>
            </w:pPr>
            <w:r>
              <w:t xml:space="preserve">Jose Armando Santiago Lorenzo</w:t>
            </w:r>
          </w:p>
        </w:tc>
        <w:tc>
          <w:tcPr>
            <w:tcW w:w="3068" w:type="dxa"/>
          </w:tcPr>
          <w:tcPr/>
          <w:p>
            <w:pPr>
              <w:pStyle w:val="Compact"/>
              <w:jc w:val="left"/>
            </w:pPr>
            <w:r>
              <w:t xml:space="preserve">Aplicativo de Bitácora (evento)</w:t>
            </w:r>
          </w:p>
        </w:tc>
        <w:tc>
          <w:tcPr>
            <w:tcW w:w="1202" w:type="dxa"/>
          </w:tcPr>
          <w:tcPr/>
          <w:p>
            <w:pPr>
              <w:pStyle w:val="Compact"/>
              <w:jc w:val="left"/>
            </w:pPr>
            <w:r>
              <w:t xml:space="preserve">Anexo A.7</w:t>
            </w:r>
          </w:p>
        </w:tc>
        <w:tc>
          <w:tcPr>
            <w:tcW w:w="838" w:type="dxa"/>
          </w:tcPr>
          <w:tcPr/>
          <w:p>
            <w:pPr>
              <w:pStyle w:val="Compact"/>
              <w:jc w:val="left"/>
            </w:pPr>
            <w:r>
              <w:t xml:space="preserve">—</w:t>
            </w:r>
          </w:p>
        </w:tc>
      </w:tr>
      <w:tr>
        <w:tc>
          <w:tcPr>
            <w:tcW w:w="947" w:type="dxa"/>
          </w:tcPr>
          <w:tcPr/>
          <w:p>
            <w:pPr>
              <w:pStyle w:val="Compact"/>
              <w:jc w:val="left"/>
            </w:pPr>
            <w:r>
              <w:t xml:space="preserve">1.11</w:t>
            </w:r>
          </w:p>
        </w:tc>
        <w:tc>
          <w:tcPr>
            <w:tcW w:w="1255" w:type="dxa"/>
          </w:tcPr>
          <w:tcPr/>
          <w:p>
            <w:pPr>
              <w:pStyle w:val="Compact"/>
              <w:jc w:val="left"/>
            </w:pPr>
            <w:r>
              <w:t xml:space="preserve">22 jul 2026</w:t>
            </w:r>
          </w:p>
        </w:tc>
        <w:tc>
          <w:tcPr>
            <w:tcW w:w="2050" w:type="dxa"/>
          </w:tcPr>
          <w:tcPr/>
          <w:p>
            <w:pPr>
              <w:pStyle w:val="Compact"/>
              <w:jc w:val="left"/>
            </w:pPr>
            <w:r>
              <w:t xml:space="preserve">Jose Armando Santiago Lorenzo</w:t>
            </w:r>
          </w:p>
        </w:tc>
        <w:tc>
          <w:tcPr>
            <w:tcW w:w="3068" w:type="dxa"/>
          </w:tcPr>
          <w:tcPr/>
          <w:p>
            <w:pPr>
              <w:pStyle w:val="Compact"/>
              <w:jc w:val="left"/>
            </w:pPr>
            <w:r>
              <w:t xml:space="preserve">Ajuste de fuente de dato en referencia bancaria no-Banamex y criterio de identificación de banco</w:t>
            </w:r>
          </w:p>
        </w:tc>
        <w:tc>
          <w:tcPr>
            <w:tcW w:w="1202" w:type="dxa"/>
          </w:tcPr>
          <w:tcPr/>
          <w:p>
            <w:pPr>
              <w:pStyle w:val="Compact"/>
              <w:jc w:val="left"/>
            </w:pPr>
            <w:r>
              <w:t xml:space="preserve">Anexo A.8</w:t>
            </w:r>
          </w:p>
        </w:tc>
        <w:tc>
          <w:tcPr>
            <w:tcW w:w="838" w:type="dxa"/>
          </w:tcPr>
          <w:tcPr/>
          <w:p>
            <w:pPr>
              <w:pStyle w:val="Compact"/>
              <w:jc w:val="left"/>
            </w:pPr>
            <w:r>
              <w:t xml:space="preserve">—</w:t>
            </w:r>
          </w:p>
        </w:tc>
      </w:tr>
      <w:tr>
        <w:tc>
          <w:tcPr>
            <w:tcW w:w="947" w:type="dxa"/>
          </w:tcPr>
          <w:tcPr/>
          <w:p>
            <w:pPr>
              <w:pStyle w:val="Compact"/>
              <w:jc w:val="left"/>
            </w:pPr>
            <w:r>
              <w:t xml:space="preserve">1.12</w:t>
            </w:r>
          </w:p>
        </w:tc>
        <w:tc>
          <w:tcPr>
            <w:tcW w:w="1255" w:type="dxa"/>
          </w:tcPr>
          <w:tcPr/>
          <w:p>
            <w:pPr>
              <w:pStyle w:val="Compact"/>
              <w:jc w:val="left"/>
            </w:pPr>
            <w:r>
              <w:t xml:space="preserve">29 jul 2026</w:t>
            </w:r>
          </w:p>
        </w:tc>
        <w:tc>
          <w:tcPr>
            <w:tcW w:w="2050" w:type="dxa"/>
          </w:tcPr>
          <w:tcPr/>
          <w:p>
            <w:pPr>
              <w:pStyle w:val="Compact"/>
              <w:jc w:val="left"/>
            </w:pPr>
            <w:r>
              <w:t xml:space="preserve">Jose Armando Santiago Lorenzo</w:t>
            </w:r>
          </w:p>
        </w:tc>
        <w:tc>
          <w:tcPr>
            <w:tcW w:w="3068" w:type="dxa"/>
          </w:tcPr>
          <w:tcPr/>
          <w:p>
            <w:pPr>
              <w:pStyle w:val="Compact"/>
              <w:jc w:val="left"/>
            </w:pPr>
            <w:r>
              <w:t xml:space="preserve">Manejo de errores uniforme, reuso de catálogos existentes y contrato de consulta anidado</w:t>
            </w:r>
          </w:p>
        </w:tc>
        <w:tc>
          <w:tcPr>
            <w:tcW w:w="1202" w:type="dxa"/>
          </w:tcPr>
          <w:tcPr/>
          <w:p>
            <w:pPr>
              <w:pStyle w:val="Compact"/>
              <w:jc w:val="left"/>
            </w:pPr>
            <w:r>
              <w:t xml:space="preserve">Anexo A.9</w:t>
            </w:r>
          </w:p>
        </w:tc>
        <w:tc>
          <w:tcPr>
            <w:tcW w:w="838" w:type="dxa"/>
          </w:tcPr>
          <w:tcPr/>
          <w:p>
            <w:pPr>
              <w:pStyle w:val="Compact"/>
              <w:jc w:val="left"/>
            </w:pPr>
            <w:r>
              <w:t xml:space="preserve">—</w:t>
            </w:r>
          </w:p>
        </w:tc>
      </w:tr>
      <w:tr>
        <w:tc>
          <w:tcPr>
            <w:tcW w:w="947" w:type="dxa"/>
          </w:tcPr>
          <w:tcPr/>
          <w:p>
            <w:pPr>
              <w:pStyle w:val="Compact"/>
              <w:jc w:val="left"/>
            </w:pPr>
            <w:r>
              <w:t xml:space="preserve">1.13</w:t>
            </w:r>
          </w:p>
        </w:tc>
        <w:tc>
          <w:tcPr>
            <w:tcW w:w="1255" w:type="dxa"/>
          </w:tcPr>
          <w:tcPr/>
          <w:p>
            <w:pPr>
              <w:pStyle w:val="Compact"/>
              <w:jc w:val="left"/>
            </w:pPr>
            <w:r>
              <w:t xml:space="preserve">29 jul 2026</w:t>
            </w:r>
          </w:p>
        </w:tc>
        <w:tc>
          <w:tcPr>
            <w:tcW w:w="2050" w:type="dxa"/>
          </w:tcPr>
          <w:tcPr/>
          <w:p>
            <w:pPr>
              <w:pStyle w:val="Compact"/>
              <w:jc w:val="left"/>
            </w:pPr>
            <w:r>
              <w:t xml:space="preserve">Jose Armando Santiago Lorenzo</w:t>
            </w:r>
          </w:p>
        </w:tc>
        <w:tc>
          <w:tcPr>
            <w:tcW w:w="3068" w:type="dxa"/>
          </w:tcPr>
          <w:tcPr/>
          <w:p>
            <w:pPr>
              <w:pStyle w:val="Compact"/>
              <w:jc w:val="left"/>
            </w:pPr>
            <w:r>
              <w:rPr>
                <w:rStyle w:val="VerbatimChar"/>
              </w:rPr>
              <w:t xml:space="preserve">IdCliente</w:t>
            </w:r>
            <w:r>
              <w:t xml:space="preserve"> </w:t>
            </w:r>
            <w:r>
              <w:t xml:space="preserve">deja de ser obligatorio en el endpoint de consulta</w:t>
            </w:r>
          </w:p>
        </w:tc>
        <w:tc>
          <w:tcPr>
            <w:tcW w:w="1202" w:type="dxa"/>
          </w:tcPr>
          <w:tcPr/>
          <w:p>
            <w:pPr>
              <w:pStyle w:val="Compact"/>
              <w:jc w:val="left"/>
            </w:pPr>
            <w:r>
              <w:t xml:space="preserve">Anexo A.10</w:t>
            </w:r>
          </w:p>
        </w:tc>
        <w:tc>
          <w:tcPr>
            <w:tcW w:w="838" w:type="dxa"/>
          </w:tcPr>
          <w:tcPr/>
          <w:p>
            <w:pPr>
              <w:pStyle w:val="Compact"/>
              <w:jc w:val="left"/>
            </w:pPr>
            <w:r>
              <w:t xml:space="preserve">—</w:t>
            </w:r>
          </w:p>
        </w:tc>
      </w:tr>
      <w:tr>
        <w:tc>
          <w:tcPr>
            <w:tcW w:w="947" w:type="dxa"/>
          </w:tcPr>
          <w:tcPr/>
          <w:p>
            <w:pPr>
              <w:pStyle w:val="Compact"/>
              <w:jc w:val="left"/>
            </w:pPr>
            <w:r>
              <w:t xml:space="preserve">1.14</w:t>
            </w:r>
          </w:p>
        </w:tc>
        <w:tc>
          <w:tcPr>
            <w:tcW w:w="1255" w:type="dxa"/>
          </w:tcPr>
          <w:tcPr/>
          <w:p>
            <w:pPr>
              <w:pStyle w:val="Compact"/>
              <w:jc w:val="left"/>
            </w:pPr>
            <w:r>
              <w:t xml:space="preserve">29 jul 2026</w:t>
            </w:r>
          </w:p>
        </w:tc>
        <w:tc>
          <w:tcPr>
            <w:tcW w:w="2050" w:type="dxa"/>
          </w:tcPr>
          <w:tcPr/>
          <w:p>
            <w:pPr>
              <w:pStyle w:val="Compact"/>
              <w:jc w:val="left"/>
            </w:pPr>
            <w:r>
              <w:t xml:space="preserve">Jose Armando Santiago Lorenzo</w:t>
            </w:r>
          </w:p>
        </w:tc>
        <w:tc>
          <w:tcPr>
            <w:tcW w:w="3068" w:type="dxa"/>
          </w:tcPr>
          <w:tcPr/>
          <w:p>
            <w:pPr>
              <w:pStyle w:val="Compact"/>
              <w:jc w:val="left"/>
            </w:pPr>
            <w:r>
              <w:t xml:space="preserve">Respuesta del endpoint de consulta pasa de anidada a objeto plano; campos mínimos acordados con front</w:t>
            </w:r>
          </w:p>
        </w:tc>
        <w:tc>
          <w:tcPr>
            <w:tcW w:w="1202" w:type="dxa"/>
          </w:tcPr>
          <w:tcPr/>
          <w:p>
            <w:pPr>
              <w:pStyle w:val="Compact"/>
              <w:jc w:val="left"/>
            </w:pPr>
            <w:r>
              <w:t xml:space="preserve">Anexo A.11</w:t>
            </w:r>
          </w:p>
        </w:tc>
        <w:tc>
          <w:tcPr>
            <w:tcW w:w="838" w:type="dxa"/>
          </w:tcPr>
          <w:tcPr/>
          <w:p>
            <w:pPr>
              <w:pStyle w:val="Compact"/>
              <w:jc w:val="left"/>
            </w:pPr>
            <w:r>
              <w:t xml:space="preserve">—</w:t>
            </w:r>
          </w:p>
        </w:tc>
      </w:tr>
      <w:tr>
        <w:tc>
          <w:tcPr>
            <w:tcW w:w="947" w:type="dxa"/>
          </w:tcPr>
          <w:tcPr/>
          <w:p>
            <w:pPr>
              <w:pStyle w:val="Compact"/>
              <w:jc w:val="left"/>
            </w:pPr>
            <w:r>
              <w:t xml:space="preserve">1.15</w:t>
            </w:r>
          </w:p>
        </w:tc>
        <w:tc>
          <w:tcPr>
            <w:tcW w:w="1255" w:type="dxa"/>
          </w:tcPr>
          <w:tcPr/>
          <w:p>
            <w:pPr>
              <w:pStyle w:val="Compact"/>
              <w:jc w:val="left"/>
            </w:pPr>
            <w:r>
              <w:t xml:space="preserve">29 jul 2026</w:t>
            </w:r>
          </w:p>
        </w:tc>
        <w:tc>
          <w:tcPr>
            <w:tcW w:w="2050" w:type="dxa"/>
          </w:tcPr>
          <w:tcPr/>
          <w:p>
            <w:pPr>
              <w:pStyle w:val="Compact"/>
              <w:jc w:val="left"/>
            </w:pPr>
            <w:r>
              <w:t xml:space="preserve">Jose Armando Santiago Lorenzo</w:t>
            </w:r>
          </w:p>
        </w:tc>
        <w:tc>
          <w:tcPr>
            <w:tcW w:w="3068" w:type="dxa"/>
          </w:tcPr>
          <w:tcPr/>
          <w:p>
            <w:pPr>
              <w:pStyle w:val="Compact"/>
              <w:jc w:val="left"/>
            </w:pPr>
            <w:r>
              <w:rPr>
                <w:rStyle w:val="VerbatimChar"/>
              </w:rPr>
              <w:t xml:space="preserve">CodigoValidador</w:t>
            </w:r>
            <w:r>
              <w:t xml:space="preserve"> </w:t>
            </w:r>
            <w:r>
              <w:t xml:space="preserve">deja de ser obligatorio para cuentas no-Banamex</w:t>
            </w:r>
          </w:p>
        </w:tc>
        <w:tc>
          <w:tcPr>
            <w:tcW w:w="1202" w:type="dxa"/>
          </w:tcPr>
          <w:tcPr/>
          <w:p>
            <w:pPr>
              <w:pStyle w:val="Compact"/>
              <w:jc w:val="left"/>
            </w:pPr>
            <w:r>
              <w:t xml:space="preserve">Anexo A.12</w:t>
            </w:r>
          </w:p>
        </w:tc>
        <w:tc>
          <w:tcPr>
            <w:tcW w:w="838" w:type="dxa"/>
          </w:tcPr>
          <w:tcPr/>
          <w:p>
            <w:pPr>
              <w:pStyle w:val="Compact"/>
              <w:jc w:val="left"/>
            </w:pPr>
            <w:r>
              <w:t xml:space="preserve">—</w:t>
            </w:r>
          </w:p>
        </w:tc>
      </w:tr>
      <w:tr>
        <w:tc>
          <w:tcPr>
            <w:tcW w:w="947" w:type="dxa"/>
          </w:tcPr>
          <w:tcPr/>
          <w:p>
            <w:pPr>
              <w:pStyle w:val="Compact"/>
              <w:jc w:val="left"/>
            </w:pPr>
            <w:r>
              <w:t xml:space="preserve">1.16</w:t>
            </w:r>
          </w:p>
        </w:tc>
        <w:tc>
          <w:tcPr>
            <w:tcW w:w="1255" w:type="dxa"/>
          </w:tcPr>
          <w:tcPr/>
          <w:p>
            <w:pPr>
              <w:pStyle w:val="Compact"/>
              <w:jc w:val="left"/>
            </w:pPr>
            <w:r>
              <w:t xml:space="preserve">30 jul 2026</w:t>
            </w:r>
          </w:p>
        </w:tc>
        <w:tc>
          <w:tcPr>
            <w:tcW w:w="2050" w:type="dxa"/>
          </w:tcPr>
          <w:tcPr/>
          <w:p>
            <w:pPr>
              <w:pStyle w:val="Compact"/>
              <w:jc w:val="left"/>
            </w:pPr>
            <w:r>
              <w:t xml:space="preserve">Jose Armando Santiago Lorenzo</w:t>
            </w:r>
          </w:p>
        </w:tc>
        <w:tc>
          <w:tcPr>
            <w:tcW w:w="3068" w:type="dxa"/>
          </w:tcPr>
          <w:tcPr/>
          <w:p>
            <w:pPr>
              <w:pStyle w:val="Compact"/>
              <w:jc w:val="left"/>
            </w:pPr>
            <w:r>
              <w:t xml:space="preserve">Validación de cuenta bancaria inexistente/inválida en el endpoint de alta</w:t>
            </w:r>
          </w:p>
        </w:tc>
        <w:tc>
          <w:tcPr>
            <w:tcW w:w="1202" w:type="dxa"/>
          </w:tcPr>
          <w:tcPr/>
          <w:p>
            <w:pPr>
              <w:pStyle w:val="Compact"/>
              <w:jc w:val="left"/>
            </w:pPr>
            <w:r>
              <w:t xml:space="preserve">Anexo A.13</w:t>
            </w:r>
          </w:p>
        </w:tc>
        <w:tc>
          <w:tcPr>
            <w:tcW w:w="838" w:type="dxa"/>
          </w:tcPr>
          <w:tcPr/>
          <w:p>
            <w:pPr>
              <w:pStyle w:val="Compact"/>
              <w:jc w:val="left"/>
            </w:pPr>
            <w:r>
              <w:t xml:space="preserve">—</w:t>
            </w:r>
          </w:p>
        </w:tc>
      </w:tr>
      <w:tr>
        <w:tc>
          <w:tcPr>
            <w:tcW w:w="947" w:type="dxa"/>
          </w:tcPr>
          <w:tcPr/>
          <w:p>
            <w:pPr>
              <w:pStyle w:val="Compact"/>
              <w:jc w:val="left"/>
            </w:pPr>
            <w:r>
              <w:t xml:space="preserve">1.17</w:t>
            </w:r>
          </w:p>
        </w:tc>
        <w:tc>
          <w:tcPr>
            <w:tcW w:w="1255" w:type="dxa"/>
          </w:tcPr>
          <w:tcPr/>
          <w:p>
            <w:pPr>
              <w:pStyle w:val="Compact"/>
              <w:jc w:val="left"/>
            </w:pPr>
            <w:r>
              <w:t xml:space="preserve">30 jul 2026</w:t>
            </w:r>
          </w:p>
        </w:tc>
        <w:tc>
          <w:tcPr>
            <w:tcW w:w="2050" w:type="dxa"/>
          </w:tcPr>
          <w:tcPr/>
          <w:p>
            <w:pPr>
              <w:pStyle w:val="Compact"/>
              <w:jc w:val="left"/>
            </w:pPr>
            <w:r>
              <w:t xml:space="preserve">Jose Armando Santiago Lorenzo</w:t>
            </w:r>
          </w:p>
        </w:tc>
        <w:tc>
          <w:tcPr>
            <w:tcW w:w="3068" w:type="dxa"/>
          </w:tcPr>
          <w:tcPr/>
          <w:p>
            <w:pPr>
              <w:pStyle w:val="Compact"/>
              <w:jc w:val="left"/>
            </w:pPr>
            <w:r>
              <w:t xml:space="preserve">Auditoría de congruencia interno↔formal: unifica el controller del endpoint de consulta</w:t>
            </w:r>
          </w:p>
        </w:tc>
        <w:tc>
          <w:tcPr>
            <w:tcW w:w="1202" w:type="dxa"/>
          </w:tcPr>
          <w:tcPr/>
          <w:p>
            <w:pPr>
              <w:pStyle w:val="Compact"/>
              <w:jc w:val="left"/>
            </w:pPr>
            <w:r>
              <w:t xml:space="preserve">Anexo A.14</w:t>
            </w:r>
          </w:p>
        </w:tc>
        <w:tc>
          <w:tcPr>
            <w:tcW w:w="838" w:type="dxa"/>
          </w:tcPr>
          <w:tcPr/>
          <w:p>
            <w:pPr>
              <w:pStyle w:val="Compact"/>
              <w:jc w:val="left"/>
            </w:pPr>
            <w:r>
              <w:t xml:space="preserve">—</w:t>
            </w:r>
          </w:p>
        </w:tc>
      </w:tr>
      <w:tr>
        <w:tc>
          <w:tcPr>
            <w:tcW w:w="947" w:type="dxa"/>
          </w:tcPr>
          <w:tcPr/>
          <w:p>
            <w:pPr>
              <w:pStyle w:val="Compact"/>
              <w:jc w:val="left"/>
            </w:pPr>
            <w:r>
              <w:t xml:space="preserve">1.18</w:t>
            </w:r>
          </w:p>
        </w:tc>
        <w:tc>
          <w:tcPr>
            <w:tcW w:w="1255" w:type="dxa"/>
          </w:tcPr>
          <w:tcPr/>
          <w:p>
            <w:pPr>
              <w:pStyle w:val="Compact"/>
              <w:jc w:val="left"/>
            </w:pPr>
            <w:r>
              <w:t xml:space="preserve">30 jul 2026</w:t>
            </w:r>
          </w:p>
        </w:tc>
        <w:tc>
          <w:tcPr>
            <w:tcW w:w="2050" w:type="dxa"/>
          </w:tcPr>
          <w:tcPr/>
          <w:p>
            <w:pPr>
              <w:pStyle w:val="Compact"/>
              <w:jc w:val="left"/>
            </w:pPr>
            <w:r>
              <w:t xml:space="preserve">Jose Armando Santiago Lorenzo</w:t>
            </w:r>
          </w:p>
        </w:tc>
        <w:tc>
          <w:tcPr>
            <w:tcW w:w="3068" w:type="dxa"/>
          </w:tcPr>
          <w:tcPr/>
          <w:p>
            <w:pPr>
              <w:pStyle w:val="Compact"/>
              <w:jc w:val="left"/>
            </w:pPr>
            <w:r>
              <w:t xml:space="preserve">Corrección de v1.17: verificado contra código real, el controller de consulta queda separado del CRUD</w:t>
            </w:r>
          </w:p>
        </w:tc>
        <w:tc>
          <w:tcPr>
            <w:tcW w:w="1202" w:type="dxa"/>
          </w:tcPr>
          <w:tcPr/>
          <w:p>
            <w:pPr>
              <w:pStyle w:val="Compact"/>
              <w:jc w:val="left"/>
            </w:pPr>
            <w:r>
              <w:t xml:space="preserve">Anexo A.15</w:t>
            </w:r>
          </w:p>
        </w:tc>
        <w:tc>
          <w:tcPr>
            <w:tcW w:w="838" w:type="dxa"/>
          </w:tcPr>
          <w:tcPr/>
          <w:p>
            <w:pPr>
              <w:pStyle w:val="Compact"/>
              <w:jc w:val="left"/>
            </w:pPr>
            <w:r>
              <w:t xml:space="preserve">—</w:t>
            </w:r>
          </w:p>
        </w:tc>
      </w:tr>
      <w:tr>
        <w:tc>
          <w:tcPr>
            <w:tcW w:w="947" w:type="dxa"/>
          </w:tcPr>
          <w:tcPr/>
          <w:p>
            <w:pPr>
              <w:pStyle w:val="Compact"/>
              <w:jc w:val="left"/>
            </w:pPr>
            <w:r>
              <w:t xml:space="preserve">1.19</w:t>
            </w:r>
          </w:p>
        </w:tc>
        <w:tc>
          <w:tcPr>
            <w:tcW w:w="1255" w:type="dxa"/>
          </w:tcPr>
          <w:tcPr/>
          <w:p>
            <w:pPr>
              <w:pStyle w:val="Compact"/>
              <w:jc w:val="left"/>
            </w:pPr>
            <w:r>
              <w:t xml:space="preserve">31 jul 2026</w:t>
            </w:r>
          </w:p>
        </w:tc>
        <w:tc>
          <w:tcPr>
            <w:tcW w:w="2050" w:type="dxa"/>
          </w:tcPr>
          <w:tcPr/>
          <w:p>
            <w:pPr>
              <w:pStyle w:val="Compact"/>
              <w:jc w:val="left"/>
            </w:pPr>
            <w:r>
              <w:t xml:space="preserve">Jose Armando Santiago Lorenzo</w:t>
            </w:r>
          </w:p>
        </w:tc>
        <w:tc>
          <w:tcPr>
            <w:tcW w:w="3068" w:type="dxa"/>
          </w:tcPr>
          <w:tcPr/>
          <w:p>
            <w:pPr>
              <w:pStyle w:val="Compact"/>
              <w:jc w:val="left"/>
            </w:pPr>
            <w:r>
              <w:t xml:space="preserve">Corrección de redacción en S6 (moneda) — verificado contra doc del cliente y matriz</w:t>
            </w:r>
          </w:p>
        </w:tc>
        <w:tc>
          <w:tcPr>
            <w:tcW w:w="1202" w:type="dxa"/>
          </w:tcPr>
          <w:tcPr/>
          <w:p>
            <w:pPr>
              <w:pStyle w:val="Compact"/>
              <w:jc w:val="left"/>
            </w:pPr>
            <w:r>
              <w:t xml:space="preserve">Anexo A.16</w:t>
            </w:r>
          </w:p>
        </w:tc>
        <w:tc>
          <w:tcPr>
            <w:tcW w:w="838" w:type="dxa"/>
          </w:tcPr>
          <w:tcPr/>
          <w:p>
            <w:pPr>
              <w:pStyle w:val="Compact"/>
              <w:jc w:val="left"/>
            </w:pPr>
            <w:r>
              <w:t xml:space="preserve">—</w:t>
            </w:r>
          </w:p>
        </w:tc>
      </w:tr>
      <w:tr>
        <w:tc>
          <w:tcPr>
            <w:tcW w:w="947" w:type="dxa"/>
          </w:tcPr>
          <w:tcPr/>
          <w:p>
            <w:pPr>
              <w:pStyle w:val="Compact"/>
              <w:jc w:val="left"/>
            </w:pPr>
            <w:r>
              <w:t xml:space="preserve">1.20</w:t>
            </w:r>
          </w:p>
        </w:tc>
        <w:tc>
          <w:tcPr>
            <w:tcW w:w="1255" w:type="dxa"/>
          </w:tcPr>
          <w:tcPr/>
          <w:p>
            <w:pPr>
              <w:pStyle w:val="Compact"/>
              <w:jc w:val="left"/>
            </w:pPr>
            <w:r>
              <w:t xml:space="preserve">31 jul 2026</w:t>
            </w:r>
          </w:p>
        </w:tc>
        <w:tc>
          <w:tcPr>
            <w:tcW w:w="2050" w:type="dxa"/>
          </w:tcPr>
          <w:tcPr/>
          <w:p>
            <w:pPr>
              <w:pStyle w:val="Compact"/>
              <w:jc w:val="left"/>
            </w:pPr>
            <w:r>
              <w:t xml:space="preserve">Jose Armando Santiago Lorenzo</w:t>
            </w:r>
          </w:p>
        </w:tc>
        <w:tc>
          <w:tcPr>
            <w:tcW w:w="3068" w:type="dxa"/>
          </w:tcPr>
          <w:tcPr/>
          <w:p>
            <w:pPr>
              <w:pStyle w:val="Compact"/>
              <w:jc w:val="left"/>
            </w:pPr>
            <w:r>
              <w:t xml:space="preserve">JD revierte la regla de idioma de la 2ª revisión (v1.6/A.4) — BO de entidad/vista vuelven a Español</w:t>
            </w:r>
          </w:p>
        </w:tc>
        <w:tc>
          <w:tcPr>
            <w:tcW w:w="1202" w:type="dxa"/>
          </w:tcPr>
          <w:tcPr/>
          <w:p>
            <w:pPr>
              <w:pStyle w:val="Compact"/>
              <w:jc w:val="left"/>
            </w:pPr>
            <w:r>
              <w:t xml:space="preserve">Anexo A.17</w:t>
            </w:r>
          </w:p>
        </w:tc>
        <w:tc>
          <w:tcPr>
            <w:tcW w:w="838" w:type="dxa"/>
          </w:tcPr>
          <w:tcPr/>
          <w:p>
            <w:pPr>
              <w:pStyle w:val="Compact"/>
              <w:jc w:val="left"/>
            </w:pPr>
            <w:r>
              <w:t xml:space="preserve">—</w:t>
            </w:r>
          </w:p>
        </w:tc>
      </w:tr>
    </w:tbl>
    <w:p>
      <w:r>
        <w:pict>
          <v:rect style="width:0;height:1.5pt" o:hralign="center" o:hrstd="t" o:hr="t"/>
        </w:pict>
      </w:r>
    </w:p>
    <w:p>
      <w:pPr>
        <w:pStyle w:val="Heading1"/>
      </w:pPr>
      <w:r>
        <w:rPr>
          <w:b/>
          <w:bCs/>
        </w:rPr>
        <w:t xml:space="preserve">Anexo A — Detalle de cambios por versión</w:t>
      </w:r>
    </w:p>
    <w:p>
      <w:pPr>
        <w:pStyle w:val="BlockText"/>
      </w:pPr>
      <w:r>
        <w:t xml:space="preserve">Contenido extraído de la columna</w:t>
      </w:r>
      <w:r>
        <w:t xml:space="preserve"> </w:t>
      </w:r>
      <w:r>
        <w:t xml:space="preserve">“Descripción del cambio”</w:t>
      </w:r>
      <w:r>
        <w:t xml:space="preserve">. Agrupado por revisión de Juan David:</w:t>
      </w:r>
      <w:r>
        <w:t xml:space="preserve"> </w:t>
      </w:r>
      <w:r>
        <w:rPr>
          <w:b/>
          <w:bCs/>
        </w:rPr>
        <w:t xml:space="preserve">A.2</w:t>
      </w:r>
      <w:r>
        <w:t xml:space="preserve"> </w:t>
      </w:r>
      <w:r>
        <w:t xml:space="preserve">= primera revisión (24-jun) y sus correcciones derivadas (v1.1–v1.5);</w:t>
      </w:r>
      <w:r>
        <w:t xml:space="preserve"> </w:t>
      </w:r>
      <w:r>
        <w:rPr>
          <w:b/>
          <w:bCs/>
        </w:rPr>
        <w:t xml:space="preserve">A.3</w:t>
      </w:r>
      <w:r>
        <w:t xml:space="preserve"> </w:t>
      </w:r>
      <w:r>
        <w:t xml:space="preserve">= segunda revisión (v1.6).</w:t>
      </w:r>
    </w:p>
    <w:p>
      <w:pPr>
        <w:pStyle w:val="Heading2"/>
      </w:pPr>
      <w:r>
        <w:rPr>
          <w:b/>
          <w:bCs/>
        </w:rPr>
        <w:t xml:space="preserve">A.1 — Creación (v1.0)</w:t>
      </w:r>
    </w:p>
    <w:p>
      <w:pPr>
        <w:pStyle w:val="FirstParagraph"/>
      </w:pPr>
      <w:r>
        <w:rPr>
          <w:b/>
          <w:bCs/>
        </w:rPr>
        <w:t xml:space="preserve">v1.0 (19 jun 2026) — Creación:</w:t>
      </w:r>
      <w:r>
        <w:t xml:space="preserve"> </w:t>
      </w:r>
      <w:r>
        <w:t xml:space="preserve">Se documenta el diseño de la solución backend de RE-FU-006.</w:t>
      </w:r>
    </w:p>
    <w:p>
      <w:pPr>
        <w:pStyle w:val="Heading2"/>
      </w:pPr>
      <w:r>
        <w:rPr>
          <w:b/>
          <w:bCs/>
        </w:rPr>
        <w:t xml:space="preserve">A.2 — Primera revisión de Juan David (v1.1 – v1.5)</w:t>
      </w:r>
    </w:p>
    <w:p>
      <w:pPr>
        <w:pStyle w:val="FirstParagraph"/>
      </w:pPr>
      <w:r>
        <w:t xml:space="preserve">Comentarios de la 1ª revisión de JD (24-jun-2026) y las correcciones/verificaciones internas derivadas.</w:t>
      </w:r>
    </w:p>
    <w:p>
      <w:pPr>
        <w:pStyle w:val="BodyText"/>
      </w:pPr>
      <w:r>
        <w:rPr>
          <w:b/>
          <w:bCs/>
        </w:rPr>
        <w:t xml:space="preserve">v1.1 (26 jun 2026) — Revisión:</w:t>
      </w:r>
      <w:r>
        <w:t xml:space="preserve"> </w:t>
      </w:r>
      <w:r>
        <w:t xml:space="preserve">Aplicación de comentarios de revisión (Juan David García Cruz, 24-jun-2026): (G0) referencia bancaria se calcula en Flujo 1 y persiste en</w:t>
      </w:r>
      <w:r>
        <w:t xml:space="preserve"> </w:t>
      </w:r>
      <w:r>
        <w:rPr>
          <w:rStyle w:val="VerbatimChar"/>
        </w:rPr>
        <w:t xml:space="preserve">ReferenciaVigente</w:t>
      </w:r>
      <w:r>
        <w:t xml:space="preserve">; factory solo lee; (G1) selectores usan</w:t>
      </w:r>
      <w:r>
        <w:t xml:space="preserve"> </w:t>
      </w:r>
      <w:r>
        <w:rPr>
          <w:rStyle w:val="VerbatimChar"/>
        </w:rPr>
        <w:t xml:space="preserve">EmpresaDatosBancarios</w:t>
      </w:r>
      <w:r>
        <w:t xml:space="preserve"> </w:t>
      </w:r>
      <w:r>
        <w:t xml:space="preserve">con nuevos endpoints agrupados por banco; (G2)</w:t>
      </w:r>
      <w:r>
        <w:t xml:space="preserve"> </w:t>
      </w:r>
      <w:r>
        <w:rPr>
          <w:rStyle w:val="VerbatimChar"/>
        </w:rPr>
        <w:t xml:space="preserve">PUT /Codigo</w:t>
      </w:r>
      <w:r>
        <w:t xml:space="preserve"> </w:t>
      </w:r>
      <w:r>
        <w:t xml:space="preserve">(id en body), vista</w:t>
      </w:r>
      <w:r>
        <w:t xml:space="preserve"> </w:t>
      </w:r>
      <w:r>
        <w:rPr>
          <w:rStyle w:val="VerbatimChar"/>
        </w:rPr>
        <w:t xml:space="preserve">vClienteDatosBancarios</w:t>
      </w:r>
      <w:r>
        <w:t xml:space="preserve"> </w:t>
      </w:r>
      <w:r>
        <w:t xml:space="preserve">con relaciones completas, campos</w:t>
      </w:r>
      <w:r>
        <w:t xml:space="preserve"> </w:t>
      </w:r>
      <w:r>
        <w:rPr>
          <w:rStyle w:val="VerbatimChar"/>
        </w:rPr>
        <w:t xml:space="preserve">ReferenciaVigente</w:t>
      </w:r>
      <w:r>
        <w:t xml:space="preserve"> </w:t>
      </w:r>
      <w:r>
        <w:t xml:space="preserve">y</w:t>
      </w:r>
      <w:r>
        <w:t xml:space="preserve"> </w:t>
      </w:r>
      <w:r>
        <w:rPr>
          <w:rStyle w:val="VerbatimChar"/>
        </w:rPr>
        <w:t xml:space="preserve">FechaReferenciaVigente</w:t>
      </w:r>
      <w:r>
        <w:t xml:space="preserve"> </w:t>
      </w:r>
      <w:r>
        <w:t xml:space="preserve">en DDL, FK renombrada a</w:t>
      </w:r>
      <w:r>
        <w:t xml:space="preserve"> </w:t>
      </w:r>
      <w:r>
        <w:rPr>
          <w:rStyle w:val="VerbatimChar"/>
        </w:rPr>
        <w:t xml:space="preserve">IdEmpresaDatosBancarios</w:t>
      </w:r>
      <w:r>
        <w:t xml:space="preserve">; (G3) tabla de endpoints completada; (G4) tabla de mapeo corregida a</w:t>
      </w:r>
      <w:r>
        <w:t xml:space="preserve"> </w:t>
      </w:r>
      <w:r>
        <w:rPr>
          <w:rStyle w:val="VerbatimChar"/>
        </w:rPr>
        <w:t xml:space="preserve">PConnectProquifaDotNet.dbo.Clientes</w:t>
      </w:r>
      <w:r>
        <w:t xml:space="preserve"> </w:t>
      </w:r>
      <w:r>
        <w:t xml:space="preserve">(</w:t>
      </w:r>
      <w:r>
        <w:rPr>
          <w:rStyle w:val="VerbatimChar"/>
        </w:rPr>
        <w:t xml:space="preserve">ClienteLegacy</w:t>
      </w:r>
      <w:r>
        <w:t xml:space="preserve">/</w:t>
      </w:r>
      <w:r>
        <w:rPr>
          <w:rStyle w:val="VerbatimChar"/>
        </w:rPr>
        <w:t xml:space="preserve">ClientePQF</w:t>
      </w:r>
      <w:r>
        <w:t xml:space="preserve">); migración separada en Flujo A (Legacy→PQF2, carga inicial) y Flujo B (PQF2→Legacy, SSIS ongoing unidireccional).</w:t>
      </w:r>
    </w:p>
    <w:p>
      <w:pPr>
        <w:pStyle w:val="BodyText"/>
      </w:pPr>
      <w:r>
        <w:rPr>
          <w:b/>
          <w:bCs/>
        </w:rPr>
        <w:t xml:space="preserve">v1.2 (29 jun 2026) — Corrección de congruencia:</w:t>
      </w:r>
      <w:r>
        <w:t xml:space="preserve"> </w:t>
      </w:r>
      <w:r>
        <w:t xml:space="preserve">Resolución de inconsistencias internas detectadas en revisión cruzada: (I1) fuente de S4 unificada a</w:t>
      </w:r>
      <w:r>
        <w:t xml:space="preserve"> </w:t>
      </w:r>
      <w:r>
        <w:rPr>
          <w:rStyle w:val="VerbatimChar"/>
        </w:rPr>
        <w:t xml:space="preserve">PConnectProquifaDotNet.dbo.Clientes.ClienteLegacy</w:t>
      </w:r>
      <w:r>
        <w:t xml:space="preserve"> </w:t>
      </w:r>
      <w:r>
        <w:t xml:space="preserve">en todos los sitios (se elimina referencia residual a</w:t>
      </w:r>
      <w:r>
        <w:t xml:space="preserve"> </w:t>
      </w:r>
      <w:r>
        <w:rPr>
          <w:rStyle w:val="VerbatimChar"/>
        </w:rPr>
        <w:t xml:space="preserve">Carga_ClientesR1</w:t>
      </w:r>
      <w:r>
        <w:t xml:space="preserve">); (I2) DDL usa índice</w:t>
      </w:r>
      <w:r>
        <w:t xml:space="preserve"> </w:t>
      </w:r>
      <w:r>
        <w:rPr>
          <w:rStyle w:val="VerbatimChar"/>
        </w:rPr>
        <w:t xml:space="preserve">UNIQUE</w:t>
      </w:r>
      <w:r>
        <w:t xml:space="preserve"> </w:t>
      </w:r>
      <w:r>
        <w:t xml:space="preserve">filtrado (</w:t>
      </w:r>
      <w:r>
        <w:rPr>
          <w:rStyle w:val="VerbatimChar"/>
        </w:rPr>
        <w:t xml:space="preserve">WHERE Activo = 1</w:t>
      </w:r>
      <w:r>
        <w:t xml:space="preserve">) para permitir reasignar cuenta tras baja lógica, alineado con RT-02; (I3/I4) todos los endpoints usan querystring/body — sin path params (</w:t>
      </w:r>
      <w:r>
        <w:rPr>
          <w:rStyle w:val="VerbatimChar"/>
        </w:rPr>
        <w:t xml:space="preserve">DELETE ?IdClienteDatosBancarios</w:t>
      </w:r>
      <w:r>
        <w:t xml:space="preserve">,</w:t>
      </w:r>
      <w:r>
        <w:t xml:space="preserve"> </w:t>
      </w:r>
      <w:r>
        <w:rPr>
          <w:rStyle w:val="VerbatimChar"/>
        </w:rPr>
        <w:t xml:space="preserve">PUT /Codigo</w:t>
      </w:r>
      <w:r>
        <w:t xml:space="preserve"> </w:t>
      </w:r>
      <w:r>
        <w:t xml:space="preserve">id en body); (I6) duplicado responde</w:t>
      </w:r>
      <w:r>
        <w:t xml:space="preserve"> </w:t>
      </w:r>
      <w:r>
        <w:rPr>
          <w:rStyle w:val="VerbatimChar"/>
        </w:rPr>
        <w:t xml:space="preserve">409 Conflict</w:t>
      </w:r>
      <w:r>
        <w:t xml:space="preserve">, 400 solo otras validaciones; (I7) referencias de reglas corregidas (RT-01/RT-02/CA-E1); (I8) nueva columna</w:t>
      </w:r>
      <w:r>
        <w:t xml:space="preserve"> </w:t>
      </w:r>
      <w:r>
        <w:rPr>
          <w:rStyle w:val="VerbatimChar"/>
        </w:rPr>
        <w:t xml:space="preserve">IdUsuarioModificacion</w:t>
      </w:r>
      <w:r>
        <w:t xml:space="preserve"> </w:t>
      </w:r>
      <w:r>
        <w:t xml:space="preserve">(usuario actual) en DDL, flujos y contrato; (I12) fuente de migración RE-006 acotada a</w:t>
      </w:r>
      <w:r>
        <w:t xml:space="preserve"> </w:t>
      </w:r>
      <w:r>
        <w:rPr>
          <w:rStyle w:val="VerbatimChar"/>
        </w:rPr>
        <w:t xml:space="preserve">CuentaCliente</w:t>
      </w:r>
      <w:r>
        <w:t xml:space="preserve"> </w:t>
      </w:r>
      <w:r>
        <w:t xml:space="preserve">(</w:t>
      </w:r>
      <w:r>
        <w:rPr>
          <w:rStyle w:val="VerbatimChar"/>
        </w:rPr>
        <w:t xml:space="preserve">CuentaBanco</w:t>
      </w:r>
      <w:r>
        <w:t xml:space="preserve"> </w:t>
      </w:r>
      <w:r>
        <w:t xml:space="preserve">pertenece a RE-001).</w:t>
      </w:r>
      <w:r>
        <w:t xml:space="preserve"> </w:t>
      </w:r>
      <w:r>
        <w:rPr>
          <w:b/>
          <w:bCs/>
        </w:rPr>
        <w:t xml:space="preserve">Verificación live BD (29-jun, MCP</w:t>
      </w:r>
      <w:r>
        <w:rPr>
          <w:b/>
          <w:bCs/>
        </w:rPr>
        <w:t xml:space="preserve"> </w:t>
      </w:r>
      <w:r>
        <w:rPr>
          <w:rStyle w:val="VerbatimChar"/>
          <w:b/>
          <w:bCs/>
        </w:rPr>
        <w:t xml:space="preserve">proquifa-db-dev</w:t>
      </w:r>
      <w:r>
        <w:rPr>
          <w:b/>
          <w:bCs/>
        </w:rPr>
        <w:t xml:space="preserve">):</w:t>
      </w:r>
      <w:r>
        <w:t xml:space="preserve"> </w:t>
      </w:r>
      <w:r>
        <w:t xml:space="preserve">(V1)</w:t>
      </w:r>
      <w:r>
        <w:t xml:space="preserve"> </w:t>
      </w:r>
      <w:r>
        <w:rPr>
          <w:rStyle w:val="VerbatimChar"/>
        </w:rPr>
        <w:t xml:space="preserve">Carga_ClientesR1</w:t>
      </w:r>
      <w:r>
        <w:t xml:space="preserve"> </w:t>
      </w:r>
      <w:r>
        <w:t xml:space="preserve">DESCARTADA como fuente S4 — cobertura ~19% (268/1,400) y duplicados; fuente canónica</w:t>
      </w:r>
      <w:r>
        <w:t xml:space="preserve"> </w:t>
      </w:r>
      <w:r>
        <w:rPr>
          <w:rStyle w:val="VerbatimChar"/>
        </w:rPr>
        <w:t xml:space="preserve">PConnectProquifaDotNet.dbo.Clientes</w:t>
      </w:r>
      <w:r>
        <w:t xml:space="preserve">; (V2) modelo bancario real de 3 niveles —</w:t>
      </w:r>
      <w:r>
        <w:t xml:space="preserve"> </w:t>
      </w:r>
      <w:r>
        <w:rPr>
          <w:rStyle w:val="VerbatimChar"/>
        </w:rPr>
        <w:t xml:space="preserve">EmpresaDatosBancarios</w:t>
      </w:r>
      <w:r>
        <w:t xml:space="preserve"> </w:t>
      </w:r>
      <w:r>
        <w:t xml:space="preserve">es junction, detalle de cuenta en</w:t>
      </w:r>
      <w:r>
        <w:t xml:space="preserve"> </w:t>
      </w:r>
      <w:r>
        <w:rPr>
          <w:rStyle w:val="VerbatimChar"/>
        </w:rPr>
        <w:t xml:space="preserve">DatosBancarios</w:t>
      </w:r>
      <w:r>
        <w:t xml:space="preserve">, banco en</w:t>
      </w:r>
      <w:r>
        <w:t xml:space="preserve"> </w:t>
      </w:r>
      <w:r>
        <w:rPr>
          <w:rStyle w:val="VerbatimChar"/>
        </w:rPr>
        <w:t xml:space="preserve">catBanco</w:t>
      </w:r>
      <w:r>
        <w:t xml:space="preserve"> </w:t>
      </w:r>
      <w:r>
        <w:t xml:space="preserve">(</w:t>
      </w:r>
      <w:r>
        <w:rPr>
          <w:rStyle w:val="VerbatimChar"/>
        </w:rPr>
        <w:t xml:space="preserve">IdCatBanco</w:t>
      </w:r>
      <w:r>
        <w:t xml:space="preserve">/</w:t>
      </w:r>
      <w:r>
        <w:rPr>
          <w:rStyle w:val="VerbatimChar"/>
        </w:rPr>
        <w:t xml:space="preserve">Banco</w:t>
      </w:r>
      <w:r>
        <w:t xml:space="preserve">/</w:t>
      </w:r>
      <w:r>
        <w:rPr>
          <w:rStyle w:val="VerbatimChar"/>
        </w:rPr>
        <w:t xml:space="preserve">Clave</w:t>
      </w:r>
      <w:r>
        <w:t xml:space="preserve">), moneda en</w:t>
      </w:r>
      <w:r>
        <w:t xml:space="preserve"> </w:t>
      </w:r>
      <w:r>
        <w:rPr>
          <w:rStyle w:val="VerbatimChar"/>
        </w:rPr>
        <w:t xml:space="preserve">catMoneda</w:t>
      </w:r>
      <w:r>
        <w:t xml:space="preserve">; (V3) S6 corregido a</w:t>
      </w:r>
      <w:r>
        <w:t xml:space="preserve"> </w:t>
      </w:r>
      <w:r>
        <w:rPr>
          <w:rStyle w:val="VerbatimChar"/>
        </w:rPr>
        <w:t xml:space="preserve">DatosBancarios.IdCatMoneda → catMoneda.ClaveMoneda='MXN'</w:t>
      </w:r>
      <w:r>
        <w:t xml:space="preserve"> </w:t>
      </w:r>
      <w:r>
        <w:t xml:space="preserve">(la columna</w:t>
      </w:r>
      <w:r>
        <w:t xml:space="preserve"> </w:t>
      </w:r>
      <w:r>
        <w:rPr>
          <w:rStyle w:val="VerbatimChar"/>
        </w:rPr>
        <w:t xml:space="preserve">EmpresaDatosBancarios.Moneda</w:t>
      </w:r>
      <w:r>
        <w:t xml:space="preserve"> </w:t>
      </w:r>
      <w:r>
        <w:t xml:space="preserve">no existe); (V4) naming corregido</w:t>
      </w:r>
      <w:r>
        <w:t xml:space="preserve"> </w:t>
      </w:r>
      <w:r>
        <w:rPr>
          <w:rStyle w:val="VerbatimChar"/>
        </w:rPr>
        <w:t xml:space="preserve">IdBanco→IdCatBanco</w:t>
      </w:r>
      <w:r>
        <w:t xml:space="preserve">,</w:t>
      </w:r>
      <w:r>
        <w:t xml:space="preserve"> </w:t>
      </w:r>
      <w:r>
        <w:rPr>
          <w:rStyle w:val="VerbatimChar"/>
        </w:rPr>
        <w:t xml:space="preserve">NombreBanco→Banco</w:t>
      </w:r>
      <w:r>
        <w:t xml:space="preserve">; (V5) Banamex</w:t>
      </w:r>
      <w:r>
        <w:t xml:space="preserve"> </w:t>
      </w:r>
      <w:r>
        <w:rPr>
          <w:rStyle w:val="VerbatimChar"/>
        </w:rPr>
        <w:t xml:space="preserve">catBanco.Clave='002'</w:t>
      </w:r>
      <w:r>
        <w:t xml:space="preserve"> </w:t>
      </w:r>
      <w:r>
        <w:t xml:space="preserve">confirmado live. Pendientes: CA-EC2 comportamiento ante cuenta inactivada; patrón vista→controller; esquema</w:t>
      </w:r>
      <w:r>
        <w:t xml:space="preserve"> </w:t>
      </w:r>
      <w:r>
        <w:rPr>
          <w:rStyle w:val="VerbatimChar"/>
        </w:rPr>
        <w:t xml:space="preserve">PConnectProquifaDotNet.dbo.Clientes</w:t>
      </w:r>
      <w:r>
        <w:t xml:space="preserve"> </w:t>
      </w:r>
      <w:r>
        <w:t xml:space="preserve">(cerrado en v1.3).</w:t>
      </w:r>
    </w:p>
    <w:p>
      <w:pPr>
        <w:pStyle w:val="BodyText"/>
      </w:pPr>
      <w:r>
        <w:rPr>
          <w:b/>
          <w:bCs/>
        </w:rPr>
        <w:t xml:space="preserve">v1.3 (29 jun 2026) — Corrección GAP-E:</w:t>
      </w:r>
      <w:r>
        <w:t xml:space="preserve"> </w:t>
      </w:r>
      <w:r>
        <w:t xml:space="preserve">Plan de resolución GAP-E completo con datos live de BD: (G-E1)</w:t>
      </w:r>
      <w:r>
        <w:t xml:space="preserve"> </w:t>
      </w:r>
      <w:r>
        <w:rPr>
          <w:rStyle w:val="VerbatimChar"/>
        </w:rPr>
        <w:t xml:space="preserve">PConnectProquifaDotNet.dbo.Clientes</w:t>
      </w:r>
      <w:r>
        <w:t xml:space="preserve"> </w:t>
      </w:r>
      <w:r>
        <w:t xml:space="preserve">verificada — columnas</w:t>
      </w:r>
      <w:r>
        <w:t xml:space="preserve"> </w:t>
      </w:r>
      <w:r>
        <w:rPr>
          <w:rStyle w:val="VerbatimChar"/>
        </w:rPr>
        <w:t xml:space="preserve">ClienteLegacy int</w:t>
      </w:r>
      <w:r>
        <w:t xml:space="preserve"> </w:t>
      </w:r>
      <w:r>
        <w:t xml:space="preserve">/</w:t>
      </w:r>
      <w:r>
        <w:t xml:space="preserve"> </w:t>
      </w:r>
      <w:r>
        <w:rPr>
          <w:rStyle w:val="VerbatimChar"/>
        </w:rPr>
        <w:t xml:space="preserve">ClientePQF uniqueidentifier</w:t>
      </w:r>
      <w:r>
        <w:t xml:space="preserve">, cobertura 99.9% (1,398/1,400); (G-E2) tabla contiene 4,173 filas por bug del job de sync — lookup usa</w:t>
      </w:r>
      <w:r>
        <w:t xml:space="preserve"> </w:t>
      </w:r>
      <w:r>
        <w:rPr>
          <w:rStyle w:val="VerbatimChar"/>
        </w:rPr>
        <w:t xml:space="preserve">TOP 1 ORDER BY FechaRegistro ASC</w:t>
      </w:r>
      <w:r>
        <w:t xml:space="preserve">; (G-E3) 2 clientes sin mapeo → S4=</w:t>
      </w:r>
      <w:r>
        <w:t xml:space="preserve">“0000”</w:t>
      </w:r>
      <w:r>
        <w:t xml:space="preserve"> </w:t>
      </w:r>
      <w:r>
        <w:t xml:space="preserve">aceptado; (G-E4) fix patrón-parámetro:</w:t>
      </w:r>
      <w:r>
        <w:t xml:space="preserve"> </w:t>
      </w:r>
      <w:r>
        <w:rPr>
          <w:rStyle w:val="VerbatimChar"/>
        </w:rPr>
        <w:t xml:space="preserve">ClienteDatosBancariosBO</w:t>
      </w:r>
      <w:r>
        <w:t xml:space="preserve"> </w:t>
      </w:r>
      <w:r>
        <w:t xml:space="preserve">resuelve</w:t>
      </w:r>
      <w:r>
        <w:t xml:space="preserve"> </w:t>
      </w:r>
      <w:r>
        <w:rPr>
          <w:rStyle w:val="VerbatimChar"/>
        </w:rPr>
        <w:t xml:space="preserve">ClienteLegacy</w:t>
      </w:r>
      <w:r>
        <w:t xml:space="preserve"> </w:t>
      </w:r>
      <w:r>
        <w:t xml:space="preserve">antes de invocar</w:t>
      </w:r>
      <w:r>
        <w:t xml:space="preserve"> </w:t>
      </w:r>
      <w:r>
        <w:rPr>
          <w:rStyle w:val="VerbatimChar"/>
        </w:rPr>
        <w:t xml:space="preserve">BankReferenceBO.Build()</w:t>
      </w:r>
      <w:r>
        <w:t xml:space="preserve"> </w:t>
      </w:r>
      <w:r>
        <w:t xml:space="preserve">— firma actualizada con parámetro</w:t>
      </w:r>
      <w:r>
        <w:t xml:space="preserve"> </w:t>
      </w:r>
      <w:r>
        <w:rPr>
          <w:rStyle w:val="VerbatimChar"/>
        </w:rPr>
        <w:t xml:space="preserve">int? clienteLegacy</w:t>
      </w:r>
      <w:r>
        <w:t xml:space="preserve">; (G-E5) casos de prueba unitarias documentados (5 casos para S4).</w:t>
      </w:r>
    </w:p>
    <w:p>
      <w:pPr>
        <w:pStyle w:val="BodyText"/>
      </w:pPr>
      <w:r>
        <w:rPr>
          <w:b/>
          <w:bCs/>
        </w:rPr>
        <w:t xml:space="preserve">v1.4 (30 jun 2026) — Corrección patrón técnico:</w:t>
      </w:r>
      <w:r>
        <w:t xml:space="preserve"> </w:t>
      </w:r>
      <w:r>
        <w:t xml:space="preserve">Adopción Opción A — SP para lookup ClienteLegacy: Paso 3 del fix GAP-E reemplaza EF-directo a</w:t>
      </w:r>
      <w:r>
        <w:t xml:space="preserve"> </w:t>
      </w:r>
      <w:r>
        <w:rPr>
          <w:rStyle w:val="VerbatimChar"/>
        </w:rPr>
        <w:t xml:space="preserve">PConnectProquifaDotNetEntities</w:t>
      </w:r>
      <w:r>
        <w:t xml:space="preserve"> </w:t>
      </w:r>
      <w:r>
        <w:t xml:space="preserve">por SP</w:t>
      </w:r>
      <w:r>
        <w:t xml:space="preserve"> </w:t>
      </w:r>
      <w:r>
        <w:rPr>
          <w:rStyle w:val="VerbatimChar"/>
        </w:rPr>
        <w:t xml:space="preserve">spObtenerClienteLegacyId</w:t>
      </w:r>
      <w:r>
        <w:t xml:space="preserve"> </w:t>
      </w:r>
      <w:r>
        <w:t xml:space="preserve">invocado desde</w:t>
      </w:r>
      <w:r>
        <w:t xml:space="preserve"> </w:t>
      </w:r>
      <w:r>
        <w:rPr>
          <w:rStyle w:val="VerbatimChar"/>
        </w:rPr>
        <w:t xml:space="preserve">ProquifaDotNetEntities</w:t>
      </w:r>
      <w:r>
        <w:t xml:space="preserve">. Alinea RE-006 con patrón del ecosistema (</w:t>
      </w:r>
      <w:r>
        <w:rPr>
          <w:rStyle w:val="VerbatimChar"/>
        </w:rPr>
        <w:t xml:space="preserve">spActualizarClienteLegacy</w:t>
      </w:r>
      <w:r>
        <w:t xml:space="preserve">,</w:t>
      </w:r>
      <w:r>
        <w:t xml:space="preserve"> </w:t>
      </w:r>
      <w:r>
        <w:rPr>
          <w:rStyle w:val="VerbatimChar"/>
        </w:rPr>
        <w:t xml:space="preserve">etlClienteContactoProcesarLegacy</w:t>
      </w:r>
      <w:r>
        <w:t xml:space="preserve">,</w:t>
      </w:r>
      <w:r>
        <w:t xml:space="preserve"> </w:t>
      </w:r>
      <w:r>
        <w:rPr>
          <w:rStyle w:val="VerbatimChar"/>
        </w:rPr>
        <w:t xml:space="preserve">etlClienteDireccionProcesarLegacy</w:t>
      </w:r>
      <w:r>
        <w:t xml:space="preserve">). Agrega ítem 6b en tabla de impacto técnico.</w:t>
      </w:r>
    </w:p>
    <w:p>
      <w:pPr>
        <w:pStyle w:val="BodyText"/>
      </w:pPr>
      <w:r>
        <w:rPr>
          <w:b/>
          <w:bCs/>
        </w:rPr>
        <w:t xml:space="preserve">v1.5 (1 jul 2026) — Cierre de pendientes internos:</w:t>
      </w:r>
      <w:r>
        <w:t xml:space="preserve"> </w:t>
      </w:r>
      <w:r>
        <w:t xml:space="preserve">Resolución de pendientes que no requieren cliente, con verificación live de BD y código (1-jul):</w:t>
      </w:r>
      <w:r>
        <w:t xml:space="preserve"> </w:t>
      </w:r>
      <w:r>
        <w:rPr>
          <w:b/>
          <w:bCs/>
        </w:rPr>
        <w:t xml:space="preserve">(P1 DUDA-118)</w:t>
      </w:r>
      <w:r>
        <w:t xml:space="preserve"> </w:t>
      </w:r>
      <w:r>
        <w:t xml:space="preserve">selección de cuenta en proforma resuelta por empresa emisora — el factory ya recibe</w:t>
      </w:r>
      <w:r>
        <w:t xml:space="preserve"> </w:t>
      </w:r>
      <w:r>
        <w:rPr>
          <w:rStyle w:val="VerbatimChar"/>
        </w:rPr>
        <w:t xml:space="preserve">Empresa empresa</w:t>
      </w:r>
      <w:r>
        <w:t xml:space="preserve"> </w:t>
      </w:r>
      <w:r>
        <w:t xml:space="preserve">(verificado</w:t>
      </w:r>
      <w:r>
        <w:t xml:space="preserve"> </w:t>
      </w:r>
      <w:r>
        <w:rPr>
          <w:rStyle w:val="VerbatimChar"/>
        </w:rPr>
        <w:t xml:space="preserve">tpProformaPedidoFactory.cs</w:t>
      </w:r>
      <w:r>
        <w:t xml:space="preserve">); nuevo RT-08 + desempate por</w:t>
      </w:r>
      <w:r>
        <w:t xml:space="preserve"> </w:t>
      </w:r>
      <w:r>
        <w:rPr>
          <w:rStyle w:val="VerbatimChar"/>
        </w:rPr>
        <w:t xml:space="preserve">FechaUltimaActualizacion DESC</w:t>
      </w:r>
      <w:r>
        <w:t xml:space="preserve">; CA-7 a Cubierto.</w:t>
      </w:r>
      <w:r>
        <w:t xml:space="preserve"> </w:t>
      </w:r>
      <w:r>
        <w:rPr>
          <w:b/>
          <w:bCs/>
        </w:rPr>
        <w:t xml:space="preserve">(P2 CA-EC2)</w:t>
      </w:r>
      <w:r>
        <w:t xml:space="preserve"> </w:t>
      </w:r>
      <w:r>
        <w:t xml:space="preserve">cuenta inactivada: no se alteran proformas existentes,</w:t>
      </w:r>
      <w:r>
        <w:t xml:space="preserve"> </w:t>
      </w:r>
      <w:r>
        <w:rPr>
          <w:rStyle w:val="VerbatimChar"/>
        </w:rPr>
        <w:t xml:space="preserve">ReferenciaPago = null</w:t>
      </w:r>
      <w:r>
        <w:t xml:space="preserve"> </w:t>
      </w:r>
      <w:r>
        <w:t xml:space="preserve">para nuevas; CA-EC2 a Cubierto.</w:t>
      </w:r>
      <w:r>
        <w:t xml:space="preserve"> </w:t>
      </w:r>
      <w:r>
        <w:rPr>
          <w:b/>
          <w:bCs/>
        </w:rPr>
        <w:t xml:space="preserve">(P3 IdUsuarioModificacion)</w:t>
      </w:r>
      <w:r>
        <w:t xml:space="preserve"> </w:t>
      </w:r>
      <w:r>
        <w:t xml:space="preserve">se reutiliza</w:t>
      </w:r>
      <w:r>
        <w:t xml:space="preserve"> </w:t>
      </w:r>
      <w:r>
        <w:rPr>
          <w:rStyle w:val="VerbatimChar"/>
        </w:rPr>
        <w:t xml:space="preserve">BaseApiController.ObtenerUsuarioAutenticado().IdUsuario</w:t>
      </w:r>
      <w:r>
        <w:t xml:space="preserve"> </w:t>
      </w:r>
      <w:r>
        <w:t xml:space="preserve">(patrón de</w:t>
      </w:r>
      <w:r>
        <w:t xml:space="preserve"> </w:t>
      </w:r>
      <w:r>
        <w:rPr>
          <w:rStyle w:val="VerbatimChar"/>
        </w:rPr>
        <w:t xml:space="preserve">ContratoClienteController</w:t>
      </w:r>
      <w:r>
        <w:t xml:space="preserve">); nuevo RT-09.</w:t>
      </w:r>
      <w:r>
        <w:t xml:space="preserve"> </w:t>
      </w:r>
      <w:r>
        <w:rPr>
          <w:b/>
          <w:bCs/>
        </w:rPr>
        <w:t xml:space="preserve">(P4 mapeo idCuenta SSIS)</w:t>
      </w:r>
      <w:r>
        <w:t xml:space="preserve"> </w:t>
      </w:r>
      <w:r>
        <w:t xml:space="preserve">llave CLABE verificada: las 4 cuentas en uso resuelven a un único</w:t>
      </w:r>
      <w:r>
        <w:t xml:space="preserve"> </w:t>
      </w:r>
      <w:r>
        <w:rPr>
          <w:rStyle w:val="VerbatimChar"/>
        </w:rPr>
        <w:t xml:space="preserve">IdEmpresaDatosBancarios</w:t>
      </w:r>
      <w:r>
        <w:t xml:space="preserve"> </w:t>
      </w:r>
      <w:r>
        <w:t xml:space="preserve">(0 ambiguo); caveats de collation y Clabe duplicada documentados.</w:t>
      </w:r>
      <w:r>
        <w:t xml:space="preserve"> </w:t>
      </w:r>
      <w:r>
        <w:rPr>
          <w:b/>
          <w:bCs/>
        </w:rPr>
        <w:t xml:space="preserve">(P5)</w:t>
      </w:r>
      <w:r>
        <w:t xml:space="preserve"> </w:t>
      </w:r>
      <w:r>
        <w:t xml:space="preserve">eliminada la evaluación de</w:t>
      </w:r>
      <w:r>
        <w:t xml:space="preserve"> </w:t>
      </w:r>
      <w:r>
        <w:t xml:space="preserve">“log de advertencia”</w:t>
      </w:r>
      <w:r>
        <w:t xml:space="preserve"> </w:t>
      </w:r>
      <w:r>
        <w:t xml:space="preserve">en proforma (no requerido). DUDA-015 permanece abierta con cliente (no bloqueante).</w:t>
      </w:r>
    </w:p>
    <w:p>
      <w:pPr>
        <w:pStyle w:val="Heading2"/>
      </w:pPr>
      <w:r>
        <w:rPr>
          <w:b/>
          <w:bCs/>
        </w:rPr>
        <w:t xml:space="preserve">A.3 — Segunda revisión de Juan David (v1.6)</w:t>
      </w:r>
    </w:p>
    <w:p>
      <w:pPr>
        <w:pStyle w:val="FirstParagraph"/>
      </w:pPr>
      <w:r>
        <w:rPr>
          <w:b/>
          <w:bCs/>
        </w:rPr>
        <w:t xml:space="preserve">v1.6 (4 jul 2026) — Refinamiento de alcance + comentarios v1.5:</w:t>
      </w:r>
      <w:r>
        <w:t xml:space="preserve"> </w:t>
      </w:r>
      <w:r>
        <w:t xml:space="preserve">Reencuadre RE-006↔RE-016 tras comentarios de Juan David en el DIS v1.5 (Google Doc) y análisis con Javi:</w:t>
      </w:r>
      <w:r>
        <w:t xml:space="preserve"> </w:t>
      </w:r>
      <w:r>
        <w:rPr>
          <w:b/>
          <w:bCs/>
        </w:rPr>
        <w:t xml:space="preserve">(1)</w:t>
      </w:r>
      <w:r>
        <w:t xml:space="preserve"> </w:t>
      </w:r>
      <w:r>
        <w:t xml:space="preserve">la modificación de</w:t>
      </w:r>
      <w:r>
        <w:t xml:space="preserve"> </w:t>
      </w:r>
      <w:r>
        <w:rPr>
          <w:rStyle w:val="VerbatimChar"/>
        </w:rPr>
        <w:t xml:space="preserve">tpProformaPedidoFactory</w:t>
      </w:r>
      <w:r>
        <w:t xml:space="preserve"> </w:t>
      </w:r>
      <w:r>
        <w:t xml:space="preserve">y el casado de</w:t>
      </w:r>
      <w:r>
        <w:t xml:space="preserve"> </w:t>
      </w:r>
      <w:r>
        <w:rPr>
          <w:rStyle w:val="VerbatimChar"/>
        </w:rPr>
        <w:t xml:space="preserve">ReferenciaPago</w:t>
      </w:r>
      <w:r>
        <w:t xml:space="preserve"> </w:t>
      </w:r>
      <w:r>
        <w:t xml:space="preserve">salen de RE-006 → RE-016 (solución</w:t>
      </w:r>
      <w:r>
        <w:t xml:space="preserve"> </w:t>
      </w:r>
      <w:r>
        <w:rPr>
          <w:rStyle w:val="VerbatimChar"/>
        </w:rPr>
        <w:t xml:space="preserve">Finanzas</w:t>
      </w:r>
      <w:r>
        <w:t xml:space="preserve">); RE-006 sólo expone el endpoint</w:t>
      </w:r>
      <w:r>
        <w:t xml:space="preserve"> </w:t>
      </w:r>
      <w:r>
        <w:rPr>
          <w:rStyle w:val="VerbatimChar"/>
        </w:rPr>
        <w:t xml:space="preserve">POST /vClienteDatosBancarios</w:t>
      </w:r>
      <w:r>
        <w:t xml:space="preserve"> </w:t>
      </w:r>
      <w:r>
        <w:t xml:space="preserve">con filtros flexibles (cliente oblig. + banco/moneda/empresa opc., resolución interna, siempre arreglo; RT-10/RT-11, CA-13); Flujo 2 recast a</w:t>
      </w:r>
      <w:r>
        <w:t xml:space="preserve"> </w:t>
      </w:r>
      <w:r>
        <w:t xml:space="preserve">“exposición vía endpoint”</w:t>
      </w:r>
      <w:r>
        <w:t xml:space="preserve">.</w:t>
      </w:r>
      <w:r>
        <w:t xml:space="preserve"> </w:t>
      </w:r>
      <w:r>
        <w:rPr>
          <w:b/>
          <w:bCs/>
        </w:rPr>
        <w:t xml:space="preserve">(2)</w:t>
      </w:r>
      <w:r>
        <w:t xml:space="preserve"> </w:t>
      </w:r>
      <w:r>
        <w:t xml:space="preserve">Flujo 3 incorporado (RF-15): regeneración en cascada de</w:t>
      </w:r>
      <w:r>
        <w:t xml:space="preserve"> </w:t>
      </w:r>
      <w:r>
        <w:rPr>
          <w:rStyle w:val="VerbatimChar"/>
        </w:rPr>
        <w:t xml:space="preserve">ReferenciaVigente</w:t>
      </w:r>
      <w:r>
        <w:t xml:space="preserve"> </w:t>
      </w:r>
      <w:r>
        <w:t xml:space="preserve">ante cambio de</w:t>
      </w:r>
      <w:r>
        <w:t xml:space="preserve"> </w:t>
      </w:r>
      <w:r>
        <w:rPr>
          <w:rStyle w:val="VerbatimChar"/>
        </w:rPr>
        <w:t xml:space="preserve">Cliente.Nombre</w:t>
      </w:r>
      <w:r>
        <w:t xml:space="preserve"> </w:t>
      </w:r>
      <w:r>
        <w:t xml:space="preserve">vía hook transaccional en</w:t>
      </w:r>
      <w:r>
        <w:t xml:space="preserve"> </w:t>
      </w:r>
      <w:r>
        <w:rPr>
          <w:rStyle w:val="VerbatimChar"/>
        </w:rPr>
        <w:t xml:space="preserve">ClienteBO</w:t>
      </w:r>
      <w:r>
        <w:t xml:space="preserve">; nuevos RT-12, CA-14, ítem 13 de impacto.</w:t>
      </w:r>
      <w:r>
        <w:t xml:space="preserve"> </w:t>
      </w:r>
      <w:r>
        <w:rPr>
          <w:b/>
          <w:bCs/>
        </w:rPr>
        <w:t xml:space="preserve">(3)</w:t>
      </w:r>
      <w:r>
        <w:t xml:space="preserve"> </w:t>
      </w:r>
      <w:r>
        <w:t xml:space="preserve">Migración inicial (Flujo A) pasa de SSIS a script SQL de una sola ejecución; Flujo B se mantiene SSIS (confirmado).</w:t>
      </w:r>
      <w:r>
        <w:t xml:space="preserve"> </w:t>
      </w:r>
      <w:r>
        <w:rPr>
          <w:b/>
          <w:bCs/>
        </w:rPr>
        <w:t xml:space="preserve">(4)</w:t>
      </w:r>
      <w:r>
        <w:t xml:space="preserve"> </w:t>
      </w:r>
      <w:r>
        <w:t xml:space="preserve">DDL:</w:t>
      </w:r>
      <w:r>
        <w:t xml:space="preserve"> </w:t>
      </w:r>
      <w:r>
        <w:rPr>
          <w:rStyle w:val="VerbatimChar"/>
        </w:rPr>
        <w:t xml:space="preserve">NEWID()</w:t>
      </w:r>
      <w:r>
        <w:t xml:space="preserve"> </w:t>
      </w:r>
      <w:r>
        <w:t xml:space="preserve">en vez de</w:t>
      </w:r>
      <w:r>
        <w:t xml:space="preserve"> </w:t>
      </w:r>
      <w:r>
        <w:rPr>
          <w:rStyle w:val="VerbatimChar"/>
        </w:rPr>
        <w:t xml:space="preserve">NEWSEQUENTIALID()</w:t>
      </w:r>
      <w:r>
        <w:t xml:space="preserve"> </w:t>
      </w:r>
      <w:r>
        <w:t xml:space="preserve">(problemas .NET Core).</w:t>
      </w:r>
      <w:r>
        <w:t xml:space="preserve"> </w:t>
      </w:r>
      <w:r>
        <w:rPr>
          <w:b/>
          <w:bCs/>
        </w:rPr>
        <w:t xml:space="preserve">(5)</w:t>
      </w:r>
      <w:r>
        <w:t xml:space="preserve"> </w:t>
      </w:r>
      <w:r>
        <w:t xml:space="preserve">validación de CodigoValidador en el servicio de Guardado, sin EP nuevo. Verificación live 4-jul: empresa</w:t>
      </w:r>
      <w:r>
        <w:t xml:space="preserve"> </w:t>
      </w:r>
      <w:r>
        <w:rPr>
          <w:rStyle w:val="VerbatimChar"/>
        </w:rPr>
        <w:t xml:space="preserve">65167A51…</w:t>
      </w:r>
      <w:r>
        <w:t xml:space="preserve"> </w:t>
      </w:r>
      <w:r>
        <w:t xml:space="preserve">+ STP + MXN = 2 cuentas (sustenta la no-unicidad de la tupla, RT-11).</w:t>
      </w:r>
    </w:p>
    <w:p>
      <w:pPr>
        <w:pStyle w:val="Heading2"/>
      </w:pPr>
      <w:r>
        <w:rPr>
          <w:b/>
          <w:bCs/>
        </w:rPr>
        <w:t xml:space="preserve">A.4 — Comentarios verbales de Juan David (v1.7)</w:t>
      </w:r>
    </w:p>
    <w:p>
      <w:pPr>
        <w:pStyle w:val="FirstParagraph"/>
      </w:pPr>
      <w:r>
        <w:rPr>
          <w:b/>
          <w:bCs/>
        </w:rPr>
        <w:t xml:space="preserve">v1.7 (6 jul 2026) — Convenciones de idioma y BD-vs-código:</w:t>
      </w:r>
      <w:r>
        <w:t xml:space="preserve"> </w:t>
      </w:r>
      <w:r>
        <w:t xml:space="preserve">Dos indicaciones nuevas de JD (verbales, mismo día), aplicadas en todo el documento:</w:t>
      </w:r>
      <w:r>
        <w:t xml:space="preserve"> </w:t>
      </w:r>
      <w:r>
        <w:rPr>
          <w:b/>
          <w:bCs/>
        </w:rPr>
        <w:t xml:space="preserve">(1) Idioma de código nuevo en Inglés</w:t>
      </w:r>
      <w:r>
        <w:t xml:space="preserve">, excepto la superficie visible en Swagger (Controllers/tags, rutas, DTOs de request/response y sus propiedades, resúmenes/descripciones XML) y todo objeto de BD (tablas, columnas, vistas, SPs), que permanecen en</w:t>
      </w:r>
      <w:r>
        <w:t xml:space="preserve"> </w:t>
      </w:r>
      <w:r>
        <w:rPr>
          <w:b/>
          <w:bCs/>
        </w:rPr>
        <w:t xml:space="preserve">Español</w:t>
      </w:r>
      <w:r>
        <w:t xml:space="preserve">. Renombrado:</w:t>
      </w:r>
      <w:r>
        <w:t xml:space="preserve"> </w:t>
      </w:r>
      <w:r>
        <w:rPr>
          <w:rStyle w:val="VerbatimChar"/>
        </w:rPr>
        <w:t xml:space="preserve">ClienteDatosBancariosBO</w:t>
      </w:r>
      <w:r>
        <w:t xml:space="preserve">→</w:t>
      </w:r>
      <w:r>
        <w:rPr>
          <w:rStyle w:val="VerbatimChar"/>
        </w:rPr>
        <w:t xml:space="preserve">ClientBankDataBO</w:t>
      </w:r>
      <w:r>
        <w:t xml:space="preserve"> </w:t>
      </w:r>
      <w:r>
        <w:rPr>
          <w:i/>
          <w:iCs/>
        </w:rPr>
        <w:t xml:space="preserve">(regla revertida 31-jul-2026 — ver A.17, vuelve a</w:t>
      </w:r>
      <w:r>
        <w:rPr>
          <w:i/>
          <w:iCs/>
        </w:rPr>
        <w:t xml:space="preserve"> </w:t>
      </w:r>
      <w:r>
        <w:rPr>
          <w:rStyle w:val="VerbatimChar"/>
          <w:i/>
          <w:iCs/>
        </w:rPr>
        <w:t xml:space="preserve">ClienteDatosBancariosBO</w:t>
      </w:r>
      <w:r>
        <w:rPr>
          <w:i/>
          <w:iCs/>
        </w:rPr>
        <w:t xml:space="preserve">)</w:t>
      </w:r>
      <w:r>
        <w:t xml:space="preserve">,</w:t>
      </w:r>
      <w:r>
        <w:t xml:space="preserve"> </w:t>
      </w:r>
      <w:r>
        <w:rPr>
          <w:rStyle w:val="VerbatimChar"/>
        </w:rPr>
        <w:t xml:space="preserve">ReferenciaBancariaBO</w:t>
      </w:r>
      <w:r>
        <w:t xml:space="preserve">→</w:t>
      </w:r>
      <w:r>
        <w:rPr>
          <w:rStyle w:val="VerbatimChar"/>
        </w:rPr>
        <w:t xml:space="preserve">BankReferenceBO</w:t>
      </w:r>
      <w:r>
        <w:t xml:space="preserve">,</w:t>
      </w:r>
      <w:r>
        <w:t xml:space="preserve"> </w:t>
      </w:r>
      <w:r>
        <w:rPr>
          <w:rStyle w:val="VerbatimChar"/>
        </w:rPr>
        <w:t xml:space="preserve">Construir</w:t>
      </w:r>
      <w:r>
        <w:t xml:space="preserve">→</w:t>
      </w:r>
      <w:r>
        <w:rPr>
          <w:rStyle w:val="VerbatimChar"/>
        </w:rPr>
        <w:t xml:space="preserve">Build</w:t>
      </w:r>
      <w:r>
        <w:t xml:space="preserve">,</w:t>
      </w:r>
      <w:r>
        <w:t xml:space="preserve"> </w:t>
      </w:r>
      <w:r>
        <w:rPr>
          <w:rStyle w:val="VerbatimChar"/>
        </w:rPr>
        <w:t xml:space="preserve">ConstruirBanamex</w:t>
      </w:r>
      <w:r>
        <w:t xml:space="preserve">→</w:t>
      </w:r>
      <w:r>
        <w:rPr>
          <w:rStyle w:val="VerbatimChar"/>
        </w:rPr>
        <w:t xml:space="preserve">BuildBanamex</w:t>
      </w:r>
      <w:r>
        <w:t xml:space="preserve">. Controllers (</w:t>
      </w:r>
      <w:r>
        <w:rPr>
          <w:rStyle w:val="VerbatimChar"/>
        </w:rPr>
        <w:t xml:space="preserve">ClienteDatosBancariosController</w:t>
      </w:r>
      <w:r>
        <w:t xml:space="preserve">,</w:t>
      </w:r>
      <w:r>
        <w:t xml:space="preserve"> </w:t>
      </w:r>
      <w:r>
        <w:rPr>
          <w:rStyle w:val="VerbatimChar"/>
        </w:rPr>
        <w:t xml:space="preserve">vClienteDatosBancariosController</w:t>
      </w:r>
      <w:r>
        <w:t xml:space="preserve">), rutas y DTOs no cambian (ya validados, superficie Swagger).</w:t>
      </w:r>
      <w:r>
        <w:t xml:space="preserve"> </w:t>
      </w:r>
      <w:r>
        <w:rPr>
          <w:b/>
          <w:bCs/>
        </w:rPr>
        <w:t xml:space="preserve">(2)</w:t>
      </w:r>
      <w:r>
        <w:t xml:space="preserve"> </w:t>
      </w:r>
      <w:r>
        <w:rPr>
          <w:rStyle w:val="VerbatimChar"/>
        </w:rPr>
        <w:t xml:space="preserve">vClienteDatosBancarios</w:t>
      </w:r>
      <w:r>
        <w:t xml:space="preserve">/</w:t>
      </w:r>
      <w:r>
        <w:rPr>
          <w:rStyle w:val="VerbatimChar"/>
        </w:rPr>
        <w:t xml:space="preserve">vEmpresaDatosBancarios</w:t>
      </w:r>
      <w:r>
        <w:t xml:space="preserve"> </w:t>
      </w:r>
      <w:r>
        <w:t xml:space="preserve">se implementan con LINQ (</w:t>
      </w:r>
      <w:r>
        <w:rPr>
          <w:rStyle w:val="VerbatimChar"/>
        </w:rPr>
        <w:t xml:space="preserve">vClienteDatosBancariosBO</w:t>
      </w:r>
      <w:r>
        <w:t xml:space="preserve">), no como vista SQL — directriz general</w:t>
      </w:r>
      <w:r>
        <w:t xml:space="preserve"> </w:t>
      </w:r>
      <w:r>
        <w:t xml:space="preserve">“usar lo menos posible BD, lo que se pueda hacer en código, hacerlo en código”</w:t>
      </w:r>
      <w:r>
        <w:t xml:space="preserve">. Excepción documentada:</w:t>
      </w:r>
      <w:r>
        <w:t xml:space="preserve"> </w:t>
      </w:r>
      <w:r>
        <w:rPr>
          <w:rStyle w:val="VerbatimChar"/>
        </w:rPr>
        <w:t xml:space="preserve">spObtenerClienteLegacyId</w:t>
      </w:r>
      <w:r>
        <w:t xml:space="preserve"> </w:t>
      </w:r>
      <w:r>
        <w:t xml:space="preserve">sigue como SP (límite arquitectónico cross-DB ya existente, no vista de conveniencia). Ambas convenciones quedan codificadas también en</w:t>
      </w:r>
      <w:r>
        <w:t xml:space="preserve"> </w:t>
      </w:r>
      <w:r>
        <w:rPr>
          <w:rStyle w:val="VerbatimChar"/>
        </w:rPr>
        <w:t xml:space="preserve">CLAUDE.md</w:t>
      </w:r>
      <w:r>
        <w:t xml:space="preserve">, el agente</w:t>
      </w:r>
      <w:r>
        <w:t xml:space="preserve"> </w:t>
      </w:r>
      <w:r>
        <w:rPr>
          <w:rStyle w:val="VerbatimChar"/>
        </w:rPr>
        <w:t xml:space="preserve">req-analyst</w:t>
      </w:r>
      <w:r>
        <w:t xml:space="preserve"> </w:t>
      </w:r>
      <w:r>
        <w:t xml:space="preserve">y la plantilla RAD, para aplicarse a todo requerimiento futuro, no solo RE-006.</w:t>
      </w:r>
    </w:p>
    <w:p>
      <w:pPr>
        <w:pStyle w:val="Heading2"/>
      </w:pPr>
      <w:r>
        <w:rPr>
          <w:b/>
          <w:bCs/>
        </w:rPr>
        <w:t xml:space="preserve">A.5 — Formato de código (v1.8)</w:t>
      </w:r>
    </w:p>
    <w:p>
      <w:pPr>
        <w:pStyle w:val="FirstParagraph"/>
      </w:pPr>
      <w:r>
        <w:rPr>
          <w:b/>
          <w:bCs/>
        </w:rPr>
        <w:t xml:space="preserve">v1.8 (6 jul 2026) — Formato de código real, no negrita:</w:t>
      </w:r>
      <w:r>
        <w:t xml:space="preserve"> </w:t>
      </w:r>
      <w:r>
        <w:t xml:space="preserve">Todo identificador (clases, métodos, campos, endpoints, valores literales) pasa de</w:t>
      </w:r>
      <w:r>
        <w:t xml:space="preserve"> </w:t>
      </w:r>
      <w:r>
        <w:rPr>
          <w:rStyle w:val="VerbatimChar"/>
        </w:rPr>
        <w:t xml:space="preserve">**negrita**</w:t>
      </w:r>
      <w:r>
        <w:t xml:space="preserve"> </w:t>
      </w:r>
      <w:r>
        <w:t xml:space="preserve">a</w:t>
      </w:r>
      <w:r>
        <w:t xml:space="preserve"> </w:t>
      </w:r>
      <w:r>
        <w:rPr>
          <w:rStyle w:val="VerbatimChar"/>
        </w:rPr>
        <w:t xml:space="preserve">`backticks`</w:t>
      </w:r>
      <w:r>
        <w:t xml:space="preserve">, siguiendo la convención ya vigente del pipeline pandoc (</w:t>
      </w:r>
      <w:r>
        <w:rPr>
          <w:rStyle w:val="VerbatimChar"/>
        </w:rPr>
        <w:t xml:space="preserve">pipeline-gdocs/</w:t>
      </w:r>
      <w:r>
        <w:t xml:space="preserve">), que renderiza backticks/fences correctamente — la negrita-para-código era un workaround del 26-jun ya obsoleto (ver v1.1). Dos tablas con JSON embebido se restructuraron porque un bloque cercado no cabe dentro de una celda (límite de las</w:t>
      </w:r>
      <w:r>
        <w:t xml:space="preserve"> </w:t>
      </w:r>
      <w:r>
        <w:rPr>
          <w:i/>
          <w:iCs/>
        </w:rPr>
        <w:t xml:space="preserve">pipe tables</w:t>
      </w:r>
      <w:r>
        <w:t xml:space="preserve">, no de estilo):</w:t>
      </w:r>
      <w:r>
        <w:t xml:space="preserve"> </w:t>
      </w:r>
      <w:r>
        <w:t xml:space="preserve">“Diseño de Interfaces → 1. Interfaces de entrada”</w:t>
      </w:r>
      <w:r>
        <w:t xml:space="preserve"> </w:t>
      </w:r>
      <w:r>
        <w:t xml:space="preserve">y</w:t>
      </w:r>
      <w:r>
        <w:t xml:space="preserve"> </w:t>
      </w:r>
      <w:r>
        <w:t xml:space="preserve">“Diseño de Interfaces → 4. Tabla de EndPoints”</w:t>
      </w:r>
      <w:r>
        <w:t xml:space="preserve"> </w:t>
      </w:r>
      <w:r>
        <w:t xml:space="preserve">ahora referencian bloques ```json colocados justo debajo de cada tabla, en vez de traer el body inline en la celda. El paso 1 del Flujo 1 también movió su body a bloques aparte. Sin cambios de contenido técnico — solo formato.</w:t>
      </w:r>
    </w:p>
    <w:p>
      <w:pPr>
        <w:pStyle w:val="Heading2"/>
      </w:pPr>
      <w:r>
        <w:rPr>
          <w:b/>
          <w:bCs/>
        </w:rPr>
        <w:t xml:space="preserve">A.6 — Comentario de Juan David sobre Flujo B / Legacy (v1.9)</w:t>
      </w:r>
    </w:p>
    <w:p>
      <w:pPr>
        <w:pStyle w:val="FirstParagraph"/>
      </w:pPr>
      <w:r>
        <w:rPr>
          <w:b/>
          <w:bCs/>
        </w:rPr>
        <w:t xml:space="preserve">v1.9 (9 jul 2026) — Legacy no modificable + SSIS propiedad del cliente:</w:t>
      </w:r>
      <w:r>
        <w:t xml:space="preserve"> </w:t>
      </w:r>
      <w:r>
        <w:t xml:space="preserve">Comentario de JD sobre el Flujo B (sincronización ongoing PQF2 → Legacy):</w:t>
      </w:r>
      <w:r>
        <w:t xml:space="preserve"> </w:t>
      </w:r>
      <w:r>
        <w:rPr>
          <w:b/>
          <w:bCs/>
        </w:rPr>
        <w:t xml:space="preserve">(1)</w:t>
      </w:r>
      <w:r>
        <w:t xml:space="preserve"> </w:t>
      </w:r>
      <w:r>
        <w:t xml:space="preserve">No se puede modificar Legacy — se elimina toda mención de</w:t>
      </w:r>
      <w:r>
        <w:t xml:space="preserve"> </w:t>
      </w:r>
      <w:r>
        <w:rPr>
          <w:rStyle w:val="VerbatimChar"/>
        </w:rPr>
        <w:t xml:space="preserve">ALTER TABLE</w:t>
      </w:r>
      <w:r>
        <w:t xml:space="preserve"> </w:t>
      </w:r>
      <w:r>
        <w:t xml:space="preserve">en tablas Legacy. La sincronización mapea a</w:t>
      </w:r>
      <w:r>
        <w:t xml:space="preserve"> </w:t>
      </w:r>
      <w:r>
        <w:rPr>
          <w:b/>
          <w:bCs/>
        </w:rPr>
        <w:t xml:space="preserve">columnas Legacy ya existentes</w:t>
      </w:r>
      <w:r>
        <w:t xml:space="preserve">:</w:t>
      </w:r>
      <w:r>
        <w:t xml:space="preserve"> </w:t>
      </w:r>
      <w:r>
        <w:rPr>
          <w:rStyle w:val="VerbatimChar"/>
        </w:rPr>
        <w:t xml:space="preserve">CuentaCliente.CodValidador</w:t>
      </w:r>
      <w:r>
        <w:t xml:space="preserve"> </w:t>
      </w:r>
      <w:r>
        <w:t xml:space="preserve">ya existe (GAP-C) y la asignación cliente-cuenta es la propia fila de</w:t>
      </w:r>
      <w:r>
        <w:t xml:space="preserve"> </w:t>
      </w:r>
      <w:r>
        <w:rPr>
          <w:rStyle w:val="VerbatimChar"/>
        </w:rPr>
        <w:t xml:space="preserve">CuentaCliente</w:t>
      </w:r>
      <w:r>
        <w:t xml:space="preserve">, de modo que no se requiere ningún cambio de esquema.</w:t>
      </w:r>
      <w:r>
        <w:t xml:space="preserve"> </w:t>
      </w:r>
      <w:r>
        <w:rPr>
          <w:b/>
          <w:bCs/>
        </w:rPr>
        <w:t xml:space="preserve">(2)</w:t>
      </w:r>
      <w:r>
        <w:t xml:space="preserve"> </w:t>
      </w:r>
      <w:r>
        <w:t xml:space="preserve">Se explicita que el</w:t>
      </w:r>
      <w:r>
        <w:t xml:space="preserve"> </w:t>
      </w:r>
      <w:r>
        <w:rPr>
          <w:b/>
          <w:bCs/>
        </w:rPr>
        <w:t xml:space="preserve">paquete SSIS del Flujo B es propiedad del cliente</w:t>
      </w:r>
      <w:r>
        <w:t xml:space="preserve">; su extensión (mapeo de los campos de RE-006) se coordina y ejecuta del lado del cliente. Actualizado en Alcance (incluye/no incluye), Componentes involucrados, Diseño funcional (Flujo B), tabla de Impacto Técnico (ítems 10-12) y nuevo bullet de exclusión</w:t>
      </w:r>
      <w:r>
        <w:t xml:space="preserve"> </w:t>
      </w:r>
      <w:r>
        <w:t xml:space="preserve">“Modificación del esquema de Legacy”</w:t>
      </w:r>
      <w:r>
        <w:t xml:space="preserve">. Sin cambios en la lógica de la aplicación PQF2. Sincronizado con el DIS interno INT-1.4.</w:t>
      </w:r>
    </w:p>
    <w:p>
      <w:pPr>
        <w:pStyle w:val="Heading2"/>
      </w:pPr>
      <w:r>
        <w:rPr>
          <w:b/>
          <w:bCs/>
        </w:rPr>
        <w:t xml:space="preserve">A.7 — Aplicativo de Bitácora (v1.10)</w:t>
      </w:r>
    </w:p>
    <w:p>
      <w:pPr>
        <w:pStyle w:val="FirstParagraph"/>
      </w:pPr>
      <w:r>
        <w:rPr>
          <w:b/>
          <w:bCs/>
        </w:rPr>
        <w:t xml:space="preserve">v1.10 (9 jul 2026) — Integración con el aplicativo de Bitácora (auditoría por eventos):</w:t>
      </w:r>
      <w:r>
        <w:t xml:space="preserve"> </w:t>
      </w:r>
      <w:r>
        <w:t xml:space="preserve">Se agrega la publicación de un evento hacia el nuevo aplicativo de Bitácora tras cada escritura de RE-006 (alta/baja/modificación de asignación o de</w:t>
      </w:r>
      <w:r>
        <w:t xml:space="preserve"> </w:t>
      </w:r>
      <w:r>
        <w:rPr>
          <w:rStyle w:val="VerbatimChar"/>
        </w:rPr>
        <w:t xml:space="preserve">CodigoValidador</w:t>
      </w:r>
      <w:r>
        <w:t xml:space="preserve">). Añadido como nota en el Flujo 1, fila en Componentes involucrados y fila en Diseño de Interfaces → Interfaces de salida.</w:t>
      </w:r>
      <w:r>
        <w:t xml:space="preserve"> </w:t>
      </w:r>
      <w:r>
        <w:rPr>
          <w:highlight w:val="yellow"/>
        </w:rPr>
        <w:t xml:space="preserve">La firma del endpoint/contrato del evento queda pendiente de definir</w:t>
      </w:r>
      <w:r>
        <w:t xml:space="preserve">: la propuesta del aplicativo de Bitácora está</w:t>
      </w:r>
      <w:r>
        <w:t xml:space="preserve"> </w:t>
      </w:r>
      <w:r>
        <w:rPr>
          <w:b/>
          <w:bCs/>
        </w:rPr>
        <w:t xml:space="preserve">aprobada</w:t>
      </w:r>
      <w:r>
        <w:t xml:space="preserve"> </w:t>
      </w:r>
      <w:r>
        <w:t xml:space="preserve">pero pendiente de detallar infraestructura y endpoints; sólo se sabe que la integración será</w:t>
      </w:r>
      <w:r>
        <w:t xml:space="preserve"> </w:t>
      </w:r>
      <w:r>
        <w:rPr>
          <w:b/>
          <w:bCs/>
        </w:rPr>
        <w:t xml:space="preserve">por eventos</w:t>
      </w:r>
      <w:r>
        <w:t xml:space="preserve">. Sincronizado con el DIS interno INT-1.5.</w:t>
      </w:r>
    </w:p>
    <w:p>
      <w:pPr>
        <w:pStyle w:val="Heading2"/>
      </w:pPr>
      <w:r>
        <w:rPr>
          <w:b/>
          <w:bCs/>
        </w:rPr>
        <w:t xml:space="preserve">A.8 — Ajuste de referencia bancaria no-Banamex y criterio de identificación de banco (v1.11)</w:t>
      </w:r>
    </w:p>
    <w:p>
      <w:pPr>
        <w:pStyle w:val="FirstParagraph"/>
      </w:pPr>
      <w:r>
        <w:rPr>
          <w:b/>
          <w:bCs/>
        </w:rPr>
        <w:t xml:space="preserve">v1.11 (22 jul 2026) — Fuente de dato no-Banamex y nueva columna de identificación:</w:t>
      </w:r>
      <w:r>
        <w:t xml:space="preserve"> </w:t>
      </w:r>
      <w:r>
        <w:t xml:space="preserve">Dos ajustes al diseño de</w:t>
      </w:r>
      <w:r>
        <w:t xml:space="preserve"> </w:t>
      </w:r>
      <w:r>
        <w:rPr>
          <w:rStyle w:val="VerbatimChar"/>
        </w:rPr>
        <w:t xml:space="preserve">BankReferenceBO</w:t>
      </w:r>
      <w:r>
        <w:t xml:space="preserve"> </w:t>
      </w:r>
      <w:r>
        <w:t xml:space="preserve">y al selector de bancos:</w:t>
      </w:r>
      <w:r>
        <w:t xml:space="preserve"> </w:t>
      </w:r>
      <w:r>
        <w:rPr>
          <w:b/>
          <w:bCs/>
        </w:rPr>
        <w:t xml:space="preserve">(1)</w:t>
      </w:r>
      <w:r>
        <w:t xml:space="preserve"> </w:t>
      </w:r>
      <w:r>
        <w:t xml:space="preserve">el fallback no-Banamex deja de tomar</w:t>
      </w:r>
      <w:r>
        <w:t xml:space="preserve"> </w:t>
      </w:r>
      <w:r>
        <w:rPr>
          <w:rStyle w:val="VerbatimChar"/>
        </w:rPr>
        <w:t xml:space="preserve">Cliente.Nombre</w:t>
      </w:r>
      <w:r>
        <w:t xml:space="preserve"> </w:t>
      </w:r>
      <w:r>
        <w:t xml:space="preserve">y pasa a tomar</w:t>
      </w:r>
      <w:r>
        <w:t xml:space="preserve"> </w:t>
      </w:r>
      <w:r>
        <w:rPr>
          <w:rStyle w:val="VerbatimChar"/>
        </w:rPr>
        <w:t xml:space="preserve">DatosFacturacionCliente.RazonSocial</w:t>
      </w:r>
      <w:r>
        <w:t xml:space="preserve"> </w:t>
      </w:r>
      <w:r>
        <w:t xml:space="preserve">— aplica tanto a clientes de México como de Perú (Perú no cuenta con un banco equivalente a Banamex, por lo que siempre sigue este camino). El algoritmo Banamex (segmentos S1-S3, 7 segmentos) no se modifica y sigue leyendo</w:t>
      </w:r>
      <w:r>
        <w:t xml:space="preserve"> </w:t>
      </w:r>
      <w:r>
        <w:rPr>
          <w:rStyle w:val="VerbatimChar"/>
        </w:rPr>
        <w:t xml:space="preserve">Cliente.Nombre</w:t>
      </w:r>
      <w:r>
        <w:t xml:space="preserve"> </w:t>
      </w:r>
      <w:r>
        <w:t xml:space="preserve">en su totalidad.</w:t>
      </w:r>
      <w:r>
        <w:t xml:space="preserve"> </w:t>
      </w:r>
      <w:r>
        <w:rPr>
          <w:b/>
          <w:bCs/>
        </w:rPr>
        <w:t xml:space="preserve">(2)</w:t>
      </w:r>
      <w:r>
        <w:t xml:space="preserve"> </w:t>
      </w:r>
      <w:r>
        <w:t xml:space="preserve">El criterio para identificar Banamex deja de evaluar directamente</w:t>
      </w:r>
      <w:r>
        <w:t xml:space="preserve"> </w:t>
      </w:r>
      <w:r>
        <w:rPr>
          <w:rStyle w:val="VerbatimChar"/>
        </w:rPr>
        <w:t xml:space="preserve">catBanco.Clave = '002'</w:t>
      </w:r>
      <w:r>
        <w:t xml:space="preserve"> </w:t>
      </w:r>
      <w:r>
        <w:t xml:space="preserve">y pasa a usar la nueva columna</w:t>
      </w:r>
      <w:r>
        <w:t xml:space="preserve"> </w:t>
      </w:r>
      <w:r>
        <w:rPr>
          <w:rStyle w:val="VerbatimChar"/>
        </w:rPr>
        <w:t xml:space="preserve">catBanco.RequiereCodigoValidador</w:t>
      </w:r>
      <w:r>
        <w:t xml:space="preserve"> </w:t>
      </w:r>
      <w:r>
        <w:t xml:space="preserve">(bit); el selector de bancos (</w:t>
      </w:r>
      <w:r>
        <w:rPr>
          <w:rStyle w:val="VerbatimChar"/>
        </w:rPr>
        <w:t xml:space="preserve">POST /vEmpresaDatosBancarios/Bancos</w:t>
      </w:r>
      <w:r>
        <w:t xml:space="preserve">) se amplía para exponer este campo en su respuesta. Actualizado en Alcance (incluye/no incluye), Componentes involucrados, GAP-D, Flujo 3, contrato del endpoint selector de bancos, manejo de errores/fallback y casos de prueba.</w:t>
      </w:r>
    </w:p>
    <w:p>
      <w:pPr>
        <w:pStyle w:val="Heading2"/>
      </w:pPr>
      <w:r>
        <w:rPr>
          <w:b/>
          <w:bCs/>
        </w:rPr>
        <w:t xml:space="preserve">A.9 — Manejo de errores uniforme, reuso de catálogos existentes y contrato de consulta anidado (v1.12)</w:t>
      </w:r>
    </w:p>
    <w:p>
      <w:pPr>
        <w:pStyle w:val="FirstParagraph"/>
      </w:pPr>
      <w:r>
        <w:rPr>
          <w:b/>
          <w:bCs/>
        </w:rPr>
        <w:t xml:space="preserve">v1.12 (29 jul 2026) — Alineación con el patrón de manejo de errores del ecosistema y corrección de dos puntos de contrato:</w:t>
      </w:r>
      <w:r>
        <w:t xml:space="preserve"> </w:t>
      </w:r>
      <w:r>
        <w:t xml:space="preserve">Cuatro ajustes, derivados de retomar el diseño de detalle para construcción (Parte 2):</w:t>
      </w:r>
      <w:r>
        <w:t xml:space="preserve"> </w:t>
      </w:r>
      <w:r>
        <w:rPr>
          <w:b/>
          <w:bCs/>
        </w:rPr>
        <w:t xml:space="preserve">(1) Verbo del endpoint de alta:</w:t>
      </w:r>
      <w:r>
        <w:t xml:space="preserve"> </w:t>
      </w:r>
      <w:r>
        <w:t xml:space="preserve">pasa de</w:t>
      </w:r>
      <w:r>
        <w:t xml:space="preserve"> </w:t>
      </w:r>
      <w:r>
        <w:rPr>
          <w:rStyle w:val="VerbatimChar"/>
        </w:rPr>
        <w:t xml:space="preserve">POST</w:t>
      </w:r>
      <w:r>
        <w:t xml:space="preserve"> </w:t>
      </w:r>
      <w:r>
        <w:t xml:space="preserve">a</w:t>
      </w:r>
      <w:r>
        <w:t xml:space="preserve"> </w:t>
      </w:r>
      <w:r>
        <w:rPr>
          <w:rStyle w:val="VerbatimChar"/>
        </w:rPr>
        <w:t xml:space="preserve">PUT /ClienteDatosBancarios</w:t>
      </w:r>
      <w:r>
        <w:t xml:space="preserve"> </w:t>
      </w:r>
      <w:r>
        <w:t xml:space="preserve">—</w:t>
      </w:r>
      <w:r>
        <w:t xml:space="preserve"> </w:t>
      </w:r>
      <w:r>
        <w:rPr>
          <w:rStyle w:val="VerbatimChar"/>
        </w:rPr>
        <w:t xml:space="preserve">POST</w:t>
      </w:r>
      <w:r>
        <w:t xml:space="preserve"> </w:t>
      </w:r>
      <w:r>
        <w:t xml:space="preserve">queda reservado a los endpoints de consulta en toda la convención del repositorio;</w:t>
      </w:r>
      <w:r>
        <w:t xml:space="preserve"> </w:t>
      </w:r>
      <w:r>
        <w:rPr>
          <w:rStyle w:val="VerbatimChar"/>
        </w:rPr>
        <w:t xml:space="preserve">PUT /ClienteDatosBancarios/Codigo</w:t>
      </w:r>
      <w:r>
        <w:t xml:space="preserve"> </w:t>
      </w:r>
      <w:r>
        <w:t xml:space="preserve">(edición de Código Validador) no cambia.</w:t>
      </w:r>
      <w:r>
        <w:t xml:space="preserve"> </w:t>
      </w:r>
      <w:r>
        <w:rPr>
          <w:b/>
          <w:bCs/>
        </w:rPr>
        <w:t xml:space="preserve">(2) Manejo de errores uniforme a</w:t>
      </w:r>
      <w:r>
        <w:rPr>
          <w:b/>
          <w:bCs/>
        </w:rPr>
        <w:t xml:space="preserve"> </w:t>
      </w:r>
      <w:r>
        <w:rPr>
          <w:rStyle w:val="VerbatimChar"/>
          <w:b/>
          <w:bCs/>
        </w:rPr>
        <w:t xml:space="preserve">400</w:t>
      </w:r>
      <w:r>
        <w:rPr>
          <w:b/>
          <w:bCs/>
        </w:rPr>
        <w:t xml:space="preserve">:</w:t>
      </w:r>
      <w:r>
        <w:t xml:space="preserve"> </w:t>
      </w:r>
      <w:r>
        <w:t xml:space="preserve">se retira la distinción</w:t>
      </w:r>
      <w:r>
        <w:t xml:space="preserve"> </w:t>
      </w:r>
      <w:r>
        <w:rPr>
          <w:rStyle w:val="VerbatimChar"/>
        </w:rPr>
        <w:t xml:space="preserve">409 Conflict</w:t>
      </w:r>
      <w:r>
        <w:t xml:space="preserve"> </w:t>
      </w:r>
      <w:r>
        <w:t xml:space="preserve">para el caso de asignación duplicada — todas las validaciones de negocio del endpoint de alta (cuenta inactiva, duplicado, Código Validador vacío) responden</w:t>
      </w:r>
      <w:r>
        <w:t xml:space="preserve"> </w:t>
      </w:r>
      <w:r>
        <w:rPr>
          <w:rStyle w:val="VerbatimChar"/>
        </w:rPr>
        <w:t xml:space="preserve">400 Bad Request</w:t>
      </w:r>
      <w:r>
        <w:t xml:space="preserve">, alineado con el patrón de manejo de errores ya usado en el resto del ecosistema. Actualizado en Flujo 1, Criterios de Aceptación (CA-EC1), diagramas, Manejo de Errores y Estrategia de Pruebas.</w:t>
      </w:r>
      <w:r>
        <w:t xml:space="preserve"> </w:t>
      </w:r>
      <w:r>
        <w:rPr>
          <w:b/>
          <w:bCs/>
        </w:rPr>
        <w:t xml:space="preserve">(3) Selectores de Banco y Cuenta — infraestructura ya existente, no desarrollo nuevo:</w:t>
      </w:r>
      <w:r>
        <w:t xml:space="preserve"> </w:t>
      </w:r>
      <w:r>
        <w:t xml:space="preserve">el selector de Banco se resuelve con el catálogo genérico</w:t>
      </w:r>
      <w:r>
        <w:t xml:space="preserve"> </w:t>
      </w:r>
      <w:r>
        <w:rPr>
          <w:rStyle w:val="VerbatimChar"/>
        </w:rPr>
        <w:t xml:space="preserve">POST /catBanco</w:t>
      </w:r>
      <w:r>
        <w:t xml:space="preserve"> </w:t>
      </w:r>
      <w:r>
        <w:t xml:space="preserve">(ya existente, expone</w:t>
      </w:r>
      <w:r>
        <w:t xml:space="preserve"> </w:t>
      </w:r>
      <w:r>
        <w:rPr>
          <w:rStyle w:val="VerbatimChar"/>
        </w:rPr>
        <w:t xml:space="preserve">RequiereCodigoValidador</w:t>
      </w:r>
      <w:r>
        <w:t xml:space="preserve"> </w:t>
      </w:r>
      <w:r>
        <w:t xml:space="preserve">directamente, sin necesidad de ampliar ningún selector propio de RE-006); el selector de Cuenta (</w:t>
      </w:r>
      <w:r>
        <w:rPr>
          <w:rStyle w:val="VerbatimChar"/>
        </w:rPr>
        <w:t xml:space="preserve">vEmpresaDatosBancarios</w:t>
      </w:r>
      <w:r>
        <w:t xml:space="preserve">) se confirma como catálogo ya construido fuera de RE-006, que se reutiliza tal cual. Actualizado en Alcance, Componentes involucrados, Criterios de Aceptación (CA-2/CA-3), Diseño de Interfaces e Impacto Técnico.</w:t>
      </w:r>
      <w:r>
        <w:t xml:space="preserve"> </w:t>
      </w:r>
      <w:r>
        <w:rPr>
          <w:b/>
          <w:bCs/>
        </w:rPr>
        <w:t xml:space="preserve">(4) Contrato de consulta anidado:</w:t>
      </w:r>
      <w:r>
        <w:t xml:space="preserve"> </w:t>
      </w:r>
      <w:r>
        <w:t xml:space="preserve">la respuesta de</w:t>
      </w:r>
      <w:r>
        <w:t xml:space="preserve"> </w:t>
      </w:r>
      <w:r>
        <w:rPr>
          <w:rStyle w:val="VerbatimChar"/>
        </w:rPr>
        <w:t xml:space="preserve">POST /vClienteDatosBancarios</w:t>
      </w:r>
      <w:r>
        <w:t xml:space="preserve"> </w:t>
      </w:r>
      <w:r>
        <w:t xml:space="preserve">se documenta como un objeto anidado (entidades completas de Cliente, Banco y Moneda embebidas en wrappers propios de RE-006), no como una lista plana de campos; se agrega el body de respuesta y se ajusta la descripción del componente</w:t>
      </w:r>
      <w:r>
        <w:t xml:space="preserve"> </w:t>
      </w:r>
      <w:r>
        <w:rPr>
          <w:rStyle w:val="VerbatimChar"/>
        </w:rPr>
        <w:t xml:space="preserve">vClienteDatosBancariosController</w:t>
      </w:r>
      <w:r>
        <w:t xml:space="preserve"> </w:t>
      </w:r>
      <w:r>
        <w:t xml:space="preserve">y de Impacto en modelos.</w:t>
      </w:r>
    </w:p>
    <w:p>
      <w:pPr>
        <w:pStyle w:val="Heading2"/>
      </w:pPr>
      <w:r>
        <w:rPr>
          <w:b/>
          <w:bCs/>
        </w:rPr>
        <w:t xml:space="preserve">A.10 —</w:t>
      </w:r>
      <w:r>
        <w:rPr>
          <w:b/>
          <w:bCs/>
        </w:rPr>
        <w:t xml:space="preserve"> </w:t>
      </w:r>
      <w:r>
        <w:rPr>
          <w:rStyle w:val="VerbatimChar"/>
          <w:b/>
          <w:bCs/>
        </w:rPr>
        <w:t xml:space="preserve">IdCliente</w:t>
      </w:r>
      <w:r>
        <w:rPr>
          <w:b/>
          <w:bCs/>
        </w:rPr>
        <w:t xml:space="preserve"> </w:t>
      </w:r>
      <w:r>
        <w:rPr>
          <w:b/>
          <w:bCs/>
        </w:rPr>
        <w:t xml:space="preserve">deja de ser obligatorio en el endpoint de consulta (v1.13)</w:t>
      </w:r>
    </w:p>
    <w:p>
      <w:pPr>
        <w:pStyle w:val="FirstParagraph"/>
      </w:pPr>
      <w:r>
        <w:rPr>
          <w:b/>
          <w:bCs/>
        </w:rPr>
        <w:t xml:space="preserve">v1.13 (29 jul 2026) — Comentario de Juan David sobre la implementación:</w:t>
      </w:r>
      <w:r>
        <w:t xml:space="preserve"> </w:t>
      </w:r>
      <w:r>
        <w:rPr>
          <w:rStyle w:val="VerbatimChar"/>
        </w:rPr>
        <w:t xml:space="preserve">IdCliente</w:t>
      </w:r>
      <w:r>
        <w:t xml:space="preserve"> </w:t>
      </w:r>
      <w:r>
        <w:t xml:space="preserve">deja de ser el único filtro obligatorio de</w:t>
      </w:r>
      <w:r>
        <w:t xml:space="preserve"> </w:t>
      </w:r>
      <w:r>
        <w:rPr>
          <w:rStyle w:val="VerbatimChar"/>
        </w:rPr>
        <w:t xml:space="preserve">POST /vClienteDatosBancarios</w:t>
      </w:r>
      <w:r>
        <w:t xml:space="preserve"> </w:t>
      </w:r>
      <w:r>
        <w:t xml:space="preserve">— los 4 filtros (</w:t>
      </w:r>
      <w:r>
        <w:rPr>
          <w:rStyle w:val="VerbatimChar"/>
        </w:rPr>
        <w:t xml:space="preserve">IdCliente</w:t>
      </w:r>
      <w:r>
        <w:t xml:space="preserve">,</w:t>
      </w:r>
      <w:r>
        <w:t xml:space="preserve"> </w:t>
      </w:r>
      <w:r>
        <w:rPr>
          <w:rStyle w:val="VerbatimChar"/>
        </w:rPr>
        <w:t xml:space="preserve">IdCatBanco</w:t>
      </w:r>
      <w:r>
        <w:t xml:space="preserve">,</w:t>
      </w:r>
      <w:r>
        <w:t xml:space="preserve"> </w:t>
      </w:r>
      <w:r>
        <w:rPr>
          <w:rStyle w:val="VerbatimChar"/>
        </w:rPr>
        <w:t xml:space="preserve">IdCatMoneda</w:t>
      </w:r>
      <w:r>
        <w:t xml:space="preserve">,</w:t>
      </w:r>
      <w:r>
        <w:t xml:space="preserve"> </w:t>
      </w:r>
      <w:r>
        <w:rPr>
          <w:rStyle w:val="VerbatimChar"/>
        </w:rPr>
        <w:t xml:space="preserve">IdEmpresa</w:t>
      </w:r>
      <w:r>
        <w:t xml:space="preserve">) pasan a ser todos opcionales. Sin ningún filtro, el endpoint responde con todas las asignaciones activas del sistema en vez de un error. Actualizado en Alcance, RT-10, CA-13, contrato del endpoint (body de request) y Estrategia de Pruebas.</w:t>
      </w:r>
    </w:p>
    <w:p>
      <w:pPr>
        <w:pStyle w:val="Heading2"/>
      </w:pPr>
      <w:r>
        <w:rPr>
          <w:b/>
          <w:bCs/>
        </w:rPr>
        <w:t xml:space="preserve">A.11 — Respuesta de</w:t>
      </w:r>
      <w:r>
        <w:rPr>
          <w:b/>
          <w:bCs/>
        </w:rPr>
        <w:t xml:space="preserve"> </w:t>
      </w:r>
      <w:r>
        <w:rPr>
          <w:rStyle w:val="VerbatimChar"/>
          <w:b/>
          <w:bCs/>
        </w:rPr>
        <w:t xml:space="preserve">POST /vClienteDatosBancarios</w:t>
      </w:r>
      <w:r>
        <w:rPr>
          <w:b/>
          <w:bCs/>
        </w:rPr>
        <w:t xml:space="preserve"> </w:t>
      </w:r>
      <w:r>
        <w:rPr>
          <w:b/>
          <w:bCs/>
        </w:rPr>
        <w:t xml:space="preserve">pasa de anidada a objeto plano (v1.14)</w:t>
      </w:r>
    </w:p>
    <w:p>
      <w:pPr>
        <w:pStyle w:val="FirstParagraph"/>
      </w:pPr>
      <w:r>
        <w:rPr>
          <w:b/>
          <w:bCs/>
        </w:rPr>
        <w:t xml:space="preserve">v1.14 (29 jul 2026) — Comentario de Juan David + campos mínimos acordados con el asignado de front:</w:t>
      </w:r>
      <w:r>
        <w:t xml:space="preserve"> </w:t>
      </w:r>
      <w:r>
        <w:t xml:space="preserve">la respuesta del endpoint de consulta deja de anidar las entidades relacionadas (</w:t>
      </w:r>
      <w:r>
        <w:rPr>
          <w:rStyle w:val="VerbatimChar"/>
        </w:rPr>
        <w:t xml:space="preserve">Cliente</w:t>
      </w:r>
      <w:r>
        <w:t xml:space="preserve">,</w:t>
      </w:r>
      <w:r>
        <w:t xml:space="preserve"> </w:t>
      </w:r>
      <w:r>
        <w:rPr>
          <w:rStyle w:val="VerbatimChar"/>
        </w:rPr>
        <w:t xml:space="preserve">catBanco</w:t>
      </w:r>
      <w:r>
        <w:t xml:space="preserve">,</w:t>
      </w:r>
      <w:r>
        <w:t xml:space="preserve"> </w:t>
      </w:r>
      <w:r>
        <w:rPr>
          <w:rStyle w:val="VerbatimChar"/>
        </w:rPr>
        <w:t xml:space="preserve">catMoneda</w:t>
      </w:r>
      <w:r>
        <w:t xml:space="preserve"> </w:t>
      </w:r>
      <w:r>
        <w:t xml:space="preserve">completas dentro de wrappers) y pasa a ser un</w:t>
      </w:r>
      <w:r>
        <w:t xml:space="preserve"> </w:t>
      </w:r>
      <w:r>
        <w:rPr>
          <w:b/>
          <w:bCs/>
        </w:rPr>
        <w:t xml:space="preserve">objeto plano</w:t>
      </w:r>
      <w:r>
        <w:t xml:space="preserve">, como en el diseño original. Se acotó además a los campos mínimos necesarios por tabla de origen (en vez de las entidades completas): de</w:t>
      </w:r>
      <w:r>
        <w:t xml:space="preserve"> </w:t>
      </w:r>
      <w:r>
        <w:rPr>
          <w:rStyle w:val="VerbatimChar"/>
        </w:rPr>
        <w:t xml:space="preserve">ClienteDatosBancarios</w:t>
      </w:r>
      <w:r>
        <w:t xml:space="preserve"> </w:t>
      </w:r>
      <w:r>
        <w:t xml:space="preserve">— Id, Código Validador, Referencia Vigente, Activo; de</w:t>
      </w:r>
      <w:r>
        <w:t xml:space="preserve"> </w:t>
      </w:r>
      <w:r>
        <w:rPr>
          <w:rStyle w:val="VerbatimChar"/>
        </w:rPr>
        <w:t xml:space="preserve">Cliente</w:t>
      </w:r>
      <w:r>
        <w:t xml:space="preserve"> </w:t>
      </w:r>
      <w:r>
        <w:t xml:space="preserve">— Id, Nombre, Alias, Activo, Región; de</w:t>
      </w:r>
      <w:r>
        <w:t xml:space="preserve"> </w:t>
      </w:r>
      <w:r>
        <w:rPr>
          <w:rStyle w:val="VerbatimChar"/>
        </w:rPr>
        <w:t xml:space="preserve">Empresa</w:t>
      </w:r>
      <w:r>
        <w:t xml:space="preserve"> </w:t>
      </w:r>
      <w:r>
        <w:t xml:space="preserve">— Id, Alias; de</w:t>
      </w:r>
      <w:r>
        <w:t xml:space="preserve"> </w:t>
      </w:r>
      <w:r>
        <w:rPr>
          <w:rStyle w:val="VerbatimChar"/>
        </w:rPr>
        <w:t xml:space="preserve">EmpresaDatosBancarios</w:t>
      </w:r>
      <w:r>
        <w:t xml:space="preserve"> </w:t>
      </w:r>
      <w:r>
        <w:t xml:space="preserve">— solo el Id; de</w:t>
      </w:r>
      <w:r>
        <w:t xml:space="preserve"> </w:t>
      </w:r>
      <w:r>
        <w:rPr>
          <w:rStyle w:val="VerbatimChar"/>
        </w:rPr>
        <w:t xml:space="preserve">DatosBancarios</w:t>
      </w:r>
      <w:r>
        <w:t xml:space="preserve"> </w:t>
      </w:r>
      <w:r>
        <w:t xml:space="preserve">— Id, Número de Cuenta, Sucursal, Beneficiario; de</w:t>
      </w:r>
      <w:r>
        <w:t xml:space="preserve"> </w:t>
      </w:r>
      <w:r>
        <w:rPr>
          <w:rStyle w:val="VerbatimChar"/>
        </w:rPr>
        <w:t xml:space="preserve">catMoneda</w:t>
      </w:r>
      <w:r>
        <w:t xml:space="preserve"> </w:t>
      </w:r>
      <w:r>
        <w:t xml:space="preserve">— Id, Clave, Nombre, Activo; de</w:t>
      </w:r>
      <w:r>
        <w:t xml:space="preserve"> </w:t>
      </w:r>
      <w:r>
        <w:rPr>
          <w:rStyle w:val="VerbatimChar"/>
        </w:rPr>
        <w:t xml:space="preserve">catBanco</w:t>
      </w:r>
      <w:r>
        <w:t xml:space="preserve"> </w:t>
      </w:r>
      <w:r>
        <w:t xml:space="preserve">— Id, Nombre,</w:t>
      </w:r>
      <w:r>
        <w:t xml:space="preserve"> </w:t>
      </w:r>
      <w:r>
        <w:rPr>
          <w:rStyle w:val="VerbatimChar"/>
        </w:rPr>
        <w:t xml:space="preserve">RequiereCodigoValidador</w:t>
      </w:r>
      <w:r>
        <w:t xml:space="preserve">, Activo. Adicionalmente,</w:t>
      </w:r>
      <w:r>
        <w:t xml:space="preserve"> </w:t>
      </w:r>
      <w:r>
        <w:rPr>
          <w:rStyle w:val="VerbatimChar"/>
        </w:rPr>
        <w:t xml:space="preserve">CodigoValidador</w:t>
      </w:r>
      <w:r>
        <w:t xml:space="preserve"> </w:t>
      </w:r>
      <w:r>
        <w:t xml:space="preserve">regresa</w:t>
      </w:r>
      <w:r>
        <w:t xml:space="preserve"> </w:t>
      </w:r>
      <w:r>
        <w:rPr>
          <w:rStyle w:val="VerbatimChar"/>
        </w:rPr>
        <w:t xml:space="preserve">null</w:t>
      </w:r>
      <w:r>
        <w:t xml:space="preserve"> </w:t>
      </w:r>
      <w:r>
        <w:t xml:space="preserve">(no cadena vacía) para cuentas no-Banamex, donde el campo no aplica. Actualizado en Componentes involucrados, Diseño de Interfaces (§1, body de respuesta), Impacto en modelos e Impacto Técnico.</w:t>
      </w:r>
    </w:p>
    <w:p>
      <w:pPr>
        <w:pStyle w:val="Heading2"/>
      </w:pPr>
      <w:r>
        <w:rPr>
          <w:b/>
          <w:bCs/>
        </w:rPr>
        <w:t xml:space="preserve">A.12 —</w:t>
      </w:r>
      <w:r>
        <w:rPr>
          <w:b/>
          <w:bCs/>
        </w:rPr>
        <w:t xml:space="preserve"> </w:t>
      </w:r>
      <w:r>
        <w:rPr>
          <w:rStyle w:val="VerbatimChar"/>
          <w:b/>
          <w:bCs/>
        </w:rPr>
        <w:t xml:space="preserve">CodigoValidador</w:t>
      </w:r>
      <w:r>
        <w:rPr>
          <w:b/>
          <w:bCs/>
        </w:rPr>
        <w:t xml:space="preserve"> </w:t>
      </w:r>
      <w:r>
        <w:rPr>
          <w:b/>
          <w:bCs/>
        </w:rPr>
        <w:t xml:space="preserve">deja de ser obligatorio para cuentas no-Banamex (v1.15)</w:t>
      </w:r>
    </w:p>
    <w:p>
      <w:pPr>
        <w:pStyle w:val="FirstParagraph"/>
      </w:pPr>
      <w:r>
        <w:rPr>
          <w:b/>
          <w:bCs/>
        </w:rPr>
        <w:t xml:space="preserve">v1.15 (29 jul 2026) — Corrección reportada al probar el endpoint de alta:</w:t>
      </w:r>
      <w:r>
        <w:t xml:space="preserve"> </w:t>
      </w:r>
      <w:r>
        <w:t xml:space="preserve">la validación de</w:t>
      </w:r>
      <w:r>
        <w:t xml:space="preserve"> </w:t>
      </w:r>
      <w:r>
        <w:rPr>
          <w:rStyle w:val="VerbatimChar"/>
        </w:rPr>
        <w:t xml:space="preserve">CodigoValidador</w:t>
      </w:r>
      <w:r>
        <w:t xml:space="preserve"> </w:t>
      </w:r>
      <w:r>
        <w:t xml:space="preserve">requerido bloqueaba altas de cuentas no-Banamex, aunque ese campo no participa en el algoritmo de referencia de esas cuentas (usan</w:t>
      </w:r>
      <w:r>
        <w:t xml:space="preserve"> </w:t>
      </w:r>
      <w:r>
        <w:rPr>
          <w:rStyle w:val="VerbatimChar"/>
        </w:rPr>
        <w:t xml:space="preserve">RazonSocial</w:t>
      </w:r>
      <w:r>
        <w:t xml:space="preserve">, no Código Validador). La validación se acota a cuentas Banamex — para no-Banamex,</w:t>
      </w:r>
      <w:r>
        <w:t xml:space="preserve"> </w:t>
      </w:r>
      <w:r>
        <w:rPr>
          <w:rStyle w:val="VerbatimChar"/>
        </w:rPr>
        <w:t xml:space="preserve">PUT /ClienteDatosBancarios</w:t>
      </w:r>
      <w:r>
        <w:t xml:space="preserve"> </w:t>
      </w:r>
      <w:r>
        <w:t xml:space="preserve">procede sin exigir el campo. Actualizado en Flujo 1 (paso de validaciones), CA-E1 y Manejo de Errores.</w:t>
      </w:r>
    </w:p>
    <w:p>
      <w:pPr>
        <w:pStyle w:val="Heading2"/>
      </w:pPr>
      <w:r>
        <w:rPr>
          <w:b/>
          <w:bCs/>
        </w:rPr>
        <w:t xml:space="preserve">A.13 — Validación de cuenta bancaria inexistente/inválida en el endpoint de alta (v1.16)</w:t>
      </w:r>
    </w:p>
    <w:p>
      <w:pPr>
        <w:pStyle w:val="FirstParagraph"/>
      </w:pPr>
      <w:r>
        <w:rPr>
          <w:b/>
          <w:bCs/>
        </w:rPr>
        <w:t xml:space="preserve">v1.16 (30 jul 2026) — Corrección de un caso sin manejar:</w:t>
      </w:r>
      <w:r>
        <w:t xml:space="preserve"> </w:t>
      </w:r>
      <w:r>
        <w:rPr>
          <w:rStyle w:val="VerbatimChar"/>
        </w:rPr>
        <w:t xml:space="preserve">PUT /ClienteDatosBancarios</w:t>
      </w:r>
      <w:r>
        <w:t xml:space="preserve"> </w:t>
      </w:r>
      <w:r>
        <w:t xml:space="preserve">con un</w:t>
      </w:r>
      <w:r>
        <w:t xml:space="preserve"> </w:t>
      </w:r>
      <w:r>
        <w:rPr>
          <w:rStyle w:val="VerbatimChar"/>
        </w:rPr>
        <w:t xml:space="preserve">IdEmpresaDatosBancarios</w:t>
      </w:r>
      <w:r>
        <w:t xml:space="preserve"> </w:t>
      </w:r>
      <w:r>
        <w:t xml:space="preserve">vacío, inválido o que no corresponde a ninguna cuenta real terminaba en un error no controlado del servidor. Se agrega validación explícita: si la cuenta no existe, el endpoint responde</w:t>
      </w:r>
      <w:r>
        <w:t xml:space="preserve"> </w:t>
      </w:r>
      <w:r>
        <w:rPr>
          <w:rStyle w:val="VerbatimChar"/>
        </w:rPr>
        <w:t xml:space="preserve">400 Bad Request</w:t>
      </w:r>
      <w:r>
        <w:t xml:space="preserve"> </w:t>
      </w:r>
      <w:r>
        <w:t xml:space="preserve">con mensaje</w:t>
      </w:r>
      <w:r>
        <w:t xml:space="preserve"> </w:t>
      </w:r>
      <w:r>
        <w:t xml:space="preserve">“La cuenta bancaria seleccionada no existe.”</w:t>
      </w:r>
      <w:r>
        <w:t xml:space="preserve"> </w:t>
      </w:r>
      <w:r>
        <w:t xml:space="preserve">Actualizado en Manejo de Errores.</w:t>
      </w:r>
    </w:p>
    <w:p>
      <w:pPr>
        <w:pStyle w:val="Heading2"/>
      </w:pPr>
      <w:r>
        <w:rPr>
          <w:b/>
          <w:bCs/>
        </w:rPr>
        <w:t xml:space="preserve">A.14 — Unificación del controller del endpoint de consulta (v1.17)</w:t>
      </w:r>
    </w:p>
    <w:p>
      <w:pPr>
        <w:pStyle w:val="FirstParagraph"/>
      </w:pPr>
      <w:r>
        <w:rPr>
          <w:b/>
          <w:bCs/>
        </w:rPr>
        <w:t xml:space="preserve">v1.17 (30 jul 2026) — Auditoría de congruencia interno↔formal↔RAD:</w:t>
      </w:r>
      <w:r>
        <w:t xml:space="preserve"> </w:t>
      </w:r>
      <w:r>
        <w:t xml:space="preserve">este documento seguía describiendo</w:t>
      </w:r>
      <w:r>
        <w:t xml:space="preserve"> </w:t>
      </w:r>
      <w:r>
        <w:rPr>
          <w:rStyle w:val="VerbatimChar"/>
        </w:rPr>
        <w:t xml:space="preserve">vClienteDatosBancariosController</w:t>
      </w:r>
      <w:r>
        <w:t xml:space="preserve"> </w:t>
      </w:r>
      <w:r>
        <w:t xml:space="preserve">como un controller separado (</w:t>
      </w:r>
      <w:r>
        <w:rPr>
          <w:rStyle w:val="VerbatimChar"/>
        </w:rPr>
        <w:t xml:space="preserve">Controllers\Configuracion\Clientes\Relaciones\</w:t>
      </w:r>
      <w:r>
        <w:t xml:space="preserve">) para el endpoint de consulta — desactualizado desde el 24-jul, cuando el diseño interno (ADR-11) decidió eliminar ese controller huérfano (2021, ligado a una vista de BD sin consumo real) y exponer</w:t>
      </w:r>
      <w:r>
        <w:t xml:space="preserve"> </w:t>
      </w:r>
      <w:r>
        <w:rPr>
          <w:rStyle w:val="VerbatimChar"/>
        </w:rPr>
        <w:t xml:space="preserve">POST /vClienteDatosBancarios</w:t>
      </w:r>
      <w:r>
        <w:t xml:space="preserve"> </w:t>
      </w:r>
      <w:r>
        <w:t xml:space="preserve">desde el mismo</w:t>
      </w:r>
      <w:r>
        <w:t xml:space="preserve"> </w:t>
      </w:r>
      <w:r>
        <w:rPr>
          <w:rStyle w:val="VerbatimChar"/>
        </w:rPr>
        <w:t xml:space="preserve">ClienteDatosBancariosController</w:t>
      </w:r>
      <w:r>
        <w:t xml:space="preserve"> </w:t>
      </w:r>
      <w:r>
        <w:t xml:space="preserve">del CRUD. Se corrige en Componentes involucrados (fila unificada) e Impacto Técnico (ítem 5 ampliado, nota de controller huérfano a retirar). Sin cambio de comportamiento del endpoint — mismo route, mismo contrato; solo corrige a qué clase pertenece.</w:t>
      </w:r>
    </w:p>
    <w:p>
      <w:pPr>
        <w:pStyle w:val="Heading2"/>
      </w:pPr>
      <w:r>
        <w:rPr>
          <w:b/>
          <w:bCs/>
        </w:rPr>
        <w:t xml:space="preserve">A.15 — Corrección de v1.17: el controller de consulta queda separado (v1.18)</w:t>
      </w:r>
    </w:p>
    <w:p>
      <w:pPr>
        <w:pStyle w:val="FirstParagraph"/>
      </w:pPr>
      <w:r>
        <w:rPr>
          <w:b/>
          <w:bCs/>
        </w:rPr>
        <w:t xml:space="preserve">v1.18 (30 jul 2026) — Verificado contra código real:</w:t>
      </w:r>
      <w:r>
        <w:t xml:space="preserve"> </w:t>
      </w:r>
      <w:r>
        <w:t xml:space="preserve">v1.17 fusionó el endpoint de consulta en</w:t>
      </w:r>
      <w:r>
        <w:t xml:space="preserve"> </w:t>
      </w:r>
      <w:r>
        <w:rPr>
          <w:rStyle w:val="VerbatimChar"/>
        </w:rPr>
        <w:t xml:space="preserve">ClienteDatosBancariosController</w:t>
      </w:r>
      <w:r>
        <w:t xml:space="preserve"> </w:t>
      </w:r>
      <w:r>
        <w:t xml:space="preserve">siguiendo el plan original de ADR-11 (interno) — pero al revisar la implementación ya construida (repo</w:t>
      </w:r>
      <w:r>
        <w:t xml:space="preserve"> </w:t>
      </w:r>
      <w:r>
        <w:rPr>
          <w:rStyle w:val="VerbatimChar"/>
        </w:rPr>
        <w:t xml:space="preserve">ProquifaDotNet</w:t>
      </w:r>
      <w:r>
        <w:t xml:space="preserve">, rama</w:t>
      </w:r>
      <w:r>
        <w:t xml:space="preserve"> </w:t>
      </w:r>
      <w:r>
        <w:rPr>
          <w:rStyle w:val="VerbatimChar"/>
        </w:rPr>
        <w:t xml:space="preserve">feature/r16-phase-01-R16A-RE-FU-006</w:t>
      </w:r>
      <w:r>
        <w:t xml:space="preserve">) se confirmó que quedó como</w:t>
      </w:r>
      <w:r>
        <w:t xml:space="preserve"> </w:t>
      </w:r>
      <w:r>
        <w:rPr>
          <w:b/>
          <w:bCs/>
        </w:rPr>
        <w:t xml:space="preserve">dos controllers separados</w:t>
      </w:r>
      <w:r>
        <w:t xml:space="preserve">,</w:t>
      </w:r>
      <w:r>
        <w:t xml:space="preserve"> </w:t>
      </w:r>
      <w:r>
        <w:rPr>
          <w:rStyle w:val="VerbatimChar"/>
        </w:rPr>
        <w:t xml:space="preserve">ClienteDatosBancariosController</w:t>
      </w:r>
      <w:r>
        <w:t xml:space="preserve"> </w:t>
      </w:r>
      <w:r>
        <w:t xml:space="preserve">(CRUD) y</w:t>
      </w:r>
      <w:r>
        <w:t xml:space="preserve"> </w:t>
      </w:r>
      <w:r>
        <w:rPr>
          <w:rStyle w:val="VerbatimChar"/>
        </w:rPr>
        <w:t xml:space="preserve">vClienteDatosBancariosController</w:t>
      </w:r>
      <w:r>
        <w:t xml:space="preserve"> </w:t>
      </w:r>
      <w:r>
        <w:t xml:space="preserve">(consulta), ambos en</w:t>
      </w:r>
      <w:r>
        <w:t xml:space="preserve"> </w:t>
      </w:r>
      <w:r>
        <w:rPr>
          <w:rStyle w:val="VerbatimChar"/>
        </w:rPr>
        <w:t xml:space="preserve">Controllers\Configuracion\Clientes\Relaciones\</w:t>
      </w:r>
      <w:r>
        <w:t xml:space="preserve"> </w:t>
      </w:r>
      <w:r>
        <w:t xml:space="preserve">— no en</w:t>
      </w:r>
      <w:r>
        <w:t xml:space="preserve"> </w:t>
      </w:r>
      <w:r>
        <w:rPr>
          <w:rStyle w:val="VerbatimChar"/>
        </w:rPr>
        <w:t xml:space="preserve">Controllers\Configuracion\Clientes\</w:t>
      </w:r>
      <w:r>
        <w:t xml:space="preserve"> </w:t>
      </w:r>
      <w:r>
        <w:t xml:space="preserve">a secas. Decisión final (ADR-17 en el interno): mantenerlos separados, mismo criterio que el resto del ecosistema aplica entre BOs/Controllers de escritura y de proyección de solo lectura (</w:t>
      </w:r>
      <w:r>
        <w:rPr>
          <w:rStyle w:val="VerbatimChar"/>
        </w:rPr>
        <w:t xml:space="preserve">EmpresaDatosBancariosBO</w:t>
      </w:r>
      <w:r>
        <w:t xml:space="preserve"> </w:t>
      </w:r>
      <w:r>
        <w:t xml:space="preserve">vs. </w:t>
      </w:r>
      <w:r>
        <w:rPr>
          <w:rStyle w:val="VerbatimChar"/>
        </w:rPr>
        <w:t xml:space="preserve">vEmpresaDatosBancariosBO</w:t>
      </w:r>
      <w:r>
        <w:t xml:space="preserve">). Revertido en Componentes involucrados (dos filas de nuevo) e Impacto Técnico (ítem 5 +</w:t>
      </w:r>
      <w:r>
        <w:t xml:space="preserve"> </w:t>
      </w:r>
      <w:r>
        <w:t xml:space="preserve">“Revisar adicionalmente”</w:t>
      </w:r>
      <w:r>
        <w:t xml:space="preserve">).</w:t>
      </w:r>
    </w:p>
    <w:p>
      <w:pPr>
        <w:pStyle w:val="Heading2"/>
      </w:pPr>
      <w:r>
        <w:rPr>
          <w:b/>
          <w:bCs/>
        </w:rPr>
        <w:t xml:space="preserve">A.16 — Corrección de redacción en S6 (moneda), verificado contra fuente del cliente (v1.19)</w:t>
      </w:r>
    </w:p>
    <w:p>
      <w:pPr>
        <w:pStyle w:val="FirstParagraph"/>
      </w:pPr>
      <w:r>
        <w:rPr>
          <w:b/>
          <w:bCs/>
        </w:rPr>
        <w:t xml:space="preserve">v1.19 (31 jul 2026) — Corrección de redacción, no de código ni de diseño:</w:t>
      </w:r>
      <w:r>
        <w:t xml:space="preserve"> </w:t>
      </w:r>
      <w:r>
        <w:t xml:space="preserve">este documento describía S6 como</w:t>
      </w:r>
      <w:r>
        <w:t xml:space="preserve"> </w:t>
      </w:r>
      <w:r>
        <w:rPr>
          <w:rStyle w:val="VerbatimChar"/>
        </w:rPr>
        <w:t xml:space="preserve">catMoneda.ClaveMoneda = 'MXN'</w:t>
      </w:r>
      <w:r>
        <w:t xml:space="preserve"> </w:t>
      </w:r>
      <w:r>
        <w:t xml:space="preserve">— una simplificación imprecisa. Verificado contra el documento original del cliente (</w:t>
      </w:r>
      <w:r>
        <w:rPr>
          <w:rStyle w:val="VerbatimChar"/>
        </w:rPr>
        <w:t xml:space="preserve">P72_Referencia -Cliente.md</w:t>
      </w:r>
      <w:r>
        <w:t xml:space="preserve">, recibido 2026-04-28) y la matriz de requisitos (Regla 7 punto 6 / Criterio C3, fuente de verdad del proyecto): la regla real, textual, es</w:t>
      </w:r>
      <w:r>
        <w:t xml:space="preserve"> </w:t>
      </w:r>
      <w:r>
        <w:rPr>
          <w:b/>
          <w:bCs/>
        </w:rPr>
        <w:t xml:space="preserve">“carácter</w:t>
      </w:r>
      <w:r>
        <w:rPr>
          <w:b/>
          <w:bCs/>
        </w:rPr>
        <w:t xml:space="preserve"> </w:t>
      </w:r>
      <w:r>
        <w:rPr>
          <w:b/>
          <w:bCs/>
        </w:rPr>
        <w:t xml:space="preserve">‘P’</w:t>
      </w:r>
      <w:r>
        <w:rPr>
          <w:b/>
          <w:bCs/>
        </w:rPr>
        <w:t xml:space="preserve"> </w:t>
      </w:r>
      <w:r>
        <w:rPr>
          <w:b/>
          <w:bCs/>
        </w:rPr>
        <w:t xml:space="preserve">si la primera letra del campo Moneda de la cuenta es</w:t>
      </w:r>
      <w:r>
        <w:rPr>
          <w:b/>
          <w:bCs/>
        </w:rPr>
        <w:t xml:space="preserve"> </w:t>
      </w:r>
      <w:r>
        <w:rPr>
          <w:b/>
          <w:bCs/>
        </w:rPr>
        <w:t xml:space="preserve">‘M’</w:t>
      </w:r>
      <w:r>
        <w:rPr>
          <w:b/>
          <w:bCs/>
        </w:rPr>
        <w:t xml:space="preserve">”</w:t>
      </w:r>
      <w:r>
        <w:t xml:space="preserve"> </w:t>
      </w:r>
      <w:r>
        <w:t xml:space="preserve">— no una igualdad exacta a</w:t>
      </w:r>
      <w:r>
        <w:t xml:space="preserve"> </w:t>
      </w:r>
      <w:r>
        <w:t xml:space="preserve">“MXN”</w:t>
      </w:r>
      <w:r>
        <w:t xml:space="preserve">. El código (</w:t>
      </w:r>
      <w:r>
        <w:rPr>
          <w:rStyle w:val="VerbatimChar"/>
        </w:rPr>
        <w:t xml:space="preserve">BankReferenceBO.BuildBanamex</w:t>
      </w:r>
      <w:r>
        <w:t xml:space="preserve">,</w:t>
      </w:r>
      <w:r>
        <w:t xml:space="preserve"> </w:t>
      </w:r>
      <w:r>
        <w:rPr>
          <w:rStyle w:val="VerbatimChar"/>
        </w:rPr>
        <w:t xml:space="preserve">ClaveMoneda.StartsWith("M")</w:t>
      </w:r>
      <w:r>
        <w:t xml:space="preserve">) ya implementa la regla correcta tal cual la documentó el cliente; no se modifica. Se corrige solo la redacción de este documento (tabla de segmentos S6, casos de prueba) para no inducir a futuro una</w:t>
      </w:r>
      <w:r>
        <w:t xml:space="preserve"> </w:t>
      </w:r>
      <w:r>
        <w:t xml:space="preserve">“corrección”</w:t>
      </w:r>
      <w:r>
        <w:t xml:space="preserve"> </w:t>
      </w:r>
      <w:r>
        <w:t xml:space="preserve">del código que rompería la regla real.</w:t>
      </w:r>
    </w:p>
    <w:p>
      <w:pPr>
        <w:pStyle w:val="Heading2"/>
      </w:pPr>
      <w:r>
        <w:rPr>
          <w:b/>
          <w:bCs/>
        </w:rPr>
        <w:t xml:space="preserve">A.17 — JD revierte la regla de idioma de A.4 (v1.7), a media ejecución del PR #207 (v1.20)</w:t>
      </w:r>
    </w:p>
    <w:p>
      <w:pPr>
        <w:pStyle w:val="FirstParagraph"/>
      </w:pPr>
      <w:r>
        <w:rPr>
          <w:b/>
          <w:bCs/>
        </w:rPr>
        <w:t xml:space="preserve">v1.20 (31 jul 2026) — Regla de idioma de código nuevo, refinada:</w:t>
      </w:r>
      <w:r>
        <w:t xml:space="preserve"> </w:t>
      </w:r>
      <w:r>
        <w:t xml:space="preserve">la regla de A.4/v1.7 (</w:t>
      </w:r>
      <w:r>
        <w:t xml:space="preserve">“BO de entidad nuevo = Inglés”</w:t>
      </w:r>
      <w:r>
        <w:t xml:space="preserve">) no reflejaba bien el patrón ya establecido en el resto de PQF2 (Catálogo, Logística) — JD la refinó al ver el resultado real aplicado en el PR #207 (</w:t>
      </w:r>
      <w:r>
        <w:rPr>
          <w:rStyle w:val="VerbatimChar"/>
        </w:rPr>
        <w:t xml:space="preserve">ProquifaDotNet</w:t>
      </w:r>
      <w:r>
        <w:t xml:space="preserve">). Regla vigente:</w:t>
      </w:r>
      <w:r>
        <w:t xml:space="preserve"> </w:t>
      </w:r>
      <w:r>
        <w:rPr>
          <w:b/>
          <w:bCs/>
        </w:rPr>
        <w:t xml:space="preserve">BO de entidad</w:t>
      </w:r>
      <w:r>
        <w:rPr>
          <w:b/>
          <w:bCs/>
        </w:rPr>
        <w:t xml:space="preserve"> </w:t>
      </w:r>
      <w:r>
        <w:rPr>
          <w:rStyle w:val="VerbatimChar"/>
          <w:b/>
          <w:bCs/>
        </w:rPr>
        <w:t xml:space="preserve">&lt;CRUD&gt;</w:t>
      </w:r>
      <w:r>
        <w:rPr>
          <w:b/>
          <w:bCs/>
        </w:rPr>
        <w:t xml:space="preserve"> </w:t>
      </w:r>
      <w:r>
        <w:rPr>
          <w:b/>
          <w:bCs/>
        </w:rPr>
        <w:t xml:space="preserve">y BO de vista, con sus extensions, van en Español</w:t>
      </w:r>
      <w:r>
        <w:t xml:space="preserve"> </w:t>
      </w:r>
      <w:r>
        <w:t xml:space="preserve">(coherencia con el modelo de BD, que está en Español) — mismo patrón ya usado en el resto del repo (</w:t>
      </w:r>
      <w:r>
        <w:rPr>
          <w:rStyle w:val="VerbatimChar"/>
        </w:rPr>
        <w:t xml:space="preserve">vEmpresaDatosBancariosBO</w:t>
      </w:r>
      <w:r>
        <w:t xml:space="preserve">,</w:t>
      </w:r>
      <w:r>
        <w:t xml:space="preserve"> </w:t>
      </w:r>
      <w:r>
        <w:rPr>
          <w:rStyle w:val="VerbatimChar"/>
        </w:rPr>
        <w:t xml:space="preserve">vClienteBO</w:t>
      </w:r>
      <w:r>
        <w:t xml:space="preserve">);</w:t>
      </w:r>
      <w:r>
        <w:t xml:space="preserve"> </w:t>
      </w:r>
      <w:r>
        <w:rPr>
          <w:b/>
          <w:bCs/>
        </w:rPr>
        <w:t xml:space="preserve">lógica de negocio/utilería sin entidad propia sigue en Inglés</w:t>
      </w:r>
      <w:r>
        <w:t xml:space="preserve"> </w:t>
      </w:r>
      <w:r>
        <w:t xml:space="preserve">(ej.</w:t>
      </w:r>
      <w:r>
        <w:t xml:space="preserve"> </w:t>
      </w:r>
      <w:r>
        <w:rPr>
          <w:rStyle w:val="VerbatimChar"/>
        </w:rPr>
        <w:t xml:space="preserve">BankReferenceBO</w:t>
      </w:r>
      <w:r>
        <w:t xml:space="preserve">, sin cambio);</w:t>
      </w:r>
      <w:r>
        <w:t xml:space="preserve"> </w:t>
      </w:r>
      <w:r>
        <w:rPr>
          <w:b/>
          <w:bCs/>
        </w:rPr>
        <w:t xml:space="preserve">controllers</w:t>
      </w:r>
      <w:r>
        <w:t xml:space="preserve">: Español si heredan de</w:t>
      </w:r>
      <w:r>
        <w:t xml:space="preserve"> </w:t>
      </w:r>
      <w:r>
        <w:rPr>
          <w:rStyle w:val="VerbatimChar"/>
        </w:rPr>
        <w:t xml:space="preserve">ApiController</w:t>
      </w:r>
      <w:r>
        <w:t xml:space="preserve">/</w:t>
      </w:r>
      <w:r>
        <w:rPr>
          <w:rStyle w:val="VerbatimChar"/>
        </w:rPr>
        <w:t xml:space="preserve">IControllerModelBO&lt;Entidad&gt;</w:t>
      </w:r>
      <w:r>
        <w:t xml:space="preserve">, Inglés si no (los controllers de esta asignación ya cumplían, sin cambio). Código revertido:</w:t>
      </w:r>
      <w:r>
        <w:t xml:space="preserve"> </w:t>
      </w:r>
      <w:r>
        <w:rPr>
          <w:rStyle w:val="VerbatimChar"/>
        </w:rPr>
        <w:t xml:space="preserve">ClientBankDataBO</w:t>
      </w:r>
      <w:r>
        <w:t xml:space="preserve">→</w:t>
      </w:r>
      <w:r>
        <w:rPr>
          <w:rStyle w:val="VerbatimChar"/>
        </w:rPr>
        <w:t xml:space="preserve">ClienteDatosBancariosBO</w:t>
      </w:r>
      <w:r>
        <w:t xml:space="preserve">,</w:t>
      </w:r>
      <w:r>
        <w:t xml:space="preserve"> </w:t>
      </w:r>
      <w:r>
        <w:rPr>
          <w:rStyle w:val="VerbatimChar"/>
        </w:rPr>
        <w:t xml:space="preserve">vClientBankDataBO</w:t>
      </w:r>
      <w:r>
        <w:t xml:space="preserve">→</w:t>
      </w:r>
      <w:r>
        <w:rPr>
          <w:rStyle w:val="VerbatimChar"/>
        </w:rPr>
        <w:t xml:space="preserve">vClienteDatosBancariosBO</w:t>
      </w:r>
      <w:r>
        <w:t xml:space="preserve"> </w:t>
      </w:r>
      <w:r>
        <w:t xml:space="preserve">(+ extensions, controllers, tests,</w:t>
      </w:r>
      <w:r>
        <w:t xml:space="preserve"> </w:t>
      </w:r>
      <w:r>
        <w:rPr>
          <w:rStyle w:val="VerbatimChar"/>
        </w:rPr>
        <w:t xml:space="preserve">.csproj</w:t>
      </w:r>
      <w:r>
        <w:t xml:space="preserve">). Commit en</w:t>
      </w:r>
      <w:r>
        <w:t xml:space="preserve"> </w:t>
      </w:r>
      <w:r>
        <w:rPr>
          <w:rStyle w:val="VerbatimChar"/>
        </w:rPr>
        <w:t xml:space="preserve">feature/r16-phase-01-R16A-RE-FU-006</w:t>
      </w:r>
      <w:r>
        <w:t xml:space="preserve">,</w:t>
      </w:r>
      <w:r>
        <w:t xml:space="preserve"> </w:t>
      </w:r>
      <w:r>
        <w:rPr>
          <w:rStyle w:val="VerbatimChar"/>
        </w:rPr>
        <w:t xml:space="preserve">Refs: R16A-1428</w:t>
      </w:r>
      <w:r>
        <w:t xml:space="preserve">, pusheado. Se corrigen también las notas de A.4 (arrows que habían quedado autorreferenciales tras una sincronización previa) para conservar el registro histórico del primer rename (6-jul, Español→Inglés). Sincronizado a RAD (decisión #32) y DIS interno (INT-1.18). Monedas reales del ecosistema hoy (MXN/USD/PEN) hacen que ambas formulaciones coincidan en la práctica — sin cambio de comportamiento observable.</w:t>
      </w:r>
    </w:p>
    <w:sectPr>
      <w:headerReference r:id="rId14" w:type="default"/>
      <w:headerReference r:id="rId15" w:type="first"/>
      <w:footerReference r:id="rId16" w:type="default"/>
      <w:footerReference r:id="rId17" w:type="first"/>
      <w:pgSz w:h="15840" w:orient="portrait" w:w="12240"/>
      <w:pgMar w:bottom="1440" w:footer="1133.8582677165355" w:header="708" w:left="1440" w:right="1440" w:top="1700.7874015748032"/>
      <w:pgNumType w:start="1"/>
      <w:titlePg w:val="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pStyle w:val="Subtitle"/>
      <w:rPr/>
    </w:pPr>
    <w:bookmarkStart w:colFirst="0" w:colLast="0" w:name="_hbjwpvr8wxtb" w:id="48"/>
    <w:bookmarkEnd w:id="48"/>
    <w:r w:rsidDel="00000000" w:rsidR="00000000" w:rsidRPr="00000000">
      <w:rPr>
        <w:rtl w:val="0"/>
      </w:rPr>
    </w:r>
  </w:p>
  <w:p w:rsidR="00000000" w:rsidDel="00000000" w:rsidP="00000000" w:rsidRDefault="00000000" w:rsidRPr="00000000" w14:paraId="0000014A">
    <w:pPr>
      <w:jc w:val="right"/>
      <w:rPr/>
    </w:pPr>
    <w:r w:rsidDel="00000000" w:rsidR="00000000" w:rsidRPr="00000000">
      <w:rPr>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pBdr>
        <w:top w:color="e0e0e0" w:space="0" w:sz="6" w:val="single"/>
      </w:pBdr>
      <w:tabs>
        <w:tab w:val="right" w:leader="none" w:pos="9345"/>
      </w:tabs>
      <w:spacing w:before="80" w:lineRule="auto"/>
      <w:ind w:left="0" w:firstLine="0"/>
      <w:rPr>
        <w:sz w:val="18"/>
        <w:szCs w:val="18"/>
      </w:rPr>
    </w:pPr>
    <w:r w:rsidDel="00000000" w:rsidR="00000000" w:rsidRPr="00000000">
      <w:rPr>
        <w:color w:val="666666"/>
        <w:sz w:val="18"/>
        <w:szCs w:val="18"/>
        <w:rtl w:val="0"/>
      </w:rPr>
      <w:t xml:space="preserve">  2026 RYNDEM SOFTWARE FACTORY. Todos los derechos reservados.  </w:t>
    </w:r>
    <w:r w:rsidDel="00000000" w:rsidR="00000000" w:rsidRPr="00000000">
      <w:rPr>
        <w:sz w:val="18"/>
        <w:szCs w:val="18"/>
        <w:rtl w:val="0"/>
      </w:rPr>
      <w:tab/>
    </w:r>
    <w:r w:rsidDel="00000000" w:rsidR="00000000" w:rsidRPr="00000000">
      <w:rPr>
        <w:b w:val="1"/>
        <w:bCs w:val="1"/>
        <w:color w:val="c2273d"/>
        <w:sz w:val="18"/>
        <w:szCs w:val="18"/>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5943600</wp:posOffset>
          </wp:positionH>
          <wp:positionV relativeFrom="paragraph">
            <wp:posOffset>171450</wp:posOffset>
          </wp:positionV>
          <wp:extent cx="1095375" cy="1217083"/>
          <wp:effectExtent b="0" l="0" r="0" t="0"/>
          <wp:wrapNone/>
          <wp:docPr id="4" name="image4.png"/>
          <a:graphic>
            <a:graphicData uri="http://schemas.openxmlformats.org/drawingml/2006/picture">
              <pic:pic>
                <pic:nvPicPr>
                  <pic:cNvPr id="0" name="image4.png"/>
                  <pic:cNvPicPr preferRelativeResize="0"/>
                </pic:nvPicPr>
                <pic:blipFill>
                  <a:blip r:embed="rId1">
                    <a:alphaModFix amt="50000"/>
                  </a:blip>
                  <a:srcRect b="0" l="0" r="0" t="0"/>
                  <a:stretch>
                    <a:fillRect/>
                  </a:stretch>
                </pic:blipFill>
                <pic:spPr>
                  <a:xfrm>
                    <a:off x="0" y="0"/>
                    <a:ext cx="1095375" cy="1217083"/>
                  </a:xfrm>
                  <a:prstGeom prst="rect"/>
                  <a:ln/>
                </pic:spPr>
              </pic:pic>
            </a:graphicData>
          </a:graphic>
        </wp:anchor>
      </w:drawing>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B">
    <w:pPr>
      <w:keepNext w:val="0"/>
      <w:keepLines w:val="0"/>
      <w:widowControl w:val="0"/>
      <w:pBdr>
        <w:bottom w:color="4d4e4f" w:space="3" w:sz="6" w:val="single"/>
      </w:pBdr>
      <w:tabs>
        <w:tab w:val="right" w:leader="none" w:pos="9345"/>
      </w:tabs>
      <w:spacing w:after="0" w:before="0" w:line="360" w:lineRule="auto"/>
      <w:jc w:val="right"/>
      <w:rPr>
        <w:color w:val="999999"/>
        <w:sz w:val="20"/>
        <w:szCs w:val="20"/>
      </w:rPr>
    </w:pPr>
    <w:r w:rsidDel="00000000" w:rsidR="00000000" w:rsidRPr="00000000">
      <w:rPr/>
      <w:drawing>
        <wp:inline distB="114300" distT="114300" distL="114300" distR="114300">
          <wp:extent cx="1029857" cy="270000"/>
          <wp:effectExtent b="0" l="0" r="0" t="0"/>
          <wp:docPr id="7" name="image3.png"/>
          <a:graphic>
            <a:graphicData uri="http://schemas.openxmlformats.org/drawingml/2006/picture">
              <pic:pic>
                <pic:nvPicPr>
                  <pic:cNvPr id="0" name="image3.png"/>
                  <pic:cNvPicPr preferRelativeResize="0"/>
                </pic:nvPicPr>
                <pic:blipFill>
                  <a:blip r:embed="rId1">
                    <a:alphaModFix amt="66000"/>
                  </a:blip>
                  <a:srcRect b="953" l="0" r="0" t="953"/>
                  <a:stretch>
                    <a:fillRect/>
                  </a:stretch>
                </pic:blipFill>
                <pic:spPr>
                  <a:xfrm>
                    <a:off x="0" y="0"/>
                    <a:ext cx="1029857" cy="270000"/>
                  </a:xfrm>
                  <a:prstGeom prst="rect"/>
                  <a:ln/>
                </pic:spPr>
              </pic:pic>
            </a:graphicData>
          </a:graphic>
        </wp:inline>
      </w:drawing>
    </w:r>
    <w:r w:rsidDel="00000000" w:rsidR="00000000" w:rsidRPr="00000000">
      <w:rPr>
        <w:rtl w:val="0"/>
      </w:rPr>
      <w:t xml:space="preserve"> </w:t>
      <w:tab/>
    </w:r>
    <w:r w:rsidDel="00000000" w:rsidR="00000000" w:rsidRPr="00000000">
      <w:rPr>
        <w:color w:val="999999"/>
        <w:sz w:val="20"/>
        <w:szCs w:val="20"/>
        <w:rtl w:val="0"/>
      </w:rPr>
      <w:t xml:space="preserve">Diseño de la solución - Requisito R16A-RE-FU-XXX.</w:t>
    </w:r>
    <w:r w:rsidDel="00000000" w:rsidR="00000000" w:rsidRPr="00000000">
      <w:rPr>
        <w:color w:val="999999"/>
        <w:sz w:val="20"/>
        <w:szCs w:val="20"/>
      </w:rPr>
      <mc:AlternateContent>
        <mc:Choice Requires="wpg">
          <w:drawing>
            <wp:anchor allowOverlap="1" behindDoc="0" distB="114300" distT="114300" distL="114300" distR="114300" hidden="0" layoutInCell="1" locked="0" relativeHeight="0" simplePos="0">
              <wp:simplePos x="0" y="0"/>
              <wp:positionH relativeFrom="page">
                <wp:posOffset>2381</wp:posOffset>
              </wp:positionH>
              <wp:positionV relativeFrom="page">
                <wp:posOffset>318</wp:posOffset>
              </wp:positionV>
              <wp:extent cx="7772400" cy="95250"/>
              <wp:effectExtent b="0" l="0" r="0" t="0"/>
              <wp:wrapNone/>
              <wp:docPr id="1" name=""/>
              <a:graphic>
                <a:graphicData uri="http://schemas.microsoft.com/office/word/2010/wordprocessingShape">
                  <wps:wsp>
                    <wps:cNvSpPr/>
                    <wps:cNvPr id="2" name="Shape 2"/>
                    <wps:spPr>
                      <a:xfrm>
                        <a:off x="1208625" y="851975"/>
                        <a:ext cx="9312300" cy="79200"/>
                      </a:xfrm>
                      <a:prstGeom prst="rect">
                        <a:avLst/>
                      </a:prstGeom>
                      <a:solidFill>
                        <a:srgbClr val="C2273D"/>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2381</wp:posOffset>
              </wp:positionH>
              <wp:positionV relativeFrom="page">
                <wp:posOffset>318</wp:posOffset>
              </wp:positionV>
              <wp:extent cx="7772400" cy="95250"/>
              <wp:effectExtent b="0" l="0" r="0" t="0"/>
              <wp:wrapNone/>
              <wp:docPr id="1"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7772400" cy="9525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D">
    <w:pPr>
      <w:rPr/>
    </w:pPr>
    <w:r w:rsidDel="00000000" w:rsidR="00000000" w:rsidRPr="00000000">
      <w:rPr>
        <w:rtl w:val="0"/>
      </w:rPr>
    </w:r>
  </w:p>
</w:hdr>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1440"/>
      </w:pPr>
      <w:rPr>
        <w:u w:val="none"/>
      </w:rPr>
    </w:lvl>
    <w:lvl w:ilvl="1">
      <w:start w:val="1"/>
      <w:numFmt w:val="bullet"/>
      <w:lvlText w:val="○"/>
      <w:lvlJc w:val="left"/>
      <w:pPr>
        <w:ind w:hanging="360" w:left="2160"/>
      </w:pPr>
      <w:rPr>
        <w:u w:val="none"/>
      </w:rPr>
    </w:lvl>
    <w:lvl w:ilvl="2">
      <w:start w:val="1"/>
      <w:numFmt w:val="bullet"/>
      <w:lvlText w:val="■"/>
      <w:lvlJc w:val="left"/>
      <w:pPr>
        <w:ind w:hanging="360" w:left="2880"/>
      </w:pPr>
      <w:rPr>
        <w:u w:val="none"/>
      </w:rPr>
    </w:lvl>
    <w:lvl w:ilvl="3">
      <w:start w:val="1"/>
      <w:numFmt w:val="bullet"/>
      <w:lvlText w:val="●"/>
      <w:lvlJc w:val="left"/>
      <w:pPr>
        <w:ind w:hanging="360" w:left="3600"/>
      </w:pPr>
      <w:rPr>
        <w:u w:val="none"/>
      </w:rPr>
    </w:lvl>
    <w:lvl w:ilvl="4">
      <w:start w:val="1"/>
      <w:numFmt w:val="bullet"/>
      <w:lvlText w:val="○"/>
      <w:lvlJc w:val="left"/>
      <w:pPr>
        <w:ind w:hanging="360" w:left="4320"/>
      </w:pPr>
      <w:rPr>
        <w:u w:val="none"/>
      </w:rPr>
    </w:lvl>
    <w:lvl w:ilvl="5">
      <w:start w:val="1"/>
      <w:numFmt w:val="bullet"/>
      <w:lvlText w:val="■"/>
      <w:lvlJc w:val="left"/>
      <w:pPr>
        <w:ind w:hanging="360" w:left="5040"/>
      </w:pPr>
      <w:rPr>
        <w:u w:val="none"/>
      </w:rPr>
    </w:lvl>
    <w:lvl w:ilvl="6">
      <w:start w:val="1"/>
      <w:numFmt w:val="bullet"/>
      <w:lvlText w:val="●"/>
      <w:lvlJc w:val="left"/>
      <w:pPr>
        <w:ind w:hanging="360" w:left="5760"/>
      </w:pPr>
      <w:rPr>
        <w:u w:val="none"/>
      </w:rPr>
    </w:lvl>
    <w:lvl w:ilvl="7">
      <w:start w:val="1"/>
      <w:numFmt w:val="bullet"/>
      <w:lvlText w:val="○"/>
      <w:lvlJc w:val="left"/>
      <w:pPr>
        <w:ind w:hanging="360" w:left="6480"/>
      </w:pPr>
      <w:rPr>
        <w:u w:val="none"/>
      </w:rPr>
    </w:lvl>
    <w:lvl w:ilvl="8">
      <w:start w:val="1"/>
      <w:numFmt w:val="bullet"/>
      <w:lvlText w:val="■"/>
      <w:lvlJc w:val="left"/>
      <w:pPr>
        <w:ind w:hanging="360" w:left="7200"/>
      </w:pPr>
      <w:rPr>
        <w:u w:val="none"/>
      </w:rPr>
    </w:lvl>
  </w:abstractNum>
  <w:abstractNum w:abstractNumId="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abstractNumId="4">
    <w:lvl w:ilvl="0">
      <w:start w:val="1"/>
      <w:numFmt w:val="bullet"/>
      <w:lvlText w:val="●"/>
      <w:lvlJc w:val="left"/>
      <w:pPr>
        <w:ind w:hanging="360" w:left="1440"/>
      </w:pPr>
      <w:rPr>
        <w:u w:val="none"/>
      </w:rPr>
    </w:lvl>
    <w:lvl w:ilvl="1">
      <w:start w:val="1"/>
      <w:numFmt w:val="bullet"/>
      <w:lvlText w:val="○"/>
      <w:lvlJc w:val="left"/>
      <w:pPr>
        <w:ind w:hanging="360" w:left="2160"/>
      </w:pPr>
      <w:rPr>
        <w:u w:val="none"/>
      </w:rPr>
    </w:lvl>
    <w:lvl w:ilvl="2">
      <w:start w:val="1"/>
      <w:numFmt w:val="bullet"/>
      <w:lvlText w:val="■"/>
      <w:lvlJc w:val="left"/>
      <w:pPr>
        <w:ind w:hanging="360" w:left="2880"/>
      </w:pPr>
      <w:rPr>
        <w:u w:val="none"/>
      </w:rPr>
    </w:lvl>
    <w:lvl w:ilvl="3">
      <w:start w:val="1"/>
      <w:numFmt w:val="bullet"/>
      <w:lvlText w:val="●"/>
      <w:lvlJc w:val="left"/>
      <w:pPr>
        <w:ind w:hanging="360" w:left="3600"/>
      </w:pPr>
      <w:rPr>
        <w:u w:val="none"/>
      </w:rPr>
    </w:lvl>
    <w:lvl w:ilvl="4">
      <w:start w:val="1"/>
      <w:numFmt w:val="bullet"/>
      <w:lvlText w:val="○"/>
      <w:lvlJc w:val="left"/>
      <w:pPr>
        <w:ind w:hanging="360" w:left="4320"/>
      </w:pPr>
      <w:rPr>
        <w:u w:val="none"/>
      </w:rPr>
    </w:lvl>
    <w:lvl w:ilvl="5">
      <w:start w:val="1"/>
      <w:numFmt w:val="bullet"/>
      <w:lvlText w:val="■"/>
      <w:lvlJc w:val="left"/>
      <w:pPr>
        <w:ind w:hanging="360" w:left="5040"/>
      </w:pPr>
      <w:rPr>
        <w:u w:val="none"/>
      </w:rPr>
    </w:lvl>
    <w:lvl w:ilvl="6">
      <w:start w:val="1"/>
      <w:numFmt w:val="bullet"/>
      <w:lvlText w:val="●"/>
      <w:lvlJc w:val="left"/>
      <w:pPr>
        <w:ind w:hanging="360" w:left="5760"/>
      </w:pPr>
      <w:rPr>
        <w:u w:val="none"/>
      </w:rPr>
    </w:lvl>
    <w:lvl w:ilvl="7">
      <w:start w:val="1"/>
      <w:numFmt w:val="bullet"/>
      <w:lvlText w:val="○"/>
      <w:lvlJc w:val="left"/>
      <w:pPr>
        <w:ind w:hanging="360" w:left="6480"/>
      </w:pPr>
      <w:rPr>
        <w:u w:val="none"/>
      </w:rPr>
    </w:lvl>
    <w:lvl w:ilvl="8">
      <w:start w:val="1"/>
      <w:numFmt w:val="bullet"/>
      <w:lvlText w:val="■"/>
      <w:lvlJc w:val="left"/>
      <w:pPr>
        <w:ind w:hanging="360" w:left="7200"/>
      </w:pPr>
      <w:rPr>
        <w:u w:val="none"/>
      </w:rPr>
    </w:lvl>
  </w:abstractNum>
  <w:abstractNum w:abstractNumId="5">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abstractNumId="6">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abstractNumId="7">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abstractNumId="8">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0">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abstractNumId="11">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abstractNumId="1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3">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abstractNumId="1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5">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6">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7">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rPr>
    </w:rPrDefault>
    <w:pPrDefault>
      <w:pPr>
        <w:spacing w:line="276" w:lineRule="auto"/>
        <w:jc w:val="both"/>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pPr>
      <w:spacing w:after="120" w:before="120"/>
    </w:pPr>
  </w:style>
  <w:style w:styleId="Heading1" w:type="paragraph">
    <w:name w:val="heading 1"/>
    <w:basedOn w:val="Normal"/>
    <w:next w:val="Normal"/>
    <w:pPr>
      <w:pageBreakBefore/>
      <w:spacing w:after="200" w:before="360" w:lineRule="auto"/>
    </w:pPr>
    <w:rPr>
      <w:b w:val="1"/>
      <w:bCs w:val="1"/>
      <w:color w:val="4d4e4f"/>
      <w:sz w:val="36"/>
      <w:szCs w:val="36"/>
    </w:rPr>
  </w:style>
  <w:style w:styleId="Heading2" w:type="paragraph">
    <w:name w:val="heading 2"/>
    <w:basedOn w:val="Normal"/>
    <w:next w:val="Normal"/>
    <w:pPr>
      <w:spacing w:after="80" w:before="240" w:lineRule="auto"/>
    </w:pPr>
    <w:rPr>
      <w:b w:val="1"/>
      <w:bCs w:val="1"/>
      <w:color w:val="c2273d"/>
      <w:sz w:val="26"/>
      <w:szCs w:val="26"/>
    </w:rPr>
  </w:style>
  <w:style w:styleId="Heading3" w:type="paragraph">
    <w:name w:val="heading 3"/>
    <w:basedOn w:val="Normal"/>
    <w:next w:val="Normal"/>
    <w:pPr>
      <w:spacing w:after="60" w:before="160" w:line="240" w:lineRule="auto"/>
      <w:jc w:val="left"/>
    </w:pPr>
    <w:rPr>
      <w:b w:val="1"/>
      <w:bCs w:val="1"/>
      <w:color w:val="4d4e4f"/>
    </w:rPr>
  </w:style>
  <w:style w:styleId="Heading4" w:type="paragraph">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styleId="Heading5" w:type="paragraph">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styleId="Heading6" w:type="paragraph">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firstLine="0" w:left="0" w:right="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styleId="Title" w:type="paragraph">
    <w:name w:val="Title"/>
    <w:basedOn w:val="Normal"/>
    <w:next w:val="Normal"/>
    <w:pPr>
      <w:spacing w:after="80" w:lineRule="auto"/>
      <w:jc w:val="left"/>
    </w:pPr>
    <w:rPr>
      <w:b w:val="1"/>
      <w:bCs w:val="1"/>
      <w:color w:val="4d4e4f"/>
      <w:sz w:val="64"/>
      <w:szCs w:val="64"/>
    </w:rPr>
  </w:style>
  <w:style w:styleId="Subtitle" w:type="paragraph">
    <w:name w:val="Subtitle"/>
    <w:basedOn w:val="Normal"/>
    <w:next w:val="Normal"/>
    <w:pPr>
      <w:keepNext w:val="1"/>
      <w:keepLines w:val="1"/>
    </w:pPr>
    <w:rPr>
      <w:color w:val="666666"/>
      <w:sz w:val="32"/>
      <w:szCs w:val="32"/>
    </w:rPr>
  </w:style>
  <w:style w:styleId="Table1" w:type="table">
    <w:basedOn w:val="TableNormal"/>
    <w:tblPr>
      <w:tblStyleRowBandSize w:val="1"/>
      <w:tblStyleColBandSize w:val="1"/>
      <w:tblCellMar>
        <w:top w:type="dxa" w:w="0.0"/>
        <w:left w:type="dxa" w:w="115.0"/>
        <w:bottom w:type="dxa" w:w="0.0"/>
        <w:right w:type="dxa" w:w="115.0"/>
      </w:tblCellMar>
    </w:tblPr>
  </w:style>
  <w:style w:styleId="Table2" w:type="table">
    <w:basedOn w:val="TableNormal"/>
    <w:tblPr>
      <w:tblStyleRowBandSize w:val="1"/>
      <w:tblStyleColBandSize w:val="1"/>
    </w:tblPr>
  </w:style>
  <w:style w:styleId="Table3" w:type="table">
    <w:basedOn w:val="TableNormal"/>
    <w:tblPr>
      <w:tblStyleRowBandSize w:val="1"/>
      <w:tblStyleColBandSize w:val="1"/>
    </w:tblPr>
  </w:style>
  <w:style w:styleId="Table4" w:type="table">
    <w:basedOn w:val="TableNormal"/>
    <w:tblPr>
      <w:tblStyleRowBandSize w:val="1"/>
      <w:tblStyleColBandSize w:val="1"/>
    </w:tblPr>
  </w:style>
  <w:style w:styleId="Table5" w:type="table">
    <w:basedOn w:val="TableNormal"/>
    <w:tblPr>
      <w:tblStyleRowBandSize w:val="1"/>
      <w:tblStyleColBandSize w:val="1"/>
    </w:tblPr>
  </w:style>
  <w:style w:styleId="Table6" w:type="table">
    <w:basedOn w:val="TableNormal"/>
    <w:tblPr>
      <w:tblStyleRowBandSize w:val="1"/>
      <w:tblStyleColBandSize w:val="1"/>
    </w:tblPr>
  </w:style>
  <w:style w:customStyle="1" w:styleId="SourceCode" w:type="paragraph">
    <w:name w:val="Source Code"/>
    <w:basedOn w:val="Normal"/>
    <w:pPr>
      <w:keepLines/>
      <w:shd w:color="auto" w:fill="F6F8FA" w:val="clear"/>
      <w:spacing w:after="20" w:before="20" w:line="240" w:lineRule="auto"/>
    </w:pPr>
    <w:rPr>
      <w:rFonts w:ascii="Consolas" w:cs="Consolas" w:hAnsi="Consolas"/>
      <w:sz w:val="18"/>
      <w:szCs w:val="18"/>
    </w:rPr>
  </w:style>
  <w:style w:customStyle="1" w:styleId="VerbatimChar" w:type="character">
    <w:name w:val="Verbatim Char"/>
    <w:rPr>
      <w:rFonts w:ascii="Consolas" w:cs="Consolas" w:hAnsi="Consolas"/>
      <w:shd w:color="auto" w:fill="F0F0F0" w:val="clear"/>
      <w:sz w:val="18"/>
      <w:szCs w:val="18"/>
    </w:rPr>
  </w:style>
  <w:style w:customStyle="1" w:styleId="Compact" w:type="paragraph">
    <w:name w:val="Compact"/>
    <w:basedOn w:val="Normal"/>
    <w:pPr>
      <w:spacing w:after="0" w:before="0"/>
    </w:pPr>
  </w:style>
  <w:style w:styleId="Table" w:type="table">
    <w:name w:val="Table"/>
    <w:basedOn w:val="TableNormal"/>
    <w:tblPr>
      <w:tblBorders>
        <w:top w:color="BFBFBF" w:sz="4" w:val="single"/>
        <w:left w:color="BFBFBF" w:sz="4" w:val="single"/>
        <w:bottom w:color="BFBFBF" w:sz="4" w:val="single"/>
        <w:right w:color="BFBFBF" w:sz="4" w:val="single"/>
        <w:insideH w:color="BFBFBF" w:sz="4" w:val="single"/>
        <w:insideV w:color="BFBFBF" w:sz="4" w:val="single"/>
      </w:tblBorders>
      <w:tblCellMar>
        <w:left w:type="dxa" w:w="108"/>
        <w:right w:type="dxa" w:w="108"/>
      </w:tblCellMar>
    </w:tblPr>
    <w:tblStylePr w:type="firstRow">
      <w:rPr>
        <w:b/>
        <w:color w:val="FFFFFF"/>
      </w:rPr>
      <w:tcPr>
        <w:shd w:color="auto" w:fill="434343" w:val="clear"/>
      </w:tcPr>
    </w:tblStyle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25" Target="numbering.xml" /><Relationship Type="http://schemas.openxmlformats.org/officeDocument/2006/relationships/styles" Id="rId24" Target="styles.xml" /><Relationship Type="http://schemas.openxmlformats.org/officeDocument/2006/relationships/settings" Id="rId23" Target="settings.xml" /><Relationship Type="http://schemas.openxmlformats.org/officeDocument/2006/relationships/webSettings" Id="rId22" Target="webSettings.xml" /><Relationship Type="http://schemas.openxmlformats.org/officeDocument/2006/relationships/fontTable" Id="rId21" Target="fontTable.xml" /><Relationship Type="http://schemas.openxmlformats.org/officeDocument/2006/relationships/theme" Id="rId20" Target="theme/theme1.xml" /><Relationship Type="http://schemas.openxmlformats.org/officeDocument/2006/relationships/footnotes" Id="rId19" Target="footnotes.xml" /><Relationship Type="http://schemas.openxmlformats.org/officeDocument/2006/relationships/comments" Id="rId18" Target="comments.xml" /><Relationship Id="rId10" Target="media/image5.png" Type="http://schemas.openxmlformats.org/officeDocument/2006/relationships/image" /><Relationship Id="rId15" Target="header2.xml" Type="http://schemas.openxmlformats.org/officeDocument/2006/relationships/header" /><Relationship Id="rId14" Target="header1.xml" Type="http://schemas.openxmlformats.org/officeDocument/2006/relationships/header" /><Relationship Id="rId17" Target="footer1.xml" Type="http://schemas.openxmlformats.org/officeDocument/2006/relationships/footer" /><Relationship Id="rId16" Target="footer2.xml" Type="http://schemas.openxmlformats.org/officeDocument/2006/relationships/footer" /><Relationship Id="rId6" Target="media/image1.png" Type="http://schemas.openxmlformats.org/officeDocument/2006/relationships/image" /><Relationship Id="rId7" Target="media/image4.png" Type="http://schemas.openxmlformats.org/officeDocument/2006/relationships/image"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34" Target="media/rId34.png" /><Relationship Type="http://schemas.openxmlformats.org/officeDocument/2006/relationships/image" Id="rId31" Target="media/rId31.png" /><Relationship Type="http://schemas.openxmlformats.org/officeDocument/2006/relationships/image" Id="rId37" Target="media/rId37.png" /><Relationship Type="http://schemas.openxmlformats.org/officeDocument/2006/relationships/image" Id="rId28" Target="media/rId28.png" /><Relationship Type="http://schemas.openxmlformats.org/officeDocument/2006/relationships/hyperlink" Id="rId26" Target="mailto:jose.santiago@ryndem.mx" TargetMode="External" /><Relationship Type="http://schemas.openxmlformats.org/officeDocument/2006/relationships/hyperlink" Id="rId27" Target="mailto:juan.garcia@ryndem.mx" TargetMode="External" /></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footnotes.xml.rels><?xml version="1.0" encoding="UTF-8"?><Relationships xmlns="http://schemas.openxmlformats.org/package/2006/relationships"><Relationship Type="http://schemas.openxmlformats.org/officeDocument/2006/relationships/hyperlink" Id="rId26" Target="mailto:jose.santiago@ryndem.mx" TargetMode="External" /><Relationship Type="http://schemas.openxmlformats.org/officeDocument/2006/relationships/hyperlink" Id="rId27" Target="mailto:juan.garcia@ryndem.mx" TargetMode="External" /></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2026-08-05T17:17:42Z</dcterms:created>
  <dcterms:modified xsi:type="dcterms:W3CDTF">2026-08-05T17:17:42Z</dcterms:modified>
</cp:coreProperties>
</file>

<file path=docProps/custom.xml><?xml version="1.0" encoding="utf-8"?>
<Properties xmlns="http://schemas.openxmlformats.org/officeDocument/2006/custom-properties" xmlns:vt="http://schemas.openxmlformats.org/officeDocument/2006/docPropsVTypes"/>
</file>