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28.png" ContentType="image/png"/>
  <Override PartName="/word/media/image3.png" ContentType="image/png"/>
  <Override PartName="/word/media/image1.png" ContentType="image/png"/>
  <Override PartName="/word/media/image5.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b/>
          <w:bCs/>
        </w:rPr>
        <w:t xml:space="preserve">Diseño de la solución</w:t>
      </w:r>
    </w:p>
    <w:p>
      <w:pPr>
        <w:pStyle w:val="Heading2"/>
      </w:pPr>
      <w:r>
        <w:t xml:space="preserve">Requisito R16A-RE-FU-021 — Factura México</w:t>
      </w:r>
    </w:p>
    <w:p>
      <w:pPr>
        <w:pStyle w:val="FirstParagraph"/>
      </w:pPr>
      <w:r>
        <w:t xml:space="preserve">**Maquetación del PDF de la Factura CFDI 4.0 México (post-timbrado) en Document Builder (familia de plantillas _MEX_FAC)**</w:t>
      </w:r>
    </w:p>
    <w:tbl>
      <w:tblPr>
        <w:tblStyle w:val="Table"/>
        <w:tblW w:type="pct" w:w="5000"/>
        <w:tblLayout w:type="fixed"/>
        <w:tblLook w:firstRow="1" w:lastRow="0" w:firstColumn="0" w:lastColumn="0" w:noHBand="0" w:noVBand="0" w:val="0020"/>
      </w:tblPr>
      <w:tblGrid>
        <w:gridCol w:w="3341"/>
        <w:gridCol w:w="6019"/>
      </w:tblGrid>
      <w:tr>
        <w:trPr>
          <w:tblHeader w:val="on"/>
        </w:trPr>
        <w:tc>
          <w:tcPr>
            <w:tcW w:w="3341" w:type="dxa"/>
            <w:shd w:val="clear" w:color="auto" w:fill="434343"/>
          </w:tcPr>
          <w:p>
            <w:pPr>
              <w:pStyle w:val="Compact"/>
              <w:jc w:val="left"/>
            </w:pPr>
            <w:r>
              <w:rPr>
                <w:b/>
                <w:color w:val="FFFFFF"/>
              </w:rPr>
              <w:t xml:space="preserve">FORMATO</w:t>
            </w:r>
          </w:p>
        </w:tc>
        <w:tc>
          <w:tcPr>
            <w:tcW w:w="6019" w:type="dxa"/>
            <w:shd w:val="clear" w:color="auto" w:fill="434343"/>
          </w:tcPr>
          <w:p>
            <w:pPr>
              <w:pStyle w:val="Compact"/>
              <w:jc w:val="left"/>
            </w:pPr>
            <w:r>
              <w:rPr>
                <w:b/>
                <w:color w:val="FFFFFF"/>
              </w:rPr>
              <w:t xml:space="preserve">Arquitectura</w:t>
            </w:r>
          </w:p>
        </w:tc>
      </w:tr>
      <w:tr>
        <w:tc>
          <w:tcPr>
            <w:tcW w:w="3341" w:type="dxa"/>
          </w:tcPr>
          <w:tcPr/>
          <w:p>
            <w:pPr>
              <w:pStyle w:val="Compact"/>
              <w:jc w:val="left"/>
            </w:pPr>
            <w:r>
              <w:rPr>
                <w:b/>
                <w:bCs/>
              </w:rPr>
              <w:t xml:space="preserve">PROYECTO</w:t>
            </w:r>
          </w:p>
        </w:tc>
        <w:tc>
          <w:tcPr>
            <w:tcW w:w="6019" w:type="dxa"/>
          </w:tcPr>
          <w:tcPr/>
          <w:p>
            <w:pPr>
              <w:pStyle w:val="Compact"/>
              <w:jc w:val="left"/>
            </w:pPr>
            <w:r>
              <w:t xml:space="preserve">R16 - Adquisiciones</w:t>
            </w:r>
          </w:p>
        </w:tc>
      </w:tr>
      <w:tr>
        <w:tc>
          <w:tcPr>
            <w:tcW w:w="3341" w:type="dxa"/>
          </w:tcPr>
          <w:tcPr/>
          <w:p>
            <w:pPr>
              <w:pStyle w:val="Compact"/>
              <w:jc w:val="left"/>
            </w:pPr>
            <w:r>
              <w:rPr>
                <w:b/>
                <w:bCs/>
              </w:rPr>
              <w:t xml:space="preserve">REFERENCIA</w:t>
            </w:r>
          </w:p>
        </w:tc>
        <w:tc>
          <w:tcPr>
            <w:tcW w:w="6019" w:type="dxa"/>
          </w:tcPr>
          <w:tcPr/>
          <w:p>
            <w:pPr>
              <w:pStyle w:val="Compact"/>
              <w:jc w:val="left"/>
            </w:pPr>
            <w:r>
              <w:t xml:space="preserve">AUI-FOR-01</w:t>
            </w:r>
          </w:p>
        </w:tc>
      </w:tr>
      <w:tr>
        <w:tc>
          <w:tcPr>
            <w:tcW w:w="3341" w:type="dxa"/>
          </w:tcPr>
          <w:tcPr/>
          <w:p>
            <w:pPr>
              <w:pStyle w:val="Compact"/>
              <w:jc w:val="left"/>
            </w:pPr>
            <w:r>
              <w:rPr>
                <w:b/>
                <w:bCs/>
              </w:rPr>
              <w:t xml:space="preserve">VERSIÓN</w:t>
            </w:r>
          </w:p>
        </w:tc>
        <w:tc>
          <w:tcPr>
            <w:tcW w:w="6019" w:type="dxa"/>
          </w:tcPr>
          <w:tcPr/>
          <w:p>
            <w:pPr>
              <w:pStyle w:val="Compact"/>
              <w:jc w:val="left"/>
            </w:pPr>
            <w:r>
              <w:t xml:space="preserve">1.0</w:t>
            </w:r>
          </w:p>
        </w:tc>
      </w:tr>
      <w:tr>
        <w:tc>
          <w:tcPr>
            <w:tcW w:w="3341" w:type="dxa"/>
          </w:tcPr>
          <w:tcPr/>
          <w:p>
            <w:pPr>
              <w:pStyle w:val="Compact"/>
              <w:jc w:val="left"/>
            </w:pPr>
            <w:r>
              <w:rPr>
                <w:b/>
                <w:bCs/>
              </w:rPr>
              <w:t xml:space="preserve">FECHA</w:t>
            </w:r>
          </w:p>
        </w:tc>
        <w:tc>
          <w:tcPr>
            <w:tcW w:w="6019" w:type="dxa"/>
          </w:tcPr>
          <w:tcPr/>
          <w:p>
            <w:pPr>
              <w:pStyle w:val="Compact"/>
              <w:jc w:val="left"/>
            </w:pPr>
            <w:r>
              <w:t xml:space="preserve">15 jul 2026</w:t>
            </w:r>
          </w:p>
        </w:tc>
      </w:tr>
      <w:tr>
        <w:tc>
          <w:tcPr>
            <w:tcW w:w="3341" w:type="dxa"/>
          </w:tcPr>
          <w:tcPr/>
          <w:p>
            <w:pPr>
              <w:pStyle w:val="Compact"/>
              <w:jc w:val="left"/>
            </w:pPr>
            <w:r>
              <w:rPr>
                <w:b/>
                <w:bCs/>
              </w:rPr>
              <w:t xml:space="preserve">AUTOR</w:t>
            </w:r>
          </w:p>
        </w:tc>
        <w:tc>
          <w:tcPr>
            <w:tcW w:w="6019" w:type="dxa"/>
          </w:tcPr>
          <w:tcPr/>
          <w:p>
            <w:pPr>
              <w:pStyle w:val="Compact"/>
              <w:jc w:val="left"/>
            </w:pPr>
            <w:hyperlink r:id="rId26">
              <w:r>
                <w:rPr>
                  <w:rStyle w:val="Hyperlink"/>
                </w:rPr>
                <w:t xml:space="preserve">Jose Armando Santiago Lorenzo</w:t>
              </w:r>
            </w:hyperlink>
          </w:p>
        </w:tc>
      </w:tr>
      <w:tr>
        <w:tc>
          <w:tcPr>
            <w:tcW w:w="3341" w:type="dxa"/>
          </w:tcPr>
          <w:tcPr/>
          <w:p>
            <w:pPr>
              <w:pStyle w:val="Compact"/>
              <w:jc w:val="left"/>
            </w:pPr>
            <w:r>
              <w:rPr>
                <w:b/>
                <w:bCs/>
              </w:rPr>
              <w:t xml:space="preserve">REVISOR</w:t>
            </w:r>
          </w:p>
        </w:tc>
        <w:tc>
          <w:tcPr>
            <w:tcW w:w="6019" w:type="dxa"/>
          </w:tcPr>
          <w:tcPr/>
          <w:p>
            <w:pPr>
              <w:pStyle w:val="Compact"/>
              <w:jc w:val="left"/>
            </w:pPr>
            <w:hyperlink r:id="rId27">
              <w:r>
                <w:rPr>
                  <w:rStyle w:val="Hyperlink"/>
                </w:rPr>
                <w:t xml:space="preserve">Alan Fernandez Garcia</w:t>
              </w:r>
            </w:hyperlink>
          </w:p>
        </w:tc>
      </w:tr>
    </w:tbl>
    <w:p>
      <w:pPr>
        <w:pStyle w:val="Heading1"/>
      </w:pPr>
      <w:r>
        <w:rPr>
          <w:b/>
          <w:bCs/>
        </w:rPr>
        <w:t xml:space="preserve">Importante</w:t>
      </w:r>
    </w:p>
    <w:p>
      <w:pPr>
        <w:pStyle w:val="FirstParagraph"/>
      </w:pPr>
      <w:r>
        <w:t xml:space="preserve">Posterior a este diseño, ¿cómo saber si el diseño de la solución al requisito está completo para que el programador inicie con el desarrollo?</w:t>
      </w:r>
      <w:r>
        <w:t xml:space="preserve"> </w:t>
      </w:r>
      <w:r>
        <w:t xml:space="preserve">Hazte estas preguntas rápidas:</w:t>
      </w:r>
    </w:p>
    <w:p>
      <w:pPr>
        <w:pStyle w:val="Compact"/>
        <w:numPr>
          <w:ilvl w:val="0"/>
          <w:numId w:val="1001"/>
        </w:numPr>
      </w:pPr>
      <w:r>
        <w:t xml:space="preserve">¿El programador sabe qué flujo implementar?</w:t>
      </w:r>
    </w:p>
    <w:p>
      <w:pPr>
        <w:pStyle w:val="Compact"/>
        <w:numPr>
          <w:ilvl w:val="0"/>
          <w:numId w:val="1001"/>
        </w:numPr>
      </w:pPr>
      <w:r>
        <w:t xml:space="preserve">¿Sabe qué pasa si algo falla?</w:t>
      </w:r>
    </w:p>
    <w:p>
      <w:pPr>
        <w:pStyle w:val="Compact"/>
        <w:numPr>
          <w:ilvl w:val="0"/>
          <w:numId w:val="1001"/>
        </w:numPr>
      </w:pPr>
      <w:r>
        <w:t xml:space="preserve">¿Sabe qué reglas no puede romper?</w:t>
      </w:r>
    </w:p>
    <w:p>
      <w:pPr>
        <w:pStyle w:val="Compact"/>
        <w:numPr>
          <w:ilvl w:val="0"/>
          <w:numId w:val="1001"/>
        </w:numPr>
      </w:pPr>
      <w:r>
        <w:t xml:space="preserve">¿Sabe qué pruebas debe pasar?</w:t>
      </w:r>
    </w:p>
    <w:p>
      <w:pPr>
        <w:pStyle w:val="Compact"/>
        <w:numPr>
          <w:ilvl w:val="0"/>
          <w:numId w:val="1001"/>
        </w:numPr>
      </w:pPr>
      <w:r>
        <w:t xml:space="preserve">¿Sabe dónde impacta?</w:t>
      </w:r>
    </w:p>
    <w:p>
      <w:pPr>
        <w:pStyle w:val="FirstParagraph"/>
      </w:pPr>
      <w:r>
        <w:rPr>
          <w:i/>
          <w:iCs/>
        </w:rPr>
        <w:t xml:space="preserve">Nota: Este documento es una propuesta basada en el estándar IEEE 1016</w:t>
      </w:r>
      <w:r>
        <w:rPr>
          <w:i/>
          <w:iCs/>
        </w:rPr>
        <w:t xml:space="preserve"> </w:t>
      </w:r>
      <w:r>
        <w:rPr>
          <w:i/>
          <w:iCs/>
        </w:rPr>
        <w:t xml:space="preserve">“Software Design Description”</w:t>
      </w:r>
      <w:r>
        <w:rPr>
          <w:i/>
          <w:iCs/>
        </w:rPr>
        <w:t xml:space="preserve"> </w:t>
      </w:r>
      <w:r>
        <w:rPr>
          <w:i/>
          <w:iCs/>
        </w:rPr>
        <w:t xml:space="preserve">que va permitir abarcar los puntos más importantes para el diseño del requisito que se está trabajando. Se debe administrar el tiempo que se tiene de diseño para que se complete de la mejor manera considerando todos los detalles técnicos.</w:t>
      </w:r>
    </w:p>
    <w:p>
      <w:pPr>
        <w:pStyle w:val="Heading1"/>
      </w:pPr>
      <w:r>
        <w:rPr>
          <w:b/>
          <w:bCs/>
        </w:rPr>
        <w:t xml:space="preserve">Introducción</w:t>
      </w:r>
    </w:p>
    <w:p>
      <w:pPr>
        <w:pStyle w:val="Heading2"/>
      </w:pPr>
      <w:r>
        <w:rPr>
          <w:b/>
          <w:bCs/>
        </w:rPr>
        <w:t xml:space="preserve">Propósito del documento</w:t>
      </w:r>
    </w:p>
    <w:p>
      <w:pPr>
        <w:pStyle w:val="FirstParagraph"/>
      </w:pPr>
      <w:r>
        <w:t xml:space="preserve">El propósito de este documento es definir el diseño de la solución técnica para la maquetación del PDF de la Factura México CFDI 4.0 (R16A-RE-FU-021) en el motor de renderizado DocumentBuilder: la creación de una familia de plantilla _MEX_FAC por cada empresa emisora del grupo PROQUIFA México, y las secciones visuales que componen el documento. Es hermano de la Proforma México (R16A-RE-FU-016) — comparte motor de render, flujo de maquetación y paradigma de diseño (recibimos todo string, la plantilla solo pinta) — pero es un documento</w:t>
      </w:r>
      <w:r>
        <w:t xml:space="preserve"> </w:t>
      </w:r>
      <w:r>
        <w:rPr>
          <w:b/>
          <w:bCs/>
        </w:rPr>
        <w:t xml:space="preserve">post-timbrado</w:t>
      </w:r>
      <w:r>
        <w:t xml:space="preserve">: a diferencia de la Proforma (pre-fiscal), trae elementos que solo existen tras el timbrado ante el PAC (TurboPac): Folio Fiscal (UUID), sellos digitales SAT y CFDI, cadena original, números de serie de certificados y código QR.</w:t>
      </w:r>
    </w:p>
    <w:p>
      <w:pPr>
        <w:pStyle w:val="BodyText"/>
      </w:pPr>
      <w:r>
        <w:rPr>
          <w:b/>
          <w:bCs/>
        </w:rPr>
        <w:t xml:space="preserve">Nota:</w:t>
      </w:r>
      <w:r>
        <w:t xml:space="preserve"> </w:t>
      </w:r>
      <w:r>
        <w:t xml:space="preserve">este documento se enfoca en el diseño visual del PDF (maqueta HTML/CSS/Scriban en Document Builder). La generación del contrato de datos, el timbrado ante el PAC, la persistencia y los endpoints son responsabilidad del Back-end (ticket R16A-127, Cristóbal S. García Coss) y no se rediseñan aquí —</w:t>
      </w:r>
      <w:r>
        <w:t xml:space="preserve"> </w:t>
      </w:r>
      <w:r>
        <w:rPr>
          <w:b/>
          <w:bCs/>
        </w:rPr>
        <w:t xml:space="preserve">aún no existe diseño de back para este requisito</w:t>
      </w:r>
      <w:r>
        <w:t xml:space="preserve">. La plantilla es render puro: no contiene lógica de negocio, imprime literalmente lo que llega en el diccionario de datos. El contrato InvoiceDocumentDto propuesto es</w:t>
      </w:r>
      <w:r>
        <w:t xml:space="preserve"> </w:t>
      </w:r>
      <w:r>
        <w:rPr>
          <w:b/>
          <w:bCs/>
        </w:rPr>
        <w:t xml:space="preserve">propiedad del front</w:t>
      </w:r>
      <w:r>
        <w:t xml:space="preserve"> </w:t>
      </w:r>
      <w:r>
        <w:t xml:space="preserve">y se negociará con Back-end cuando exista su diseño.</w:t>
      </w:r>
    </w:p>
    <w:p>
      <w:pPr>
        <w:pStyle w:val="Heading2"/>
      </w:pPr>
      <w:r>
        <w:rPr>
          <w:b/>
          <w:bCs/>
        </w:rPr>
        <w:t xml:space="preserve">Alcance</w:t>
      </w:r>
    </w:p>
    <w:p>
      <w:pPr>
        <w:pStyle w:val="Heading3"/>
      </w:pPr>
      <w:r>
        <w:rPr>
          <w:b/>
          <w:bCs/>
        </w:rPr>
        <w:t xml:space="preserve">Específicamente incluye:</w:t>
      </w:r>
    </w:p>
    <w:p>
      <w:pPr>
        <w:pStyle w:val="Compact"/>
        <w:numPr>
          <w:ilvl w:val="0"/>
          <w:numId w:val="1002"/>
        </w:numPr>
      </w:pPr>
      <w:r>
        <w:t xml:space="preserve">Creación de **4 familias de plantilla _MEX_FAC** en DocumentBuilder/API/Resources/Templates/: GOL_MEX_FAC (Golocaer), MUN_MEX_FAC (Mungen), PQF_MEX_FAC (Proveedora Químico Farmacéutica) y PRO_MEX_FAC (Proquifa), siguiendo la convención ya usada por _COT y _PED. Familia</w:t>
      </w:r>
      <w:r>
        <w:t xml:space="preserve"> </w:t>
      </w:r>
      <w:r>
        <w:rPr>
          <w:b/>
          <w:bCs/>
        </w:rPr>
        <w:t xml:space="preserve">nueva desde cero</w:t>
      </w:r>
      <w:r>
        <w:t xml:space="preserve">: no hay plantilla _FAC heredada del sistema actual que se tome como base.</w:t>
      </w:r>
    </w:p>
    <w:p>
      <w:pPr>
        <w:pStyle w:val="Compact"/>
        <w:numPr>
          <w:ilvl w:val="0"/>
          <w:numId w:val="1002"/>
        </w:numPr>
      </w:pPr>
      <w:r>
        <w:t xml:space="preserve">Maquetación HTML/CSS de las secciones visuales del documento (comprobante, emisor, receptor, partidas, referencias bancarias, totales/impuestos, elementos técnicos SAT, pie legal) — verificadas contra las</w:t>
      </w:r>
      <w:r>
        <w:t xml:space="preserve"> </w:t>
      </w:r>
      <w:r>
        <w:rPr>
          <w:b/>
          <w:bCs/>
        </w:rPr>
        <w:t xml:space="preserve">4 facturas CFDI reales</w:t>
      </w:r>
      <w:r>
        <w:t xml:space="preserve"> </w:t>
      </w:r>
      <w:r>
        <w:t xml:space="preserve">recibidas del cliente (folios 2374 Mungen, 7156 Golocaer, 20913 Proquifa, 143103 Proveedora Químico Farmacéutica).</w:t>
      </w:r>
    </w:p>
    <w:p>
      <w:pPr>
        <w:pStyle w:val="Compact"/>
        <w:numPr>
          <w:ilvl w:val="0"/>
          <w:numId w:val="1002"/>
        </w:numPr>
      </w:pPr>
      <w:r>
        <w:t xml:space="preserve">Un único diseño que cubre</w:t>
      </w:r>
      <w:r>
        <w:t xml:space="preserve"> </w:t>
      </w:r>
      <w:r>
        <w:rPr>
          <w:b/>
          <w:bCs/>
        </w:rPr>
        <w:t xml:space="preserve">factura timbrada y previsualización (preview)</w:t>
      </w:r>
      <w:r>
        <w:t xml:space="preserve">: los campos que solo existen tras el timbrado (bloque TaxStamp) llegan vacíos en preview y la plantilla simplemente no los pinta — no hay plantilla aparte para preview.</w:t>
      </w:r>
    </w:p>
    <w:p>
      <w:pPr>
        <w:pStyle w:val="Compact"/>
        <w:numPr>
          <w:ilvl w:val="0"/>
          <w:numId w:val="1002"/>
        </w:numPr>
      </w:pPr>
      <w:r>
        <w:t xml:space="preserve">Reutilización de las convenciones CSS y de paginación ya probadas en _COT/_PED (documentos multi-página),</w:t>
      </w:r>
      <w:r>
        <w:t xml:space="preserve"> </w:t>
      </w:r>
      <w:r>
        <w:rPr>
          <w:b/>
          <w:bCs/>
        </w:rPr>
        <w:t xml:space="preserve">sin modificar el motor de render compartido</w:t>
      </w:r>
      <w:r>
        <w:t xml:space="preserve"> </w:t>
      </w:r>
      <w:r>
        <w:t xml:space="preserve">RenderDocumentService.</w:t>
      </w:r>
    </w:p>
    <w:p>
      <w:pPr>
        <w:pStyle w:val="Heading3"/>
      </w:pPr>
      <w:r>
        <w:rPr>
          <w:b/>
          <w:bCs/>
        </w:rPr>
        <w:t xml:space="preserve">No se consideran:</w:t>
      </w:r>
    </w:p>
    <w:p>
      <w:pPr>
        <w:pStyle w:val="Compact"/>
        <w:numPr>
          <w:ilvl w:val="0"/>
          <w:numId w:val="1003"/>
        </w:numPr>
      </w:pPr>
      <w:r>
        <w:t xml:space="preserve">El diseño</w:t>
      </w:r>
      <w:r>
        <w:t xml:space="preserve"> </w:t>
      </w:r>
      <w:r>
        <w:rPr>
          <w:b/>
          <w:bCs/>
        </w:rPr>
        <w:t xml:space="preserve">Back-end</w:t>
      </w:r>
      <w:r>
        <w:t xml:space="preserve"> </w:t>
      </w:r>
      <w:r>
        <w:t xml:space="preserve">de RE-FU-021: la generación del contrato de datos real, la integración/timbrado con el PAC TurboPac, la persistencia y los endpoints — responsabilidad del equipo de Back-end (R16A-127).</w:t>
      </w:r>
    </w:p>
    <w:p>
      <w:pPr>
        <w:pStyle w:val="Compact"/>
        <w:numPr>
          <w:ilvl w:val="0"/>
          <w:numId w:val="1003"/>
        </w:numPr>
      </w:pPr>
      <w:r>
        <w:rPr>
          <w:b/>
          <w:bCs/>
        </w:rPr>
        <w:t xml:space="preserve">Factura Perú (RE-FU-022)</w:t>
      </w:r>
      <w:r>
        <w:t xml:space="preserve"> </w:t>
      </w:r>
      <w:r>
        <w:t xml:space="preserve">— plantillas _PER_FAC y DIS propios; se documenta aparte (hermano regional).</w:t>
      </w:r>
    </w:p>
    <w:p>
      <w:pPr>
        <w:pStyle w:val="Compact"/>
        <w:numPr>
          <w:ilvl w:val="0"/>
          <w:numId w:val="1003"/>
        </w:numPr>
      </w:pPr>
      <w:r>
        <w:rPr>
          <w:b/>
          <w:bCs/>
        </w:rPr>
        <w:t xml:space="preserve">Factura Anticipo</w:t>
      </w:r>
      <w:r>
        <w:t xml:space="preserve"> </w:t>
      </w:r>
      <w:r>
        <w:t xml:space="preserve">(Sección K de la matriz, pedidos con productos controlados) — PROQUIFA aún no la tiene implementada ni existe PDF de referencia confirmado; la matriz solo incluye un esbozo tentativo no confirmado. Queda fuera de alcance hasta que se implemente y el asesor comercial valide su diseño.</w:t>
      </w:r>
    </w:p>
    <w:p>
      <w:pPr>
        <w:pStyle w:val="Compact"/>
        <w:numPr>
          <w:ilvl w:val="0"/>
          <w:numId w:val="1003"/>
        </w:numPr>
      </w:pPr>
      <w:r>
        <w:t xml:space="preserve">La generación del XML del CFDI, la lógica de timbrado, la integración con el PAC y el manejo de sus errores — viven en los requisitos de los módulos que generan facturas (Factura por Adelantado, Validar Cobro).</w:t>
      </w:r>
    </w:p>
    <w:p>
      <w:pPr>
        <w:pStyle w:val="Compact"/>
        <w:numPr>
          <w:ilvl w:val="0"/>
          <w:numId w:val="1003"/>
        </w:numPr>
      </w:pPr>
      <w:r>
        <w:t xml:space="preserve">La cancelación de la Factura timbrada — se documenta en el módulo Notas de Crédito (RE-FU-032).</w:t>
      </w:r>
    </w:p>
    <w:p>
      <w:pPr>
        <w:pStyle w:val="Compact"/>
        <w:numPr>
          <w:ilvl w:val="0"/>
          <w:numId w:val="1003"/>
        </w:numPr>
      </w:pPr>
      <w:r>
        <w:t xml:space="preserve">El envío de la Factura al cliente por correo electrónico y la generación del Complemento de Pago — viven en otros requisitos.</w:t>
      </w:r>
    </w:p>
    <w:p>
      <w:pPr>
        <w:pStyle w:val="Compact"/>
        <w:numPr>
          <w:ilvl w:val="0"/>
          <w:numId w:val="1003"/>
        </w:numPr>
      </w:pPr>
      <w:r>
        <w:t xml:space="preserve">La aprobación final del diseño visual (ver nota destacada al final de esta sección).</w:t>
      </w:r>
    </w:p>
    <w:p>
      <w:pPr>
        <w:pStyle w:val="FirstParagraph"/>
      </w:pPr>
      <w:r>
        <w:rPr>
          <w:b/>
          <w:bCs/>
        </w:rPr>
        <w:t xml:space="preserve">Precondición del diseño:</w:t>
      </w:r>
      <w:r>
        <w:t xml:space="preserve"> </w:t>
      </w:r>
      <w:r>
        <w:t xml:space="preserve">la maquetación en código de la familia de plantillas _MEX_FAC inicia una vez autorizadas las propuestas de diseño (mockups/facturas de referencia). La maqueta se construye sobre las 4 facturas reales ya validadas.</w:t>
      </w:r>
    </w:p>
    <w:p>
      <w:pPr>
        <w:pStyle w:val="BodyText"/>
      </w:pPr>
      <w:r>
        <w:rPr>
          <w:b/>
          <w:bCs/>
          <w:highlight w:val="yellow"/>
        </w:rPr>
        <w:t xml:space="preserve">Riesgo abierto — QR SAT:</w:t>
      </w:r>
      <w:r>
        <w:rPr>
          <w:highlight w:val="yellow"/>
        </w:rPr>
        <w:t xml:space="preserve"> </w:t>
      </w:r>
      <w:r>
        <w:rPr>
          <w:highlight w:val="yellow"/>
        </w:rPr>
        <w:t xml:space="preserve">se asume que el back entrega el QR como</w:t>
      </w:r>
      <w:r>
        <w:rPr>
          <w:highlight w:val="yellow"/>
        </w:rPr>
        <w:t xml:space="preserve"> </w:t>
      </w:r>
      <w:r>
        <w:rPr>
          <w:b/>
          <w:bCs/>
          <w:highlight w:val="yellow"/>
        </w:rPr>
        <w:t xml:space="preserve">imagen base64</w:t>
      </w:r>
      <w:r>
        <w:rPr>
          <w:highlight w:val="yellow"/>
        </w:rPr>
        <w:t xml:space="preserve"> </w:t>
      </w:r>
      <w:r>
        <w:rPr>
          <w:highlight w:val="yellow"/>
        </w:rPr>
        <w:t xml:space="preserve">en TaxStamp.QrImageBase64; si no llega, no se pinta y se reserva el espacio en el layout.</w:t>
      </w:r>
      <w:r>
        <w:rPr>
          <w:highlight w:val="yellow"/>
        </w:rPr>
        <w:t xml:space="preserve"> </w:t>
      </w:r>
      <w:r>
        <w:rPr>
          <w:b/>
          <w:bCs/>
          <w:highlight w:val="yellow"/>
        </w:rPr>
        <w:t xml:space="preserve">Falta el diseño de backend</w:t>
      </w:r>
      <w:r>
        <w:rPr>
          <w:highlight w:val="yellow"/>
        </w:rPr>
        <w:t xml:space="preserve"> </w:t>
      </w:r>
      <w:r>
        <w:rPr>
          <w:highlight w:val="yellow"/>
        </w:rPr>
        <w:t xml:space="preserve">que confirme el mecanismo real de entrega (imagen vs URL); si el back decide otra cosa, impacta este contrato y posiblemente la plantilla.</w:t>
      </w:r>
    </w:p>
    <w:p>
      <w:pPr>
        <w:pStyle w:val="Heading1"/>
      </w:pPr>
      <w:r>
        <w:rPr>
          <w:b/>
          <w:bCs/>
        </w:rPr>
        <w:t xml:space="preserve">Visión general del diseño</w:t>
      </w:r>
    </w:p>
    <w:p>
      <w:pPr>
        <w:pStyle w:val="Heading2"/>
      </w:pPr>
      <w:r>
        <w:rPr>
          <w:b/>
          <w:bCs/>
        </w:rPr>
        <w:t xml:space="preserve">Objetivo técnico</w:t>
      </w:r>
    </w:p>
    <w:p>
      <w:pPr>
        <w:pStyle w:val="FirstParagraph"/>
      </w:pPr>
      <w:r>
        <w:t xml:space="preserve">Definir la maquetación del PDF de la Factura México CFDI 4.0 en el motor DocumentBuilder, creando una familia de plantilla _MEX_FAC por empresa emisora del grupo PROQUIFA México que reproduzca fielmente el documento a partir de los datos que recibe,</w:t>
      </w:r>
      <w:r>
        <w:t xml:space="preserve"> </w:t>
      </w:r>
      <w:r>
        <w:rPr>
          <w:b/>
          <w:bCs/>
        </w:rPr>
        <w:t xml:space="preserve">sin modificar el motor de render compartido</w:t>
      </w:r>
      <w:r>
        <w:t xml:space="preserve"> </w:t>
      </w:r>
      <w:r>
        <w:t xml:space="preserve">ni introducir lógica de negocio en la plantilla. La plantilla imprime literalmente los valores que recibe (render puro), lo que permite maquetar y probar con datos dummy sin depender del backend (aún inexistente para este requisito).</w:t>
      </w:r>
    </w:p>
    <w:p>
      <w:pPr>
        <w:pStyle w:val="BodyText"/>
      </w:pPr>
      <w:r>
        <w:rPr>
          <w:b/>
          <w:bCs/>
        </w:rPr>
        <w:t xml:space="preserve">Delta frente a la Proforma (016):</w:t>
      </w:r>
      <w:r>
        <w:t xml:space="preserve"> </w:t>
      </w:r>
      <w:r>
        <w:t xml:space="preserve">la Factura es un documento</w:t>
      </w:r>
      <w:r>
        <w:t xml:space="preserve"> </w:t>
      </w:r>
      <w:r>
        <w:rPr>
          <w:b/>
          <w:bCs/>
        </w:rPr>
        <w:t xml:space="preserve">post-timbrado</w:t>
      </w:r>
      <w:r>
        <w:t xml:space="preserve"> </w:t>
      </w:r>
      <w:r>
        <w:t xml:space="preserve">— añade ~15 campos fiscales nuevos (Folio Fiscal UUID, sellos digitales SAT/CFDI, cadena original, números de serie de certificados, código QR) y detalle fiscal por partida (Clave SAT, Pedimento, desglose de impuestos como arreglo Taxes[]). El contrato InvoiceDocumentDto es</w:t>
      </w:r>
      <w:r>
        <w:t xml:space="preserve"> </w:t>
      </w:r>
      <w:r>
        <w:rPr>
          <w:b/>
          <w:bCs/>
        </w:rPr>
        <w:t xml:space="preserve">completamente independiente</w:t>
      </w:r>
      <w:r>
        <w:t xml:space="preserve"> </w:t>
      </w:r>
      <w:r>
        <w:t xml:space="preserve">del ProformaDocumentDto; solo se reutiliza el patrón de segmentación en grupos.</w:t>
      </w:r>
    </w:p>
    <w:p>
      <w:pPr>
        <w:pStyle w:val="Heading2"/>
      </w:pPr>
      <w:r>
        <w:rPr>
          <w:b/>
          <w:bCs/>
        </w:rPr>
        <w:t xml:space="preserve">Componentes involucrados</w:t>
      </w:r>
    </w:p>
    <w:p>
      <w:pPr>
        <w:pStyle w:val="FirstParagraph"/>
      </w:pPr>
      <w:r>
        <w:t xml:space="preserve">El entregable de este diseño vive en DocumentBuilder: las 4 familias de plantilla _MEX_FAC, entregable central de esta maqueta. El resto de los componentes ya existen y se reutilizan sin cambios.</w:t>
      </w:r>
    </w:p>
    <w:tbl>
      <w:tblPr>
        <w:tblStyle w:val="Table"/>
        <w:tblW w:type="pct" w:w="5000"/>
        <w:tblLayout w:type="fixed"/>
        <w:tblLook w:firstRow="1" w:lastRow="0" w:firstColumn="0" w:lastColumn="0" w:noHBand="0" w:noVBand="0" w:val="0020"/>
      </w:tblPr>
      <w:tblGrid>
        <w:gridCol w:w="1547"/>
        <w:gridCol w:w="1782"/>
        <w:gridCol w:w="3077"/>
        <w:gridCol w:w="2954"/>
      </w:tblGrid>
      <w:tr>
        <w:trPr>
          <w:tblHeader w:val="on"/>
        </w:trPr>
        <w:tc>
          <w:tcPr>
            <w:tcW w:w="1547" w:type="dxa"/>
            <w:shd w:val="clear" w:color="auto" w:fill="434343"/>
          </w:tcPr>
          <w:p>
            <w:pPr>
              <w:pStyle w:val="Compact"/>
              <w:jc w:val="left"/>
            </w:pPr>
            <w:r>
              <w:rPr>
                <w:b/>
                <w:color w:val="FFFFFF"/>
              </w:rPr>
              <w:t xml:space="preserve">Aplicativo</w:t>
            </w:r>
          </w:p>
        </w:tc>
        <w:tc>
          <w:tcPr>
            <w:tcW w:w="1782" w:type="dxa"/>
            <w:shd w:val="clear" w:color="auto" w:fill="434343"/>
          </w:tcPr>
          <w:p>
            <w:pPr>
              <w:pStyle w:val="Compact"/>
              <w:jc w:val="left"/>
            </w:pPr>
            <w:r>
              <w:rPr>
                <w:b/>
                <w:color w:val="FFFFFF"/>
              </w:rPr>
              <w:t xml:space="preserve">Componente</w:t>
            </w:r>
          </w:p>
        </w:tc>
        <w:tc>
          <w:tcPr>
            <w:tcW w:w="3077" w:type="dxa"/>
            <w:shd w:val="clear" w:color="auto" w:fill="434343"/>
          </w:tcPr>
          <w:p>
            <w:pPr>
              <w:pStyle w:val="Compact"/>
              <w:jc w:val="left"/>
            </w:pPr>
            <w:r>
              <w:rPr>
                <w:b/>
                <w:color w:val="FFFFFF"/>
              </w:rPr>
              <w:t xml:space="preserve">Responsabilidad</w:t>
            </w:r>
          </w:p>
        </w:tc>
        <w:tc>
          <w:tcPr>
            <w:tcW w:w="2954" w:type="dxa"/>
            <w:shd w:val="clear" w:color="auto" w:fill="434343"/>
          </w:tcPr>
          <w:p>
            <w:pPr>
              <w:pStyle w:val="Compact"/>
              <w:jc w:val="left"/>
            </w:pPr>
            <w:r>
              <w:rPr>
                <w:b/>
                <w:color w:val="FFFFFF"/>
              </w:rPr>
              <w:t xml:space="preserve">Ubicación</w:t>
            </w:r>
          </w:p>
        </w:tc>
      </w:tr>
      <w:tr>
        <w:tc>
          <w:tcPr>
            <w:tcW w:w="1547" w:type="dxa"/>
          </w:tcPr>
          <w:tcPr/>
          <w:p>
            <w:pPr>
              <w:pStyle w:val="Compact"/>
              <w:jc w:val="left"/>
            </w:pPr>
            <w:r>
              <w:t xml:space="preserve">DocumentBuilder</w:t>
            </w:r>
          </w:p>
        </w:tc>
        <w:tc>
          <w:tcPr>
            <w:tcW w:w="1782" w:type="dxa"/>
          </w:tcPr>
          <w:tcPr/>
          <w:p>
            <w:pPr>
              <w:pStyle w:val="Compact"/>
              <w:jc w:val="left"/>
            </w:pPr>
            <w:r>
              <w:t xml:space="preserve">ReportController</w:t>
            </w:r>
          </w:p>
        </w:tc>
        <w:tc>
          <w:tcPr>
            <w:tcW w:w="3077" w:type="dxa"/>
          </w:tcPr>
          <w:tcPr/>
          <w:p>
            <w:pPr>
              <w:pStyle w:val="Compact"/>
              <w:jc w:val="left"/>
            </w:pPr>
            <w:r>
              <w:t xml:space="preserve">Selecciona la familia por TemplateKey e invoca el render</w:t>
            </w:r>
          </w:p>
        </w:tc>
        <w:tc>
          <w:tcPr>
            <w:tcW w:w="2954" w:type="dxa"/>
          </w:tcPr>
          <w:tcPr/>
          <w:p>
            <w:pPr>
              <w:pStyle w:val="Compact"/>
              <w:jc w:val="left"/>
            </w:pPr>
            <w:r>
              <w:t xml:space="preserve">DocumentBuilder/API/Controllers/ReportController.cs (existente, se reutiliza)</w:t>
            </w:r>
          </w:p>
        </w:tc>
      </w:tr>
      <w:tr>
        <w:tc>
          <w:tcPr>
            <w:tcW w:w="1547" w:type="dxa"/>
          </w:tcPr>
          <w:tcPr/>
          <w:p>
            <w:pPr>
              <w:pStyle w:val="Compact"/>
              <w:jc w:val="left"/>
            </w:pPr>
            <w:r>
              <w:t xml:space="preserve">DocumentBuilder</w:t>
            </w:r>
          </w:p>
        </w:tc>
        <w:tc>
          <w:tcPr>
            <w:tcW w:w="1782" w:type="dxa"/>
          </w:tcPr>
          <w:tcPr/>
          <w:p>
            <w:pPr>
              <w:pStyle w:val="Compact"/>
              <w:jc w:val="left"/>
            </w:pPr>
            <w:r>
              <w:t xml:space="preserve">RenderDocumentService (Scriban)</w:t>
            </w:r>
          </w:p>
        </w:tc>
        <w:tc>
          <w:tcPr>
            <w:tcW w:w="3077" w:type="dxa"/>
          </w:tcPr>
          <w:tcPr/>
          <w:p>
            <w:pPr>
              <w:pStyle w:val="Compact"/>
              <w:jc w:val="left"/>
            </w:pPr>
            <w:r>
              <w:t xml:space="preserve">Rellena el HTML de la plantilla con el diccionario de datos y produce el PDF</w:t>
            </w:r>
          </w:p>
        </w:tc>
        <w:tc>
          <w:tcPr>
            <w:tcW w:w="2954" w:type="dxa"/>
          </w:tcPr>
          <w:tcPr/>
          <w:p>
            <w:pPr>
              <w:pStyle w:val="Compact"/>
              <w:jc w:val="left"/>
            </w:pPr>
            <w:r>
              <w:t xml:space="preserve">DocumentBuilder/Application/Services/Pdf/RenderDocumentService.cs (existente, se reutiliza)</w:t>
            </w:r>
          </w:p>
        </w:tc>
      </w:tr>
      <w:tr>
        <w:tc>
          <w:tcPr>
            <w:tcW w:w="1547" w:type="dxa"/>
          </w:tcPr>
          <w:tcPr/>
          <w:p>
            <w:pPr>
              <w:pStyle w:val="Compact"/>
              <w:jc w:val="left"/>
            </w:pPr>
            <w:r>
              <w:t xml:space="preserve">DocumentBuilder</w:t>
            </w:r>
          </w:p>
        </w:tc>
        <w:tc>
          <w:tcPr>
            <w:tcW w:w="1782" w:type="dxa"/>
          </w:tcPr>
          <w:tcPr/>
          <w:p>
            <w:pPr>
              <w:pStyle w:val="Compact"/>
              <w:jc w:val="left"/>
            </w:pPr>
            <w:r>
              <w:t xml:space="preserve">**Familia de plantilla _MEX_FAC**</w:t>
            </w:r>
          </w:p>
        </w:tc>
        <w:tc>
          <w:tcPr>
            <w:tcW w:w="3077" w:type="dxa"/>
          </w:tcPr>
          <w:tcPr/>
          <w:p>
            <w:pPr>
              <w:pStyle w:val="Compact"/>
              <w:jc w:val="left"/>
            </w:pPr>
            <w:r>
              <w:t xml:space="preserve">HTML/CSS/Scriban _H/_B/_F por empresa que define el aspecto del PDF</w:t>
            </w:r>
          </w:p>
        </w:tc>
        <w:tc>
          <w:tcPr>
            <w:tcW w:w="2954" w:type="dxa"/>
          </w:tcPr>
          <w:tcPr/>
          <w:p>
            <w:pPr>
              <w:pStyle w:val="Compact"/>
              <w:jc w:val="left"/>
            </w:pPr>
            <w:r>
              <w:t xml:space="preserve">DocumentBuilder/API/Resources/Templates/&lt;PREFIJO&gt;_MEX_FAC/ (</w:t>
            </w:r>
            <w:r>
              <w:rPr>
                <w:b/>
                <w:bCs/>
              </w:rPr>
              <w:t xml:space="preserve">entregable central</w:t>
            </w:r>
            <w:r>
              <w:t xml:space="preserve">)</w:t>
            </w:r>
          </w:p>
        </w:tc>
      </w:tr>
      <w:tr>
        <w:tc>
          <w:tcPr>
            <w:tcW w:w="1547" w:type="dxa"/>
          </w:tcPr>
          <w:tcPr/>
          <w:p>
            <w:pPr>
              <w:pStyle w:val="Compact"/>
              <w:jc w:val="left"/>
            </w:pPr>
            <w:r>
              <w:t xml:space="preserve">Back-end (pendiente DIS)</w:t>
            </w:r>
          </w:p>
        </w:tc>
        <w:tc>
          <w:tcPr>
            <w:tcW w:w="1782" w:type="dxa"/>
          </w:tcPr>
          <w:tcPr/>
          <w:p>
            <w:pPr>
              <w:pStyle w:val="Compact"/>
              <w:jc w:val="left"/>
            </w:pPr>
            <w:r>
              <w:t xml:space="preserve">Timbrado (PAC TurboPac)</w:t>
            </w:r>
          </w:p>
        </w:tc>
        <w:tc>
          <w:tcPr>
            <w:tcW w:w="3077" w:type="dxa"/>
          </w:tcPr>
          <w:tcPr/>
          <w:p>
            <w:pPr>
              <w:pStyle w:val="Compact"/>
              <w:jc w:val="left"/>
            </w:pPr>
            <w:r>
              <w:t xml:space="preserve">Genera UUID, sellos, cadena original, QR y entrega el InvoiceDocumentDto materializado</w:t>
            </w:r>
          </w:p>
        </w:tc>
        <w:tc>
          <w:tcPr>
            <w:tcW w:w="2954" w:type="dxa"/>
          </w:tcPr>
          <w:tcPr/>
          <w:p>
            <w:pPr>
              <w:pStyle w:val="Compact"/>
              <w:jc w:val="left"/>
            </w:pPr>
            <w:r>
              <w:t xml:space="preserve">Fuera de este diseño</w:t>
            </w:r>
          </w:p>
        </w:tc>
      </w:tr>
    </w:tbl>
    <w:p>
      <w:pPr>
        <w:pStyle w:val="BodyText"/>
      </w:pPr>
      <w:r>
        <w:t xml:space="preserve">El entregable central de este diseño son las 4 familias _MEX_FAC; el motor de render (RenderDocumentService) y el ReportController ya existen y se reutilizan sin cambios.</w:t>
      </w:r>
    </w:p>
    <w:p>
      <w:pPr>
        <w:pStyle w:val="Heading1"/>
      </w:pPr>
      <w:r>
        <w:rPr>
          <w:b/>
          <w:bCs/>
        </w:rPr>
        <w:t xml:space="preserve">Diseño funcional detallado</w:t>
      </w:r>
    </w:p>
    <w:p>
      <w:pPr>
        <w:pStyle w:val="Heading2"/>
      </w:pPr>
      <w:r>
        <w:t xml:space="preserve">**Flujo 1 — Render de la plantilla _MEX_FAC (Factura timbrada)**</w:t>
      </w:r>
    </w:p>
    <w:p>
      <w:pPr>
        <w:pStyle w:val="FirstParagraph"/>
      </w:pPr>
      <w:r>
        <w:t xml:space="preserve">Ruta de render de la plantilla, a nivel de componente de DocumentBuilder:</w:t>
      </w:r>
    </w:p>
    <w:p>
      <w:pPr>
        <w:pStyle w:val="Compact"/>
        <w:numPr>
          <w:ilvl w:val="0"/>
          <w:numId w:val="1004"/>
        </w:numPr>
      </w:pPr>
      <w:r>
        <w:t xml:space="preserve">ReportController resuelve la familia de plantilla con GetTemplate(TemplateKey), donde TemplateKey =</w:t>
      </w:r>
      <w:r>
        <w:t xml:space="preserve"> </w:t>
      </w:r>
      <w:r>
        <w:t xml:space="preserve">_MEX_FAC derivado</w:t>
      </w:r>
      <w:r>
        <w:t xml:space="preserve"> </w:t>
      </w:r>
      <w:r>
        <w:rPr>
          <w:b/>
          <w:bCs/>
        </w:rPr>
        <w:t xml:space="preserve">únicamente</w:t>
      </w:r>
      <w:r>
        <w:t xml:space="preserve"> </w:t>
      </w:r>
      <w:r>
        <w:t xml:space="preserve">de IssuingCompany (empresa emisora del CFDI).</w:t>
      </w:r>
    </w:p>
    <w:p>
      <w:pPr>
        <w:pStyle w:val="Compact"/>
        <w:numPr>
          <w:ilvl w:val="0"/>
          <w:numId w:val="1004"/>
        </w:numPr>
      </w:pPr>
      <w:r>
        <w:t xml:space="preserve">La consulta retorna los nombres de archivo _H / _B / _F de la familia registrada.</w:t>
      </w:r>
    </w:p>
    <w:p>
      <w:pPr>
        <w:pStyle w:val="Compact"/>
        <w:numPr>
          <w:ilvl w:val="0"/>
          <w:numId w:val="1004"/>
        </w:numPr>
      </w:pPr>
      <w:r>
        <w:t xml:space="preserve">RenderDocumentService (Scriban) rellena el HTML _H+_B+_F con el InvoiceDocumentDto materializado como diccionario (Dictionary&lt;string,object&gt;) y produce el PDF.</w:t>
      </w:r>
    </w:p>
    <w:p>
      <w:pPr>
        <w:pStyle w:val="Compact"/>
        <w:numPr>
          <w:ilvl w:val="0"/>
          <w:numId w:val="1004"/>
        </w:numPr>
      </w:pPr>
      <w:r>
        <w:t xml:space="preserve">El PDF (application/pdf) se entrega ya renderizado, con todos los bloques (incluido TaxStamp) poblados.</w:t>
      </w:r>
    </w:p>
    <w:p>
      <w:pPr>
        <w:pStyle w:val="FirstParagraph"/>
      </w:pPr>
      <w:r>
        <w:rPr>
          <w:b/>
          <w:bCs/>
        </w:rPr>
        <w:t xml:space="preserve">Puntos clave de la maqueta:</w:t>
      </w:r>
    </w:p>
    <w:p>
      <w:pPr>
        <w:pStyle w:val="Compact"/>
        <w:numPr>
          <w:ilvl w:val="0"/>
          <w:numId w:val="1005"/>
        </w:numPr>
      </w:pPr>
      <w:r>
        <w:t xml:space="preserve">El render trabaja sobre un diccionario genérico (Dictionary&lt;string,object&gt;),</w:t>
      </w:r>
      <w:r>
        <w:t xml:space="preserve"> </w:t>
      </w:r>
      <w:r>
        <w:rPr>
          <w:b/>
          <w:bCs/>
        </w:rPr>
        <w:t xml:space="preserve">no</w:t>
      </w:r>
      <w:r>
        <w:t xml:space="preserve"> </w:t>
      </w:r>
      <w:r>
        <w:t xml:space="preserve">sobre un tipo fuerte — la plantilla Scriban puede probarse con datos dummy (folio 143103 Golocaer) sin esperar al backend.</w:t>
      </w:r>
    </w:p>
    <w:p>
      <w:pPr>
        <w:pStyle w:val="Compact"/>
        <w:numPr>
          <w:ilvl w:val="0"/>
          <w:numId w:val="1005"/>
        </w:numPr>
      </w:pPr>
      <w:r>
        <w:t xml:space="preserve">La selección de familia (TemplateKey) depende</w:t>
      </w:r>
      <w:r>
        <w:t xml:space="preserve"> </w:t>
      </w:r>
      <w:r>
        <w:rPr>
          <w:b/>
          <w:bCs/>
        </w:rPr>
        <w:t xml:space="preserve">solo</w:t>
      </w:r>
      <w:r>
        <w:t xml:space="preserve"> </w:t>
      </w:r>
      <w:r>
        <w:t xml:space="preserve">de la empresa emisora, nunca del banco ni del producto.</w:t>
      </w:r>
    </w:p>
    <w:p>
      <w:pPr>
        <w:pStyle w:val="Heading2"/>
      </w:pPr>
      <w:r>
        <w:rPr>
          <w:b/>
          <w:bCs/>
        </w:rPr>
        <w:t xml:space="preserve">Flujo 2 — Variante preview (previa al timbrado)</w:t>
      </w:r>
    </w:p>
    <w:p>
      <w:pPr>
        <w:pStyle w:val="FirstParagraph"/>
      </w:pPr>
      <w:r>
        <w:t xml:space="preserve">La misma familia _MEX_FAC cubre la Factura timbrada y su previsualización: solo cambian los valores que recibe. Los campos que solo existen tras el timbrado (TaxStamp.Uuid, SatCertSerial, IssuerCsdSerial, SatDigitalSeal, CfdiDigitalSeal, OriginalStringCcd, QrImageBase64) llegan vacíos (““) en preview y la plantilla simplemente no los pinta — sin lógica condicional, sin chequeo de nulos. No existe una plantilla aparte para preview; es la misma maqueta con menos datos.</w:t>
      </w:r>
    </w:p>
    <w:p>
      <w:pPr>
        <w:pStyle w:val="Heading2"/>
      </w:pPr>
      <w:r>
        <w:rPr>
          <w:b/>
          <w:bCs/>
        </w:rPr>
        <w:t xml:space="preserve">Criterios de aceptación del requisito</w:t>
      </w:r>
    </w:p>
    <w:p>
      <w:pPr>
        <w:pStyle w:val="FirstParagraph"/>
      </w:pPr>
      <w:r>
        <w:t xml:space="preserve">Criterios de aceptación tomados de la matriz de requisitos (fila R16A-RE-FU-021, secciones A–J). La Sección K (Factura Anticipo) queda fuera de alcance — ver Alcance.</w:t>
      </w:r>
      <w:r>
        <w:t xml:space="preserve"> </w:t>
      </w:r>
      <w:r>
        <w:rPr>
          <w:b/>
          <w:bCs/>
        </w:rPr>
        <w:t xml:space="preserve">CA Descripción</w:t>
      </w:r>
      <w:r>
        <w:t xml:space="preserve"> </w:t>
      </w:r>
      <w:r>
        <w:t xml:space="preserve">reproduce el texto verbatim de la matriz (R16A-RE-FU-021-MATRIZ-CA.md);</w:t>
      </w:r>
      <w:r>
        <w:t xml:space="preserve"> </w:t>
      </w:r>
      <w:r>
        <w:rPr>
          <w:b/>
          <w:bCs/>
        </w:rPr>
        <w:t xml:space="preserve">Descripción</w:t>
      </w:r>
      <w:r>
        <w:t xml:space="preserve"> </w:t>
      </w:r>
      <w:r>
        <w:t xml:space="preserve">explica cómo se cumple ese CA en este DIS.</w:t>
      </w:r>
    </w:p>
    <w:tbl>
      <w:tblPr>
        <w:tblStyle w:val="Table"/>
        <w:tblW w:type="pct" w:w="5000"/>
        <w:tblLayout w:type="fixed"/>
        <w:tblLook w:firstRow="1" w:lastRow="0" w:firstColumn="0" w:lastColumn="0" w:noHBand="0" w:noVBand="0" w:val="0020"/>
      </w:tblPr>
      <w:tblGrid>
        <w:gridCol w:w="960"/>
        <w:gridCol w:w="4168"/>
        <w:gridCol w:w="1728"/>
        <w:gridCol w:w="1064"/>
        <w:gridCol w:w="1440"/>
      </w:tblGrid>
      <w:tr>
        <w:trPr>
          <w:tblHeader w:val="on"/>
        </w:trPr>
        <w:tc>
          <w:tcPr>
            <w:tcW w:w="960" w:type="dxa"/>
            <w:shd w:val="clear" w:color="auto" w:fill="434343"/>
          </w:tcPr>
          <w:p>
            <w:pPr>
              <w:pStyle w:val="Compact"/>
              <w:jc w:val="left"/>
            </w:pPr>
            <w:r>
              <w:rPr>
                <w:b/>
                <w:color w:val="FFFFFF"/>
              </w:rPr>
              <w:t xml:space="preserve">CA</w:t>
            </w:r>
          </w:p>
        </w:tc>
        <w:tc>
          <w:tcPr>
            <w:tcW w:w="4168" w:type="dxa"/>
            <w:shd w:val="clear" w:color="auto" w:fill="434343"/>
          </w:tcPr>
          <w:p>
            <w:pPr>
              <w:pStyle w:val="Compact"/>
              <w:jc w:val="left"/>
            </w:pPr>
            <w:r>
              <w:rPr>
                <w:b/>
                <w:color w:val="FFFFFF"/>
              </w:rPr>
              <w:t xml:space="preserve">CA Descripción</w:t>
            </w:r>
          </w:p>
        </w:tc>
        <w:tc>
          <w:tcPr>
            <w:tcW w:w="1728" w:type="dxa"/>
            <w:shd w:val="clear" w:color="auto" w:fill="434343"/>
          </w:tcPr>
          <w:p>
            <w:pPr>
              <w:pStyle w:val="Compact"/>
              <w:jc w:val="left"/>
            </w:pPr>
            <w:r>
              <w:rPr>
                <w:b/>
                <w:color w:val="FFFFFF"/>
              </w:rPr>
              <w:t xml:space="preserve">Descripción</w:t>
            </w:r>
          </w:p>
        </w:tc>
        <w:tc>
          <w:tcPr>
            <w:tcW w:w="1064" w:type="dxa"/>
            <w:shd w:val="clear" w:color="auto" w:fill="434343"/>
          </w:tcPr>
          <w:p>
            <w:pPr>
              <w:pStyle w:val="Compact"/>
              <w:jc w:val="left"/>
            </w:pPr>
            <w:r>
              <w:rPr>
                <w:b/>
                <w:color w:val="FFFFFF"/>
              </w:rPr>
              <w:t xml:space="preserve">Estado</w:t>
            </w:r>
          </w:p>
        </w:tc>
        <w:tc>
          <w:tcPr>
            <w:tcW w:w="1440" w:type="dxa"/>
            <w:shd w:val="clear" w:color="auto" w:fill="434343"/>
          </w:tcPr>
          <w:p>
            <w:pPr>
              <w:pStyle w:val="Compact"/>
              <w:jc w:val="left"/>
            </w:pPr>
            <w:r>
              <w:rPr>
                <w:b/>
                <w:color w:val="FFFFFF"/>
              </w:rPr>
              <w:t xml:space="preserve">Justificación</w:t>
            </w:r>
          </w:p>
        </w:tc>
      </w:tr>
      <w:tr>
        <w:tc>
          <w:tcPr>
            <w:tcW w:w="960" w:type="dxa"/>
          </w:tcPr>
          <w:tcPr/>
          <w:p>
            <w:pPr>
              <w:pStyle w:val="Compact"/>
              <w:jc w:val="left"/>
            </w:pPr>
            <w:r>
              <w:t xml:space="preserve">A1</w:t>
            </w:r>
          </w:p>
        </w:tc>
        <w:tc>
          <w:tcPr>
            <w:tcW w:w="4168" w:type="dxa"/>
          </w:tcPr>
          <w:tcPr/>
          <w:p>
            <w:pPr>
              <w:pStyle w:val="Compact"/>
              <w:jc w:val="left"/>
            </w:pPr>
            <w:r>
              <w:t xml:space="preserve">Dado que el sistema muestra el documento, Cuando incluye el logo, Entonces deberá mostrar el logo correspondiente a la empresa emisora del CFDI.</w:t>
            </w:r>
          </w:p>
        </w:tc>
        <w:tc>
          <w:tcPr>
            <w:tcW w:w="1728" w:type="dxa"/>
          </w:tcPr>
          <w:tcPr/>
          <w:p>
            <w:pPr>
              <w:pStyle w:val="Compact"/>
              <w:jc w:val="left"/>
            </w:pPr>
            <w:r>
              <w:t xml:space="preserve">Se cubre con el logo institucional embebido en base64 dentro de la pieza _H de la familia _MEX_FAC correspondiente a la empresa emisora.</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A2</w:t>
            </w:r>
          </w:p>
        </w:tc>
        <w:tc>
          <w:tcPr>
            <w:tcW w:w="4168" w:type="dxa"/>
          </w:tcPr>
          <w:tcPr/>
          <w:p>
            <w:pPr>
              <w:pStyle w:val="Compact"/>
              <w:jc w:val="left"/>
            </w:pPr>
            <w:r>
              <w:t xml:space="preserve">Dado que el sistema muestra los datos del emisor, Cuando incluye la información, Entonces deberá mostrar: Nombre comercial del emisor. RFC del emisor. Lugar de Expedición (Código Postal del emisor). Dirección completa del emisor. Fecha y hora de expedición.</w:t>
            </w:r>
          </w:p>
        </w:tc>
        <w:tc>
          <w:tcPr>
            <w:tcW w:w="1728" w:type="dxa"/>
          </w:tcPr>
          <w:tcPr/>
          <w:p>
            <w:pPr>
              <w:pStyle w:val="Compact"/>
              <w:jc w:val="left"/>
            </w:pPr>
            <w:r>
              <w:t xml:space="preserve">Se cubre con IssuingCompany (LegalName/TaxId/ExpeditionPlace/LegalAddress) y Voucher.ExpeditionDateTime.</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B1</w:t>
            </w:r>
          </w:p>
        </w:tc>
        <w:tc>
          <w:tcPr>
            <w:tcW w:w="4168" w:type="dxa"/>
          </w:tcPr>
          <w:tcPr/>
          <w:p>
            <w:pPr>
              <w:pStyle w:val="Compact"/>
              <w:jc w:val="left"/>
            </w:pPr>
            <w:r>
              <w:t xml:space="preserve">Dado que el sistema muestra los datos del receptor, Cuando incluye la información, Entonces deberá mostrar: Razón Social del receptor. RFC del receptor. Uso de CFDI (clave SAT seleccionada al generar la Factura). Código Postal del receptor (Domicilio Fiscal del Receptor, obligatorio CFDI 4.0). Régimen Fiscal del receptor.</w:t>
            </w:r>
          </w:p>
        </w:tc>
        <w:tc>
          <w:tcPr>
            <w:tcW w:w="1728" w:type="dxa"/>
          </w:tcPr>
          <w:tcPr/>
          <w:p>
            <w:pPr>
              <w:pStyle w:val="Compact"/>
              <w:jc w:val="left"/>
            </w:pPr>
            <w:r>
              <w:t xml:space="preserve">Se cubre con Customer (LegalName/TaxId/CfdiUse/ZipCode/TaxRegime).</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C1</w:t>
            </w:r>
          </w:p>
        </w:tc>
        <w:tc>
          <w:tcPr>
            <w:tcW w:w="4168" w:type="dxa"/>
          </w:tcPr>
          <w:tcPr/>
          <w:p>
            <w:pPr>
              <w:pStyle w:val="Compact"/>
              <w:jc w:val="left"/>
            </w:pPr>
            <w:r>
              <w:t xml:space="preserve">Dado que el sistema muestra los datos del CFDI, Cuando incluye los identificadores, Entonces deberá mostrar: Serie (típicamente</w:t>
            </w:r>
            <w:r>
              <w:t xml:space="preserve"> </w:t>
            </w:r>
            <w:r>
              <w:t xml:space="preserve">“A”</w:t>
            </w:r>
            <w:r>
              <w:t xml:space="preserve"> </w:t>
            </w:r>
            <w:r>
              <w:t xml:space="preserve">en operación actual). Folio (consecutivo numérico por empresa emisora, varchar 6). Versión (4.0). Folio Fiscal (UUID de 36 caracteres asignado por el SAT al timbrar).</w:t>
            </w:r>
          </w:p>
        </w:tc>
        <w:tc>
          <w:tcPr>
            <w:tcW w:w="1728" w:type="dxa"/>
          </w:tcPr>
          <w:tcPr/>
          <w:p>
            <w:pPr>
              <w:pStyle w:val="Compact"/>
              <w:jc w:val="left"/>
            </w:pPr>
            <w:r>
              <w:t xml:space="preserve">Se cubre con Voucher (Series/Folio/CfdiVersion) y TaxStamp.Uuid.</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C2</w:t>
            </w:r>
          </w:p>
        </w:tc>
        <w:tc>
          <w:tcPr>
            <w:tcW w:w="4168" w:type="dxa"/>
          </w:tcPr>
          <w:tcPr/>
          <w:p>
            <w:pPr>
              <w:pStyle w:val="Compact"/>
              <w:jc w:val="left"/>
            </w:pPr>
            <w:r>
              <w:t xml:space="preserve">Dado que el sistema muestra el documento, Cuando incluye las marcas temporales, Entonces deberá mostrar: Fecha y Hora de Emisión (timestamp del momento de emisión de la factura por el sistema). Fecha y Hora de Certificación (timestamp del momento del timbrado por el PAC).</w:t>
            </w:r>
          </w:p>
        </w:tc>
        <w:tc>
          <w:tcPr>
            <w:tcW w:w="1728" w:type="dxa"/>
          </w:tcPr>
          <w:tcPr/>
          <w:p>
            <w:pPr>
              <w:pStyle w:val="Compact"/>
              <w:jc w:val="left"/>
            </w:pPr>
            <w:r>
              <w:t xml:space="preserve">Se cubre con Voucher.IssueDateTime y TaxStamp.CertificationDateTime.</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C3</w:t>
            </w:r>
          </w:p>
        </w:tc>
        <w:tc>
          <w:tcPr>
            <w:tcW w:w="4168" w:type="dxa"/>
          </w:tcPr>
          <w:tcPr/>
          <w:p>
            <w:pPr>
              <w:pStyle w:val="Compact"/>
              <w:jc w:val="left"/>
            </w:pPr>
            <w:r>
              <w:t xml:space="preserve">Dado que el sistema muestra los datos fiscales del CFDI, Cuando incluye la información, Entonces deberá mostrar: Método de Pago (PPD - Pago en parcialidades o diferido, valor forzado por la regla SAT). Forma de Pago (99 - Por definir, valor forzado por la regla SAT). Condiciones de Pago (texto descriptivo: PREPAGO 100%, 30 DIAS, 60 DIAS, 90 DIAS, etc.). Tipo de Comprobante (I - Ingreso). Régimen Fiscal del emisor (601 - General de Ley Personas Morales en operación actual). Moneda (de facturación, con código y nombre). Tipo de Cambio (del día de la generación).</w:t>
            </w:r>
          </w:p>
        </w:tc>
        <w:tc>
          <w:tcPr>
            <w:tcW w:w="1728" w:type="dxa"/>
          </w:tcPr>
          <w:tcPr/>
          <w:p>
            <w:pPr>
              <w:pStyle w:val="Compact"/>
              <w:jc w:val="left"/>
            </w:pPr>
            <w:r>
              <w:t xml:space="preserve">Se cubre con Voucher (PaymentMethod/PaymentForm/PaymentConditions/VoucherType), IssuingCompany.TaxRegime y Totals (Currency/ExchangeRate).</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C4</w:t>
            </w:r>
          </w:p>
        </w:tc>
        <w:tc>
          <w:tcPr>
            <w:tcW w:w="4168" w:type="dxa"/>
          </w:tcPr>
          <w:tcPr/>
          <w:p>
            <w:pPr>
              <w:pStyle w:val="Compact"/>
              <w:jc w:val="left"/>
            </w:pPr>
            <w:r>
              <w:t xml:space="preserve">Dado que el sistema muestra los datos del CFDI, Cuando incluye el atributo de Exportación (campo obligatorio del CFDI 4.0), Entonces deberá mostrar el valor correspondiente del catálogo c_Exportacion del SAT (ejemplo:</w:t>
            </w:r>
            <w:r>
              <w:t xml:space="preserve"> </w:t>
            </w:r>
            <w:r>
              <w:t xml:space="preserve">“01 - No aplica”</w:t>
            </w:r>
            <w:r>
              <w:t xml:space="preserve"> </w:t>
            </w:r>
            <w:r>
              <w:t xml:space="preserve">para operaciones que no son de exportación, como se observa en la factura real de Mungen con</w:t>
            </w:r>
            <w:r>
              <w:t xml:space="preserve"> </w:t>
            </w:r>
            <w:r>
              <w:t xml:space="preserve">“Exportación: No Aplica”</w:t>
            </w:r>
            <w:r>
              <w:t xml:space="preserve">).</w:t>
            </w:r>
          </w:p>
        </w:tc>
        <w:tc>
          <w:tcPr>
            <w:tcW w:w="1728" w:type="dxa"/>
          </w:tcPr>
          <w:tcPr/>
          <w:p>
            <w:pPr>
              <w:pStyle w:val="Compact"/>
              <w:jc w:val="left"/>
            </w:pPr>
            <w:r>
              <w:t xml:space="preserve">Se cubre con Voucher.Export.</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D1</w:t>
            </w:r>
          </w:p>
        </w:tc>
        <w:tc>
          <w:tcPr>
            <w:tcW w:w="4168" w:type="dxa"/>
          </w:tcPr>
          <w:tcPr/>
          <w:p>
            <w:pPr>
              <w:pStyle w:val="Compact"/>
              <w:jc w:val="left"/>
            </w:pPr>
            <w:r>
              <w:t xml:space="preserve">Dado que el sistema muestra las cuentas bancarias, Cuando arma el contenido, Entonces deberá mostrar las dos cuentas bancarias del grupo PROQUIFA México (una en MXN y una en USD), con los datos: Banco, Número de Cuenta, Moneda, Referencia del Cliente, CLABE, Sucursal.</w:t>
            </w:r>
          </w:p>
        </w:tc>
        <w:tc>
          <w:tcPr>
            <w:tcW w:w="1728" w:type="dxa"/>
          </w:tcPr>
          <w:tcPr/>
          <w:p>
            <w:pPr>
              <w:pStyle w:val="Compact"/>
              <w:jc w:val="left"/>
            </w:pPr>
            <w:r>
              <w:t xml:space="preserve">Se cubre con BankAccounts[] — 2 cuentas fijas, se pintan los índices 0 y 1.</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D2</w:t>
            </w:r>
          </w:p>
        </w:tc>
        <w:tc>
          <w:tcPr>
            <w:tcW w:w="4168" w:type="dxa"/>
          </w:tcPr>
          <w:tcPr/>
          <w:p>
            <w:pPr>
              <w:pStyle w:val="Compact"/>
              <w:jc w:val="left"/>
            </w:pPr>
            <w:r>
              <w:t xml:space="preserve">Dado que el sistema muestra el campo Referencia de cada cuenta, Cuando construye el valor, Entonces</w:t>
            </w:r>
            <w:r>
              <w:t xml:space="preserve"> </w:t>
            </w:r>
            <w:r>
              <w:rPr>
                <w:b/>
                <w:bCs/>
              </w:rPr>
              <w:t xml:space="preserve">pendiente confirmar si la construcción de la referencia sigue el mismo método que en la Proforma o si tiene reglas propias para la Factura.</w:t>
            </w:r>
          </w:p>
        </w:tc>
        <w:tc>
          <w:tcPr>
            <w:tcW w:w="1728" w:type="dxa"/>
          </w:tcPr>
          <w:tcPr/>
          <w:p>
            <w:pPr>
              <w:pStyle w:val="Compact"/>
              <w:jc w:val="left"/>
            </w:pPr>
            <w:r>
              <w:t xml:space="preserve">Se pinta BankAccount.CustomerRef de forma literal; la construcción del valor es responsabilidad de Back-end.</w:t>
            </w:r>
          </w:p>
        </w:tc>
        <w:tc>
          <w:tcPr>
            <w:tcW w:w="1064" w:type="dxa"/>
          </w:tcPr>
          <w:tcPr/>
          <w:p>
            <w:pPr>
              <w:pStyle w:val="Compact"/>
              <w:jc w:val="left"/>
            </w:pPr>
            <w:r>
              <w:t xml:space="preserve">Cubierto (maqueta agnóstica)</w:t>
            </w:r>
          </w:p>
        </w:tc>
        <w:tc>
          <w:tcPr>
            <w:tcW w:w="1440" w:type="dxa"/>
          </w:tcPr>
          <w:tcPr/>
          <w:p>
            <w:pPr>
              <w:pStyle w:val="Compact"/>
              <w:jc w:val="left"/>
            </w:pPr>
            <w:r>
              <w:t xml:space="preserve">Pendiente en la matriz confirmar si sigue el método de la Proforma (Código Validador) o reglas propias de Factura — no bloquea la maqueta, que solo pinta el valor recibido.</w:t>
            </w:r>
          </w:p>
        </w:tc>
      </w:tr>
      <w:tr>
        <w:tc>
          <w:tcPr>
            <w:tcW w:w="960" w:type="dxa"/>
          </w:tcPr>
          <w:tcPr/>
          <w:p>
            <w:pPr>
              <w:pStyle w:val="Compact"/>
              <w:jc w:val="left"/>
            </w:pPr>
            <w:r>
              <w:t xml:space="preserve">D3</w:t>
            </w:r>
          </w:p>
        </w:tc>
        <w:tc>
          <w:tcPr>
            <w:tcW w:w="4168" w:type="dxa"/>
          </w:tcPr>
          <w:tcPr/>
          <w:p>
            <w:pPr>
              <w:pStyle w:val="Compact"/>
              <w:jc w:val="left"/>
            </w:pPr>
            <w:r>
              <w:t xml:space="preserve">Dado que el sistema muestra la sección, Cuando incluye el dato del pedido, Entonces deberá mostrar el número de orden de compra del cliente o referencia equivalente proveniente del Pedido.</w:t>
            </w:r>
            <w:r>
              <w:t xml:space="preserve"> </w:t>
            </w:r>
            <w:r>
              <w:rPr>
                <w:b/>
                <w:bCs/>
              </w:rPr>
              <w:t xml:space="preserve">Confirmar diferencia con Folio de Pedido Interno.</w:t>
            </w:r>
          </w:p>
        </w:tc>
        <w:tc>
          <w:tcPr>
            <w:tcW w:w="1728" w:type="dxa"/>
          </w:tcPr>
          <w:tcPr/>
          <w:p>
            <w:pPr>
              <w:pStyle w:val="Compact"/>
              <w:jc w:val="left"/>
            </w:pPr>
            <w:r>
              <w:t xml:space="preserve">Se cubre con Voucher.CustomerOrderNumber, distinto de InternalOrderNumber (2 datos independientes).</w:t>
            </w:r>
          </w:p>
        </w:tc>
        <w:tc>
          <w:tcPr>
            <w:tcW w:w="1064" w:type="dxa"/>
          </w:tcPr>
          <w:tcPr/>
          <w:p>
            <w:pPr>
              <w:pStyle w:val="Compact"/>
              <w:jc w:val="left"/>
            </w:pPr>
            <w:r>
              <w:t xml:space="preserve">Cubierto</w:t>
            </w:r>
          </w:p>
        </w:tc>
        <w:tc>
          <w:tcPr>
            <w:tcW w:w="1440" w:type="dxa"/>
          </w:tcPr>
          <w:tcPr/>
          <w:p>
            <w:pPr>
              <w:pStyle w:val="Compact"/>
              <w:jc w:val="left"/>
            </w:pPr>
            <w:r>
              <w:t xml:space="preserve">La matriz pide confirmar la diferencia con el Folio de Pedido Interno — ya resuelto en el diseño: son 2 campos separados en el DTO.</w:t>
            </w:r>
          </w:p>
        </w:tc>
      </w:tr>
      <w:tr>
        <w:tc>
          <w:tcPr>
            <w:tcW w:w="960" w:type="dxa"/>
          </w:tcPr>
          <w:tcPr/>
          <w:p>
            <w:pPr>
              <w:pStyle w:val="Compact"/>
              <w:jc w:val="left"/>
            </w:pPr>
            <w:r>
              <w:t xml:space="preserve">E1</w:t>
            </w:r>
          </w:p>
        </w:tc>
        <w:tc>
          <w:tcPr>
            <w:tcW w:w="4168" w:type="dxa"/>
          </w:tcPr>
          <w:tcPr/>
          <w:p>
            <w:pPr>
              <w:pStyle w:val="Compact"/>
              <w:jc w:val="left"/>
            </w:pPr>
            <w:r>
              <w:t xml:space="preserve">Dado que el sistema muestra la tabla de partidas, Cuando incluye los datos por cada partida, Entonces deberá mostrar: Número consecutivo. Descripción del producto (incluye nombre del producto, marca, catálogo y caducidad cuando aplique; sin lote). Clave SAT del Producto/Servicio (catálogo c_ClaveProdServ). Nº ID interno del producto. Cantidad. Unidad de Medida (descripción en texto). Clave Unidad SAT (catálogo c_ClaveUnidad). Valor Unitario con moneda. Importe con moneda (cantidad × valor unitario). Desglose de impuestos federales por partida: BASE, IMPUESTO (clave SAT), TIPO DE FACTOR, TASA/CUOTA, IMPORTE.</w:t>
            </w:r>
          </w:p>
        </w:tc>
        <w:tc>
          <w:tcPr>
            <w:tcW w:w="1728" w:type="dxa"/>
          </w:tcPr>
          <w:tcPr/>
          <w:p>
            <w:pPr>
              <w:pStyle w:val="Compact"/>
              <w:jc w:val="left"/>
            </w:pPr>
            <w:r>
              <w:t xml:space="preserve">Se cubre con Items[] (InvoiceItem + Taxes[]).</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E2</w:t>
            </w:r>
          </w:p>
        </w:tc>
        <w:tc>
          <w:tcPr>
            <w:tcW w:w="4168" w:type="dxa"/>
          </w:tcPr>
          <w:tcPr/>
          <w:p>
            <w:pPr>
              <w:pStyle w:val="Compact"/>
              <w:jc w:val="left"/>
            </w:pPr>
            <w:r>
              <w:t xml:space="preserve">Dado que el sistema arma los datos de cada partida, Cuando los obtiene, Entonces</w:t>
            </w:r>
            <w:r>
              <w:t xml:space="preserve"> </w:t>
            </w:r>
            <w:r>
              <w:rPr>
                <w:b/>
                <w:bCs/>
              </w:rPr>
              <w:t xml:space="preserve">pendiente clarificar el origen operativo de los datos de las partidas: descripción del producto, Clave SAT del Producto/Servicio, Nº ID interno, Cantidad, Unidad de Medida, Clave Unidad SAT, Valor Unitario, Importe, desglose de impuestos. No se ha confirmado si provienen del Catálogo de Productos, del Pedido, de catálogos SAT o de configuración adicional. Duda general aplicable a toda la sección de partidas.</w:t>
            </w:r>
          </w:p>
        </w:tc>
        <w:tc>
          <w:tcPr>
            <w:tcW w:w="1728" w:type="dxa"/>
          </w:tcPr>
          <w:tcPr/>
          <w:p>
            <w:pPr>
              <w:pStyle w:val="Compact"/>
              <w:jc w:val="left"/>
            </w:pPr>
            <w:r>
              <w:t xml:space="preserve">Llega armado como string; el origen operativo es responsabilidad de Back-end.</w:t>
            </w:r>
          </w:p>
        </w:tc>
        <w:tc>
          <w:tcPr>
            <w:tcW w:w="1064" w:type="dxa"/>
          </w:tcPr>
          <w:tcPr/>
          <w:p>
            <w:pPr>
              <w:pStyle w:val="Compact"/>
              <w:jc w:val="left"/>
            </w:pPr>
            <w:r>
              <w:t xml:space="preserve">Cubierto (maqueta agnóstica)</w:t>
            </w:r>
          </w:p>
        </w:tc>
        <w:tc>
          <w:tcPr>
            <w:tcW w:w="1440" w:type="dxa"/>
          </w:tcPr>
          <w:tcPr/>
          <w:p>
            <w:pPr>
              <w:pStyle w:val="Compact"/>
              <w:jc w:val="left"/>
            </w:pPr>
            <w:r>
              <w:t xml:space="preserve">Pendiente en la matriz clarificar si el dato viene del Catálogo de Productos, del Pedido, de catálogos SAT o de configuración adicional (Riesgo 2 de la matriz) — no bloquea la maqueta.</w:t>
            </w:r>
          </w:p>
        </w:tc>
      </w:tr>
      <w:tr>
        <w:tc>
          <w:tcPr>
            <w:tcW w:w="960" w:type="dxa"/>
          </w:tcPr>
          <w:tcPr/>
          <w:p>
            <w:pPr>
              <w:pStyle w:val="Compact"/>
              <w:jc w:val="left"/>
            </w:pPr>
            <w:r>
              <w:t xml:space="preserve">F1</w:t>
            </w:r>
          </w:p>
        </w:tc>
        <w:tc>
          <w:tcPr>
            <w:tcW w:w="4168" w:type="dxa"/>
          </w:tcPr>
          <w:tcPr/>
          <w:p>
            <w:pPr>
              <w:pStyle w:val="Compact"/>
              <w:jc w:val="left"/>
            </w:pPr>
            <w:r>
              <w:t xml:space="preserve">Dado que el sistema muestra el pie de totales, Cuando incluye la sección de retenciones, Entonces deberá mostrar las retenciones aplicables al CFDI (si no hay retenciones, la sección se muestra sin contenido).</w:t>
            </w:r>
          </w:p>
        </w:tc>
        <w:tc>
          <w:tcPr>
            <w:tcW w:w="1728" w:type="dxa"/>
          </w:tcPr>
          <w:tcPr/>
          <w:p>
            <w:pPr>
              <w:pStyle w:val="Compact"/>
              <w:jc w:val="left"/>
            </w:pPr>
            <w:r>
              <w:t xml:space="preserve">Se cubre con TaxSummary.Retentions[] + RetentionsEmptyText.</w:t>
            </w:r>
          </w:p>
        </w:tc>
        <w:tc>
          <w:tcPr>
            <w:tcW w:w="1064" w:type="dxa"/>
          </w:tcPr>
          <w:tcPr/>
          <w:p>
            <w:pPr>
              <w:pStyle w:val="Compact"/>
              <w:jc w:val="left"/>
            </w:pPr>
            <w:r>
              <w:t xml:space="preserve">Cubierto</w:t>
            </w:r>
          </w:p>
        </w:tc>
        <w:tc>
          <w:tcPr>
            <w:tcW w:w="1440" w:type="dxa"/>
          </w:tcPr>
          <w:tcPr/>
          <w:p>
            <w:pPr>
              <w:pStyle w:val="Compact"/>
              <w:jc w:val="left"/>
            </w:pPr>
            <w:r>
              <w:t xml:space="preserve">La matriz solo pide dejar la sección sin contenido si no hay retenciones; el diseño va un paso más allá y pinta un texto dinámico proveniente del back (RetentionsEmptyText) — decisión de UX, no contradice el criterio.</w:t>
            </w:r>
          </w:p>
        </w:tc>
      </w:tr>
      <w:tr>
        <w:tc>
          <w:tcPr>
            <w:tcW w:w="960" w:type="dxa"/>
          </w:tcPr>
          <w:tcPr/>
          <w:p>
            <w:pPr>
              <w:pStyle w:val="Compact"/>
              <w:jc w:val="left"/>
            </w:pPr>
            <w:r>
              <w:t xml:space="preserve">F2</w:t>
            </w:r>
          </w:p>
        </w:tc>
        <w:tc>
          <w:tcPr>
            <w:tcW w:w="4168" w:type="dxa"/>
          </w:tcPr>
          <w:tcPr/>
          <w:p>
            <w:pPr>
              <w:pStyle w:val="Compact"/>
              <w:jc w:val="left"/>
            </w:pPr>
            <w:r>
              <w:t xml:space="preserve">Dado que el sistema muestra los impuestos trasladados, Cuando incluye los datos, Entonces deberá mostrar el desglose del IVA con: IMPUESTO, TIPO FACTOR, TASA/CUOTA, IMPORTE.</w:t>
            </w:r>
          </w:p>
        </w:tc>
        <w:tc>
          <w:tcPr>
            <w:tcW w:w="1728" w:type="dxa"/>
          </w:tcPr>
          <w:tcPr/>
          <w:p>
            <w:pPr>
              <w:pStyle w:val="Compact"/>
              <w:jc w:val="left"/>
            </w:pPr>
            <w:r>
              <w:t xml:space="preserve">Se cubre con TaxSummary.Transfers[].</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F3</w:t>
            </w:r>
          </w:p>
        </w:tc>
        <w:tc>
          <w:tcPr>
            <w:tcW w:w="4168" w:type="dxa"/>
          </w:tcPr>
          <w:tcPr/>
          <w:p>
            <w:pPr>
              <w:pStyle w:val="Compact"/>
              <w:jc w:val="left"/>
            </w:pPr>
            <w:r>
              <w:t xml:space="preserve">Dado que el sistema muestra el total, Cuando incluye la conversión a letras, Entonces deberá mostrar el monto en palabras según la moneda (ejemplo:</w:t>
            </w:r>
            <w:r>
              <w:t xml:space="preserve"> </w:t>
            </w:r>
            <w:r>
              <w:t xml:space="preserve">“TREINTA Y UN MIL QUINIENTOS SETENTA DOLARES 00/100”</w:t>
            </w:r>
            <w:r>
              <w:t xml:space="preserve">).</w:t>
            </w:r>
          </w:p>
        </w:tc>
        <w:tc>
          <w:tcPr>
            <w:tcW w:w="1728" w:type="dxa"/>
          </w:tcPr>
          <w:tcPr/>
          <w:p>
            <w:pPr>
              <w:pStyle w:val="Compact"/>
              <w:jc w:val="left"/>
            </w:pPr>
            <w:r>
              <w:t xml:space="preserve">Se cubre con Totals.GrandTotalInWords.</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F4</w:t>
            </w:r>
          </w:p>
        </w:tc>
        <w:tc>
          <w:tcPr>
            <w:tcW w:w="4168" w:type="dxa"/>
          </w:tcPr>
          <w:tcPr/>
          <w:p>
            <w:pPr>
              <w:pStyle w:val="Compact"/>
              <w:jc w:val="left"/>
            </w:pPr>
            <w:r>
              <w:t xml:space="preserve">Dado que el sistema muestra los datos monetarios, Cuando incluye la información, Entonces deberá mostrar: Moneda con nombre completo. Tipo de Cambio al día de la generación.</w:t>
            </w:r>
          </w:p>
        </w:tc>
        <w:tc>
          <w:tcPr>
            <w:tcW w:w="1728" w:type="dxa"/>
          </w:tcPr>
          <w:tcPr/>
          <w:p>
            <w:pPr>
              <w:pStyle w:val="Compact"/>
              <w:jc w:val="left"/>
            </w:pPr>
            <w:r>
              <w:t xml:space="preserve">Se cubre con Totals.Currency y Totals.ExchangeRate.</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F5</w:t>
            </w:r>
          </w:p>
        </w:tc>
        <w:tc>
          <w:tcPr>
            <w:tcW w:w="4168" w:type="dxa"/>
          </w:tcPr>
          <w:tcPr/>
          <w:p>
            <w:pPr>
              <w:pStyle w:val="Compact"/>
              <w:jc w:val="left"/>
            </w:pPr>
            <w:r>
              <w:t xml:space="preserve">Dado que el sistema muestra el bloque final, Cuando incluye los montos, Entonces deberá mostrar: Subtotal (suma de los importes de las partidas). Impuestos Federales (suma de los traslados de IVA). Total (Subtotal + Impuestos Federales).</w:t>
            </w:r>
          </w:p>
        </w:tc>
        <w:tc>
          <w:tcPr>
            <w:tcW w:w="1728" w:type="dxa"/>
          </w:tcPr>
          <w:tcPr/>
          <w:p>
            <w:pPr>
              <w:pStyle w:val="Compact"/>
              <w:jc w:val="left"/>
            </w:pPr>
            <w:r>
              <w:t xml:space="preserve">Se cubre con Totals.Subtotal / FederalTaxes / GrandTotal.</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G1</w:t>
            </w:r>
          </w:p>
        </w:tc>
        <w:tc>
          <w:tcPr>
            <w:tcW w:w="4168" w:type="dxa"/>
          </w:tcPr>
          <w:tcPr/>
          <w:p>
            <w:pPr>
              <w:pStyle w:val="Compact"/>
              <w:jc w:val="left"/>
            </w:pPr>
            <w:r>
              <w:t xml:space="preserve">Dado que el sistema muestra los elementos técnicos de certificación, Cuando incluye los datos, Entonces deberá mostrar: Código QR de validación. Número de Serie del Certificado del SAT. Número de Serie del CSD del Emisor. Sello Digital del SAT. Sello Digital del CFDI. Cadena Original del Complemento de Certificación Digital del SAT.</w:t>
            </w:r>
          </w:p>
        </w:tc>
        <w:tc>
          <w:tcPr>
            <w:tcW w:w="1728" w:type="dxa"/>
          </w:tcPr>
          <w:tcPr/>
          <w:p>
            <w:pPr>
              <w:pStyle w:val="Compact"/>
              <w:jc w:val="left"/>
            </w:pPr>
            <w:r>
              <w:t xml:space="preserve">Se cubre con TaxStamp — QrImageBase64, SatCertSerial, IssuerCsdSerial, SatDigitalSeal, CfdiDigitalSeal, OriginalStringCcd.</w:t>
            </w:r>
          </w:p>
        </w:tc>
        <w:tc>
          <w:tcPr>
            <w:tcW w:w="1064" w:type="dxa"/>
          </w:tcPr>
          <w:tcPr/>
          <w:p>
            <w:pPr>
              <w:pStyle w:val="Compact"/>
              <w:jc w:val="left"/>
            </w:pPr>
            <w:r>
              <w:t xml:space="preserve">Cubierto</w:t>
            </w:r>
          </w:p>
        </w:tc>
        <w:tc>
          <w:tcPr>
            <w:tcW w:w="1440" w:type="dxa"/>
          </w:tcPr>
          <w:tcPr/>
          <w:p>
            <w:pPr>
              <w:pStyle w:val="Compact"/>
              <w:jc w:val="left"/>
            </w:pPr>
            <w:r>
              <w:t xml:space="preserve">Ver riesgo QR en Alcance: depende del mecanismo de entrega que confirme el diseño de backend, aún pendiente.</w:t>
            </w:r>
          </w:p>
        </w:tc>
      </w:tr>
      <w:tr>
        <w:tc>
          <w:tcPr>
            <w:tcW w:w="960" w:type="dxa"/>
          </w:tcPr>
          <w:tcPr/>
          <w:p>
            <w:pPr>
              <w:pStyle w:val="Compact"/>
              <w:jc w:val="left"/>
            </w:pPr>
            <w:r>
              <w:t xml:space="preserve">G2</w:t>
            </w:r>
          </w:p>
        </w:tc>
        <w:tc>
          <w:tcPr>
            <w:tcW w:w="4168" w:type="dxa"/>
          </w:tcPr>
          <w:tcPr/>
          <w:p>
            <w:pPr>
              <w:pStyle w:val="Compact"/>
              <w:jc w:val="left"/>
            </w:pPr>
            <w:r>
              <w:t xml:space="preserve">Dado que el sistema muestra la sección de elementos técnicos, Cuando obtiene los valores, Entonces deberá tomarlos del TimbreFiscalDigital del XML del CFDI timbrado por el PAC. El sistema NO calcula ni genera estos elementos; los recibe del PAC y los muestra en el PDF.</w:t>
            </w:r>
          </w:p>
        </w:tc>
        <w:tc>
          <w:tcPr>
            <w:tcW w:w="1728" w:type="dxa"/>
          </w:tcPr>
          <w:tcPr/>
          <w:p>
            <w:pPr>
              <w:pStyle w:val="Compact"/>
              <w:jc w:val="left"/>
            </w:pPr>
            <w:r>
              <w:t xml:space="preserve">La plantilla no calcula nada, solo pinta el TaxStamp recibido.</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G3</w:t>
            </w:r>
          </w:p>
        </w:tc>
        <w:tc>
          <w:tcPr>
            <w:tcW w:w="4168" w:type="dxa"/>
          </w:tcPr>
          <w:tcPr/>
          <w:p>
            <w:pPr>
              <w:pStyle w:val="Compact"/>
              <w:jc w:val="left"/>
            </w:pPr>
            <w:r>
              <w:t xml:space="preserve">Dado que el sistema muestra la sección de identificadores, Cuando incluye los datos, Entonces deberá mostrar: Serie y Folio del CFDI. Folio del Pedido Interno (PI) del sistema PQF2.</w:t>
            </w:r>
          </w:p>
        </w:tc>
        <w:tc>
          <w:tcPr>
            <w:tcW w:w="1728" w:type="dxa"/>
          </w:tcPr>
          <w:tcPr/>
          <w:p>
            <w:pPr>
              <w:pStyle w:val="Compact"/>
              <w:jc w:val="left"/>
            </w:pPr>
            <w:r>
              <w:t xml:space="preserve">Se cubre con Voucher.Series/Folio + Voucher.InternalOrderNumber.</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H1</w:t>
            </w:r>
          </w:p>
        </w:tc>
        <w:tc>
          <w:tcPr>
            <w:tcW w:w="4168" w:type="dxa"/>
          </w:tcPr>
          <w:tcPr/>
          <w:p>
            <w:pPr>
              <w:pStyle w:val="Compact"/>
              <w:jc w:val="left"/>
            </w:pPr>
            <w:r>
              <w:t xml:space="preserve">Dado que el sistema muestra el pie del documento, Cuando incluye el disclaimer, Entonces deberá mostrar el texto fijo:</w:t>
            </w:r>
            <w:r>
              <w:t xml:space="preserve"> </w:t>
            </w:r>
            <w:r>
              <w:t xml:space="preserve">“Representación impresa de un CFDI 4.0”</w:t>
            </w:r>
            <w:r>
              <w:t xml:space="preserve">.</w:t>
            </w:r>
          </w:p>
        </w:tc>
        <w:tc>
          <w:tcPr>
            <w:tcW w:w="1728" w:type="dxa"/>
          </w:tcPr>
          <w:tcPr/>
          <w:p>
            <w:pPr>
              <w:pStyle w:val="Compact"/>
              <w:jc w:val="left"/>
            </w:pPr>
            <w:r>
              <w:t xml:space="preserve">Texto fijo hardcode en la plantilla; no viaja en el DTO.</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H2</w:t>
            </w:r>
          </w:p>
        </w:tc>
        <w:tc>
          <w:tcPr>
            <w:tcW w:w="4168" w:type="dxa"/>
          </w:tcPr>
          <w:tcPr/>
          <w:p>
            <w:pPr>
              <w:pStyle w:val="Compact"/>
              <w:jc w:val="left"/>
            </w:pPr>
            <w:r>
              <w:t xml:space="preserve">Dado que el sistema muestra el pie, Cuando incluye certificaciones y métodos de pago, Entonces deberá mostrar las certificaciones vigentes (ISO 9001:2015, NEEC) y los métodos de pago aceptados aplicables.</w:t>
            </w:r>
            <w:r>
              <w:t xml:space="preserve"> </w:t>
            </w:r>
            <w:r>
              <w:rPr>
                <w:b/>
                <w:bCs/>
              </w:rPr>
              <w:t xml:space="preserve">Validar con el cliente vigencia y diseño actualizado.</w:t>
            </w:r>
          </w:p>
        </w:tc>
        <w:tc>
          <w:tcPr>
            <w:tcW w:w="1728" w:type="dxa"/>
          </w:tcPr>
          <w:tcPr/>
          <w:p>
            <w:pPr>
              <w:pStyle w:val="Compact"/>
              <w:jc w:val="left"/>
            </w:pPr>
            <w:r>
              <w:t xml:space="preserve">Se cubre con certificaciones y métodos de pago embebidos en base64 por TemplateKey.</w:t>
            </w:r>
          </w:p>
        </w:tc>
        <w:tc>
          <w:tcPr>
            <w:tcW w:w="1064" w:type="dxa"/>
          </w:tcPr>
          <w:tcPr/>
          <w:p>
            <w:pPr>
              <w:pStyle w:val="Compact"/>
              <w:jc w:val="left"/>
            </w:pPr>
            <w:r>
              <w:t xml:space="preserve">Cubierto</w:t>
            </w:r>
          </w:p>
        </w:tc>
        <w:tc>
          <w:tcPr>
            <w:tcW w:w="1440" w:type="dxa"/>
          </w:tcPr>
          <w:tcPr/>
          <w:p>
            <w:pPr>
              <w:pStyle w:val="Compact"/>
              <w:jc w:val="left"/>
            </w:pPr>
            <w:r>
              <w:t xml:space="preserve">Asumido vigente (igual criterio que 016). La matriz marca esto como pendiente de validar con el cliente vigencia y diseño actualizado — abierto, no bloquea la maqueta.</w:t>
            </w:r>
          </w:p>
        </w:tc>
      </w:tr>
      <w:tr>
        <w:tc>
          <w:tcPr>
            <w:tcW w:w="960" w:type="dxa"/>
          </w:tcPr>
          <w:tcPr/>
          <w:p>
            <w:pPr>
              <w:pStyle w:val="Compact"/>
              <w:jc w:val="left"/>
            </w:pPr>
            <w:r>
              <w:t xml:space="preserve">H3</w:t>
            </w:r>
          </w:p>
        </w:tc>
        <w:tc>
          <w:tcPr>
            <w:tcW w:w="4168" w:type="dxa"/>
          </w:tcPr>
          <w:tcPr/>
          <w:p>
            <w:pPr>
              <w:pStyle w:val="Compact"/>
              <w:jc w:val="left"/>
            </w:pPr>
            <w:r>
              <w:t xml:space="preserve">Dado que el sistema muestra el cierre del documento, Cuando incluye los logos institucionales, Entonces deberá mostrar los logos aplicables a la empresa emisora (EDQM, FEUM, USP, Microbiologics, APACOR, CHATA Biosystems, Pharmaffiliates).</w:t>
            </w:r>
            <w:r>
              <w:t xml:space="preserve"> </w:t>
            </w:r>
            <w:r>
              <w:rPr>
                <w:b/>
                <w:bCs/>
              </w:rPr>
              <w:t xml:space="preserve">Validar vigencia con el cliente.</w:t>
            </w:r>
          </w:p>
        </w:tc>
        <w:tc>
          <w:tcPr>
            <w:tcW w:w="1728" w:type="dxa"/>
          </w:tcPr>
          <w:tcPr/>
          <w:p>
            <w:pPr>
              <w:pStyle w:val="Compact"/>
              <w:jc w:val="left"/>
            </w:pPr>
            <w:r>
              <w:t xml:space="preserve">Se cubre con logos institucionales embebidos en base64 por TemplateKey.</w:t>
            </w:r>
          </w:p>
        </w:tc>
        <w:tc>
          <w:tcPr>
            <w:tcW w:w="1064" w:type="dxa"/>
          </w:tcPr>
          <w:tcPr/>
          <w:p>
            <w:pPr>
              <w:pStyle w:val="Compact"/>
              <w:jc w:val="left"/>
            </w:pPr>
            <w:r>
              <w:t xml:space="preserve">Cubierto</w:t>
            </w:r>
          </w:p>
        </w:tc>
        <w:tc>
          <w:tcPr>
            <w:tcW w:w="1440" w:type="dxa"/>
          </w:tcPr>
          <w:tcPr/>
          <w:p>
            <w:pPr>
              <w:pStyle w:val="Compact"/>
              <w:jc w:val="left"/>
            </w:pPr>
            <w:r>
              <w:t xml:space="preserve">La matriz marca esto como pendiente de validar vigencia con el cliente — abierto, no bloquea la maqueta.</w:t>
            </w:r>
          </w:p>
        </w:tc>
      </w:tr>
      <w:tr>
        <w:tc>
          <w:tcPr>
            <w:tcW w:w="960" w:type="dxa"/>
          </w:tcPr>
          <w:tcPr/>
          <w:p>
            <w:pPr>
              <w:pStyle w:val="Compact"/>
              <w:jc w:val="left"/>
            </w:pPr>
            <w:r>
              <w:t xml:space="preserve">H4</w:t>
            </w:r>
          </w:p>
        </w:tc>
        <w:tc>
          <w:tcPr>
            <w:tcW w:w="4168" w:type="dxa"/>
          </w:tcPr>
          <w:tcPr/>
          <w:p>
            <w:pPr>
              <w:pStyle w:val="Compact"/>
              <w:jc w:val="left"/>
            </w:pPr>
            <w:r>
              <w:t xml:space="preserve">Dado que el sistema completa el documento, Cuando incluye el contador de páginas, Entonces deberá mostrar</w:t>
            </w:r>
            <w:r>
              <w:t xml:space="preserve"> </w:t>
            </w:r>
            <w:r>
              <w:t xml:space="preserve">“X de Y”</w:t>
            </w:r>
            <w:r>
              <w:t xml:space="preserve"> </w:t>
            </w:r>
            <w:r>
              <w:t xml:space="preserve">en el pie del documento.</w:t>
            </w:r>
          </w:p>
        </w:tc>
        <w:tc>
          <w:tcPr>
            <w:tcW w:w="1728" w:type="dxa"/>
          </w:tcPr>
          <w:tcPr/>
          <w:p>
            <w:pPr>
              <w:pStyle w:val="Compact"/>
              <w:jc w:val="left"/>
            </w:pPr>
            <w:r>
              <w:t xml:space="preserve">Numeración calculada por el motor de render.</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I1</w:t>
            </w:r>
          </w:p>
        </w:tc>
        <w:tc>
          <w:tcPr>
            <w:tcW w:w="4168" w:type="dxa"/>
          </w:tcPr>
          <w:tcPr/>
          <w:p>
            <w:pPr>
              <w:pStyle w:val="Compact"/>
              <w:jc w:val="left"/>
            </w:pPr>
            <w:r>
              <w:t xml:space="preserve">Dado que el pedido tiene partidas que exceden el espacio disponible en una sola página, Cuando el sistema muestra el documento, Entonces deberá generar páginas adicionales con la misma cabecera y pie completo. La numeración se actualiza (1 de 5, 2 de 5, …, 5 de 5). Este comportamiento ya existe en PQF2.</w:t>
            </w:r>
          </w:p>
        </w:tc>
        <w:tc>
          <w:tcPr>
            <w:tcW w:w="1728" w:type="dxa"/>
          </w:tcPr>
          <w:tcPr/>
          <w:p>
            <w:pPr>
              <w:pStyle w:val="Compact"/>
              <w:jc w:val="left"/>
            </w:pPr>
            <w:r>
              <w:t xml:space="preserve">Paginación del motor de render (comportamiento ya existente en PQF2).</w:t>
            </w:r>
          </w:p>
        </w:tc>
        <w:tc>
          <w:tcPr>
            <w:tcW w:w="1064" w:type="dxa"/>
          </w:tcPr>
          <w:tcPr/>
          <w:p>
            <w:pPr>
              <w:pStyle w:val="Compact"/>
              <w:jc w:val="left"/>
            </w:pPr>
            <w:r>
              <w:t xml:space="preserve">Cubierto</w:t>
            </w:r>
          </w:p>
        </w:tc>
        <w:tc>
          <w:tcPr>
            <w:tcW w:w="1440" w:type="dxa"/>
          </w:tcPr>
          <w:tcPr/>
          <w:p>
            <w:pPr>
              <w:pStyle w:val="Compact"/>
              <w:jc w:val="left"/>
            </w:pPr>
            <w:r>
              <w:t xml:space="preserve">—</w:t>
            </w:r>
          </w:p>
        </w:tc>
      </w:tr>
      <w:tr>
        <w:tc>
          <w:tcPr>
            <w:tcW w:w="960" w:type="dxa"/>
          </w:tcPr>
          <w:tcPr/>
          <w:p>
            <w:pPr>
              <w:pStyle w:val="Compact"/>
              <w:jc w:val="left"/>
            </w:pPr>
            <w:r>
              <w:t xml:space="preserve">J1</w:t>
            </w:r>
          </w:p>
        </w:tc>
        <w:tc>
          <w:tcPr>
            <w:tcW w:w="4168" w:type="dxa"/>
          </w:tcPr>
          <w:tcPr/>
          <w:p>
            <w:pPr>
              <w:pStyle w:val="Compact"/>
              <w:jc w:val="left"/>
            </w:pPr>
            <w:r>
              <w:t xml:space="preserve">Dado que el PAC confirma el timbrado exitoso de la Factura, Cuando el sistema recibe la respuesta del PAC, Entonces deberá persistir el PDF y el XML timbrado en base de datos como artefacto fiscal inmutable.</w:t>
            </w:r>
          </w:p>
        </w:tc>
        <w:tc>
          <w:tcPr>
            <w:tcW w:w="1728" w:type="dxa"/>
          </w:tcPr>
          <w:tcPr/>
          <w:p>
            <w:pPr>
              <w:pStyle w:val="Compact"/>
              <w:jc w:val="left"/>
            </w:pPr>
            <w:r>
              <w:t xml:space="preserve">N/A en esta maqueta (render puro, sin persistencia).</w:t>
            </w:r>
          </w:p>
        </w:tc>
        <w:tc>
          <w:tcPr>
            <w:tcW w:w="1064" w:type="dxa"/>
          </w:tcPr>
          <w:tcPr/>
          <w:p>
            <w:pPr>
              <w:pStyle w:val="Compact"/>
              <w:jc w:val="left"/>
            </w:pPr>
            <w:r>
              <w:t xml:space="preserve">Fuera de alcance (Back-end)</w:t>
            </w:r>
          </w:p>
        </w:tc>
        <w:tc>
          <w:tcPr>
            <w:tcW w:w="1440" w:type="dxa"/>
          </w:tcPr>
          <w:tcPr/>
          <w:p>
            <w:pPr>
              <w:pStyle w:val="Compact"/>
              <w:jc w:val="left"/>
            </w:pPr>
            <w:r>
              <w:t xml:space="preserve">Responsabilidad del Back-end.</w:t>
            </w:r>
          </w:p>
        </w:tc>
      </w:tr>
      <w:tr>
        <w:tc>
          <w:tcPr>
            <w:tcW w:w="960" w:type="dxa"/>
          </w:tcPr>
          <w:tcPr/>
          <w:p>
            <w:pPr>
              <w:pStyle w:val="Compact"/>
              <w:jc w:val="left"/>
            </w:pPr>
            <w:r>
              <w:t xml:space="preserve">J2</w:t>
            </w:r>
          </w:p>
        </w:tc>
        <w:tc>
          <w:tcPr>
            <w:tcW w:w="4168" w:type="dxa"/>
          </w:tcPr>
          <w:tcPr/>
          <w:p>
            <w:pPr>
              <w:pStyle w:val="Compact"/>
              <w:jc w:val="left"/>
            </w:pPr>
            <w:r>
              <w:t xml:space="preserve">Dado que la Factura fue timbrada y persistida, Cuando un usuario consulta el PDF en cualquier momento posterior, Entonces el sistema deberá entregar el PDF almacenado en base de datos sin regenerarlo. La Factura es artefacto fiscal inmutable. Si los datos fuente del cliente o del emisor cambian después del timbrado, la Factura histórica conserva los datos originales sin modificación.</w:t>
            </w:r>
          </w:p>
        </w:tc>
        <w:tc>
          <w:tcPr>
            <w:tcW w:w="1728" w:type="dxa"/>
          </w:tcPr>
          <w:tcPr/>
          <w:p>
            <w:pPr>
              <w:pStyle w:val="Compact"/>
              <w:jc w:val="left"/>
            </w:pPr>
            <w:r>
              <w:t xml:space="preserve">N/A en esta maqueta (render puro, sin persistencia).</w:t>
            </w:r>
          </w:p>
        </w:tc>
        <w:tc>
          <w:tcPr>
            <w:tcW w:w="1064" w:type="dxa"/>
          </w:tcPr>
          <w:tcPr/>
          <w:p>
            <w:pPr>
              <w:pStyle w:val="Compact"/>
              <w:jc w:val="left"/>
            </w:pPr>
            <w:r>
              <w:t xml:space="preserve">Fuera de alcance (Back-end)</w:t>
            </w:r>
          </w:p>
        </w:tc>
        <w:tc>
          <w:tcPr>
            <w:tcW w:w="1440" w:type="dxa"/>
          </w:tcPr>
          <w:tcPr/>
          <w:p>
            <w:pPr>
              <w:pStyle w:val="Compact"/>
              <w:jc w:val="left"/>
            </w:pPr>
            <w:r>
              <w:t xml:space="preserve">Responsabilidad del Back-end.</w:t>
            </w:r>
          </w:p>
        </w:tc>
      </w:tr>
      <w:tr>
        <w:tc>
          <w:tcPr>
            <w:tcW w:w="960" w:type="dxa"/>
          </w:tcPr>
          <w:tcPr/>
          <w:p>
            <w:pPr>
              <w:pStyle w:val="Compact"/>
              <w:jc w:val="left"/>
            </w:pPr>
            <w:r>
              <w:t xml:space="preserve">K1–K4</w:t>
            </w:r>
          </w:p>
        </w:tc>
        <w:tc>
          <w:tcPr>
            <w:tcW w:w="4168" w:type="dxa"/>
          </w:tcPr>
          <w:tcPr/>
          <w:p>
            <w:pPr>
              <w:pStyle w:val="Compact"/>
              <w:jc w:val="left"/>
            </w:pPr>
            <w:r>
              <w:t xml:space="preserve">Sección K — Factura Anticipo (productos controlados). K1 (sugerido): reutilizar la misma estructura de la factura normal (Secciones A–J). K2 (sugerido): concepto de partida = anticipo recibido, detalle sin definir. K3 (sugerido): sin pedimento ni CFDI Relacionados (primera emisión). K4 (sugerido): Método de Pago PUE. Ninguno confirmado por PROQUIFA — texto completo en R16A-RE-FU-021-MATRIZ-CA.md.</w:t>
            </w:r>
          </w:p>
        </w:tc>
        <w:tc>
          <w:tcPr>
            <w:tcW w:w="1728" w:type="dxa"/>
          </w:tcPr>
          <w:tcPr/>
          <w:p>
            <w:pPr>
              <w:pStyle w:val="Compact"/>
              <w:jc w:val="left"/>
            </w:pPr>
            <w:r>
              <w:t xml:space="preserve">N/A en esta maqueta.</w:t>
            </w:r>
          </w:p>
        </w:tc>
        <w:tc>
          <w:tcPr>
            <w:tcW w:w="1064" w:type="dxa"/>
          </w:tcPr>
          <w:tcPr/>
          <w:p>
            <w:pPr>
              <w:pStyle w:val="Compact"/>
              <w:jc w:val="left"/>
            </w:pPr>
            <w:r>
              <w:t xml:space="preserve">Fuera de alcance</w:t>
            </w:r>
          </w:p>
        </w:tc>
        <w:tc>
          <w:tcPr>
            <w:tcW w:w="1440" w:type="dxa"/>
          </w:tcPr>
          <w:tcPr/>
          <w:p>
            <w:pPr>
              <w:pStyle w:val="Compact"/>
              <w:jc w:val="left"/>
            </w:pPr>
            <w:r>
              <w:t xml:space="preserve">No implementada por el cliente, sin PDF de referencia — ver Alcance.</w:t>
            </w:r>
          </w:p>
        </w:tc>
      </w:tr>
    </w:tbl>
    <w:p>
      <w:pPr>
        <w:pStyle w:val="Heading2"/>
      </w:pPr>
      <w:r>
        <w:rPr>
          <w:b/>
          <w:bCs/>
        </w:rPr>
        <w:t xml:space="preserve">Reglas técnicas aplicadas</w:t>
      </w:r>
    </w:p>
    <w:p>
      <w:pPr>
        <w:pStyle w:val="FirstParagraph"/>
      </w:pPr>
      <w:r>
        <w:t xml:space="preserve">Reglas de implementación (no de negocio) que la maqueta debe respetar.</w:t>
      </w:r>
    </w:p>
    <w:tbl>
      <w:tblPr>
        <w:tblStyle w:val="Table"/>
        <w:tblW w:type="pct" w:w="5000"/>
        <w:tblLayout w:type="fixed"/>
        <w:tblLook w:firstRow="1" w:lastRow="0" w:firstColumn="0" w:lastColumn="0" w:noHBand="0" w:noVBand="0" w:val="0020"/>
      </w:tblPr>
      <w:tblGrid>
        <w:gridCol w:w="1214"/>
        <w:gridCol w:w="8146"/>
      </w:tblGrid>
      <w:tr>
        <w:trPr>
          <w:tblHeader w:val="on"/>
        </w:trPr>
        <w:tc>
          <w:tcPr>
            <w:tcW w:w="1214" w:type="dxa"/>
            <w:shd w:val="clear" w:color="auto" w:fill="434343"/>
          </w:tcPr>
          <w:p>
            <w:pPr>
              <w:pStyle w:val="Compact"/>
              <w:jc w:val="left"/>
            </w:pPr>
            <w:r>
              <w:rPr>
                <w:b/>
                <w:color w:val="FFFFFF"/>
              </w:rPr>
              <w:t xml:space="preserve">Regla</w:t>
            </w:r>
          </w:p>
        </w:tc>
        <w:tc>
          <w:tcPr>
            <w:tcW w:w="8146" w:type="dxa"/>
            <w:shd w:val="clear" w:color="auto" w:fill="434343"/>
          </w:tcPr>
          <w:p>
            <w:pPr>
              <w:pStyle w:val="Compact"/>
              <w:jc w:val="left"/>
            </w:pPr>
            <w:r>
              <w:rPr>
                <w:b/>
                <w:color w:val="FFFFFF"/>
              </w:rPr>
              <w:t xml:space="preserve">Descripción</w:t>
            </w:r>
          </w:p>
        </w:tc>
      </w:tr>
      <w:tr>
        <w:tc>
          <w:tcPr>
            <w:tcW w:w="1214" w:type="dxa"/>
          </w:tcPr>
          <w:tcPr/>
          <w:p>
            <w:pPr>
              <w:pStyle w:val="Compact"/>
              <w:jc w:val="left"/>
            </w:pPr>
            <w:r>
              <w:t xml:space="preserve">RT-01</w:t>
            </w:r>
          </w:p>
        </w:tc>
        <w:tc>
          <w:tcPr>
            <w:tcW w:w="8146" w:type="dxa"/>
          </w:tcPr>
          <w:tcPr/>
          <w:p>
            <w:pPr>
              <w:pStyle w:val="Compact"/>
              <w:jc w:val="left"/>
            </w:pPr>
            <w:r>
              <w:t xml:space="preserve">La familia _MEX_FAC reutiliza las convenciones CSS y de paginación de _COT/_PED.</w:t>
            </w:r>
            <w:r>
              <w:t xml:space="preserve"> </w:t>
            </w:r>
            <w:r>
              <w:rPr>
                <w:b/>
                <w:bCs/>
              </w:rPr>
              <w:t xml:space="preserve">Cero cambios al motor RenderDocumentService</w:t>
            </w:r>
            <w:r>
              <w:t xml:space="preserve">: solo se agregan archivos de plantilla (estrategia aditiva).</w:t>
            </w:r>
          </w:p>
        </w:tc>
      </w:tr>
      <w:tr>
        <w:tc>
          <w:tcPr>
            <w:tcW w:w="1214" w:type="dxa"/>
          </w:tcPr>
          <w:tcPr/>
          <w:p>
            <w:pPr>
              <w:pStyle w:val="Compact"/>
              <w:jc w:val="left"/>
            </w:pPr>
            <w:r>
              <w:t xml:space="preserve">RT-02</w:t>
            </w:r>
          </w:p>
        </w:tc>
        <w:tc>
          <w:tcPr>
            <w:tcW w:w="8146" w:type="dxa"/>
          </w:tcPr>
          <w:tcPr/>
          <w:p>
            <w:pPr>
              <w:pStyle w:val="Compact"/>
              <w:jc w:val="left"/>
            </w:pPr>
            <w:r>
              <w:t xml:space="preserve">El branding (logo, color institucional, bloque de contacto y tira de certificaciones) se embebe como base64 en las piezas _H/_F por TemplateKey;</w:t>
            </w:r>
            <w:r>
              <w:t xml:space="preserve"> </w:t>
            </w:r>
            <w:r>
              <w:rPr>
                <w:b/>
                <w:bCs/>
              </w:rPr>
              <w:t xml:space="preserve">no viaja en los datos</w:t>
            </w:r>
            <w:r>
              <w:t xml:space="preserve">.</w:t>
            </w:r>
          </w:p>
        </w:tc>
      </w:tr>
      <w:tr>
        <w:tc>
          <w:tcPr>
            <w:tcW w:w="1214" w:type="dxa"/>
          </w:tcPr>
          <w:tcPr/>
          <w:p>
            <w:pPr>
              <w:pStyle w:val="Compact"/>
              <w:jc w:val="left"/>
            </w:pPr>
            <w:r>
              <w:t xml:space="preserve">RT-03</w:t>
            </w:r>
          </w:p>
        </w:tc>
        <w:tc>
          <w:tcPr>
            <w:tcW w:w="8146" w:type="dxa"/>
          </w:tcPr>
          <w:tcPr/>
          <w:p>
            <w:pPr>
              <w:pStyle w:val="Compact"/>
              <w:jc w:val="left"/>
            </w:pPr>
            <w:r>
              <w:t xml:space="preserve">La selección de familia (TemplateKey) se deriva</w:t>
            </w:r>
            <w:r>
              <w:t xml:space="preserve"> </w:t>
            </w:r>
            <w:r>
              <w:rPr>
                <w:b/>
                <w:bCs/>
              </w:rPr>
              <w:t xml:space="preserve">únicamente</w:t>
            </w:r>
            <w:r>
              <w:t xml:space="preserve"> </w:t>
            </w:r>
            <w:r>
              <w:t xml:space="preserve">de la empresa emisora del CFDI. La plantilla es agnóstica al banco y al producto — no contiene ninguna condición hardcodeada por empresa ni por banco.</w:t>
            </w:r>
          </w:p>
        </w:tc>
      </w:tr>
      <w:tr>
        <w:tc>
          <w:tcPr>
            <w:tcW w:w="1214" w:type="dxa"/>
          </w:tcPr>
          <w:tcPr/>
          <w:p>
            <w:pPr>
              <w:pStyle w:val="Compact"/>
              <w:jc w:val="left"/>
            </w:pPr>
            <w:r>
              <w:t xml:space="preserve">RT-04</w:t>
            </w:r>
          </w:p>
        </w:tc>
        <w:tc>
          <w:tcPr>
            <w:tcW w:w="8146" w:type="dxa"/>
          </w:tcPr>
          <w:tcPr/>
          <w:p>
            <w:pPr>
              <w:pStyle w:val="Compact"/>
              <w:jc w:val="left"/>
            </w:pPr>
            <w:r>
              <w:t xml:space="preserve">La plantilla renderiza cada campo como texto literal,</w:t>
            </w:r>
            <w:r>
              <w:t xml:space="preserve"> </w:t>
            </w:r>
            <w:r>
              <w:rPr>
                <w:b/>
                <w:bCs/>
              </w:rPr>
              <w:t xml:space="preserve">sin lógica condicional ni chequeo de nulos</w:t>
            </w:r>
            <w:r>
              <w:t xml:space="preserve">. Campo ausente/vacío ⇒ no se pinta — es el mecanismo que permite cubrir factura timbrada y preview con la misma plantilla.</w:t>
            </w:r>
          </w:p>
        </w:tc>
      </w:tr>
      <w:tr>
        <w:tc>
          <w:tcPr>
            <w:tcW w:w="1214" w:type="dxa"/>
          </w:tcPr>
          <w:tcPr/>
          <w:p>
            <w:pPr>
              <w:pStyle w:val="Compact"/>
              <w:jc w:val="left"/>
            </w:pPr>
            <w:r>
              <w:t xml:space="preserve">RT-05</w:t>
            </w:r>
          </w:p>
        </w:tc>
        <w:tc>
          <w:tcPr>
            <w:tcW w:w="8146" w:type="dxa"/>
          </w:tcPr>
          <w:tcPr/>
          <w:p>
            <w:pPr>
              <w:pStyle w:val="Compact"/>
              <w:jc w:val="left"/>
            </w:pPr>
            <w:r>
              <w:t xml:space="preserve">“Referencias Bancarias”</w:t>
            </w:r>
            <w:r>
              <w:t xml:space="preserve"> </w:t>
            </w:r>
            <w:r>
              <w:t xml:space="preserve">muestra</w:t>
            </w:r>
            <w:r>
              <w:t xml:space="preserve"> </w:t>
            </w:r>
            <w:r>
              <w:rPr>
                <w:b/>
                <w:bCs/>
              </w:rPr>
              <w:t xml:space="preserve">exactamente 2 cuentas</w:t>
            </w:r>
            <w:r>
              <w:t xml:space="preserve">: la plantilla itera las 2 primeras (índices 0 y 1) de BankAccounts[] y descarta el resto.</w:t>
            </w:r>
          </w:p>
        </w:tc>
      </w:tr>
      <w:tr>
        <w:tc>
          <w:tcPr>
            <w:tcW w:w="1214" w:type="dxa"/>
          </w:tcPr>
          <w:tcPr/>
          <w:p>
            <w:pPr>
              <w:pStyle w:val="Compact"/>
              <w:jc w:val="left"/>
            </w:pPr>
            <w:r>
              <w:t xml:space="preserve">RT-06</w:t>
            </w:r>
          </w:p>
        </w:tc>
        <w:tc>
          <w:tcPr>
            <w:tcW w:w="8146" w:type="dxa"/>
          </w:tcPr>
          <w:tcPr/>
          <w:p>
            <w:pPr>
              <w:pStyle w:val="Compact"/>
              <w:jc w:val="left"/>
            </w:pPr>
            <w:r>
              <w:t xml:space="preserve">El disclaimer</w:t>
            </w:r>
            <w:r>
              <w:t xml:space="preserve"> </w:t>
            </w:r>
            <w:r>
              <w:t xml:space="preserve">“Representación impresa de un CFDI 4.0”</w:t>
            </w:r>
            <w:r>
              <w:t xml:space="preserve"> </w:t>
            </w:r>
            <w:r>
              <w:t xml:space="preserve">es</w:t>
            </w:r>
            <w:r>
              <w:t xml:space="preserve"> </w:t>
            </w:r>
            <w:r>
              <w:rPr>
                <w:b/>
                <w:bCs/>
              </w:rPr>
              <w:t xml:space="preserve">texto fijo</w:t>
            </w:r>
            <w:r>
              <w:t xml:space="preserve"> </w:t>
            </w:r>
            <w:r>
              <w:t xml:space="preserve">de la plantilla; no viaja en los datos.</w:t>
            </w:r>
          </w:p>
        </w:tc>
      </w:tr>
      <w:tr>
        <w:tc>
          <w:tcPr>
            <w:tcW w:w="1214" w:type="dxa"/>
          </w:tcPr>
          <w:tcPr/>
          <w:p>
            <w:pPr>
              <w:pStyle w:val="Compact"/>
              <w:jc w:val="left"/>
            </w:pPr>
            <w:r>
              <w:t xml:space="preserve">RT-07</w:t>
            </w:r>
          </w:p>
        </w:tc>
        <w:tc>
          <w:tcPr>
            <w:tcW w:w="8146" w:type="dxa"/>
          </w:tcPr>
          <w:tcPr/>
          <w:p>
            <w:pPr>
              <w:pStyle w:val="Compact"/>
              <w:jc w:val="left"/>
            </w:pPr>
            <w:r>
              <w:t xml:space="preserve">La paginación</w:t>
            </w:r>
            <w:r>
              <w:t xml:space="preserve"> </w:t>
            </w:r>
            <w:r>
              <w:t xml:space="preserve">“X de Y”</w:t>
            </w:r>
            <w:r>
              <w:t xml:space="preserve"> </w:t>
            </w:r>
            <w:r>
              <w:t xml:space="preserve">la calcula el</w:t>
            </w:r>
            <w:r>
              <w:t xml:space="preserve"> </w:t>
            </w:r>
            <w:r>
              <w:rPr>
                <w:b/>
                <w:bCs/>
              </w:rPr>
              <w:t xml:space="preserve">motor de render</w:t>
            </w:r>
            <w:r>
              <w:t xml:space="preserve">; la tabla de partidas controla el salto de página; header (_H) y footer (_F) se repiten en cada página.</w:t>
            </w:r>
          </w:p>
        </w:tc>
      </w:tr>
      <w:tr>
        <w:tc>
          <w:tcPr>
            <w:tcW w:w="1214" w:type="dxa"/>
          </w:tcPr>
          <w:tcPr/>
          <w:p>
            <w:pPr>
              <w:pStyle w:val="Compact"/>
              <w:jc w:val="left"/>
            </w:pPr>
            <w:r>
              <w:t xml:space="preserve">RT-08</w:t>
            </w:r>
          </w:p>
        </w:tc>
        <w:tc>
          <w:tcPr>
            <w:tcW w:w="8146" w:type="dxa"/>
          </w:tcPr>
          <w:tcPr/>
          <w:p>
            <w:pPr>
              <w:pStyle w:val="Compact"/>
              <w:jc w:val="left"/>
            </w:pPr>
            <w:r>
              <w:t xml:space="preserve">Los campos se nombran en</w:t>
            </w:r>
            <w:r>
              <w:t xml:space="preserve"> </w:t>
            </w:r>
            <w:r>
              <w:rPr>
                <w:b/>
                <w:bCs/>
              </w:rPr>
              <w:t xml:space="preserve">inglés</w:t>
            </w:r>
            <w:r>
              <w:t xml:space="preserve">, genéricos donde es posible compartir patrón con Perú/022 (TaxId, InterbankCode, Customer, Items, BankAccounts, Totals). El bloque TaxStamp se aísla a propósito: es específico de CFDI/SAT; Perú (CPE/SUNAT) tendría su propio bloque fiscal sin tocar el resto.</w:t>
            </w:r>
          </w:p>
        </w:tc>
      </w:tr>
      <w:tr>
        <w:tc>
          <w:tcPr>
            <w:tcW w:w="1214" w:type="dxa"/>
          </w:tcPr>
          <w:tcPr/>
          <w:p>
            <w:pPr>
              <w:pStyle w:val="Compact"/>
              <w:jc w:val="left"/>
            </w:pPr>
            <w:r>
              <w:t xml:space="preserve">RT-09</w:t>
            </w:r>
          </w:p>
        </w:tc>
        <w:tc>
          <w:tcPr>
            <w:tcW w:w="8146" w:type="dxa"/>
          </w:tcPr>
          <w:tcPr/>
          <w:p>
            <w:pPr>
              <w:pStyle w:val="Compact"/>
              <w:jc w:val="left"/>
            </w:pPr>
            <w:r>
              <w:t xml:space="preserve">Items[].Taxes[] es un</w:t>
            </w:r>
            <w:r>
              <w:t xml:space="preserve"> </w:t>
            </w:r>
            <w:r>
              <w:rPr>
                <w:b/>
                <w:bCs/>
              </w:rPr>
              <w:t xml:space="preserve">arreglo</w:t>
            </w:r>
            <w:r>
              <w:t xml:space="preserve"> </w:t>
            </w:r>
            <w:r>
              <w:t xml:space="preserve">de impuestos por partida, preparado para más de un impuesto (ej. IVA + IEPS) aunque hoy siempre llegue uno solo. La plantilla itera el arreglo sin asumir cantidad fija.</w:t>
            </w:r>
          </w:p>
        </w:tc>
      </w:tr>
      <w:tr>
        <w:tc>
          <w:tcPr>
            <w:tcW w:w="1214" w:type="dxa"/>
          </w:tcPr>
          <w:tcPr/>
          <w:p>
            <w:pPr>
              <w:pStyle w:val="Compact"/>
              <w:jc w:val="left"/>
            </w:pPr>
            <w:r>
              <w:t xml:space="preserve">RT-10</w:t>
            </w:r>
          </w:p>
        </w:tc>
        <w:tc>
          <w:tcPr>
            <w:tcW w:w="8146" w:type="dxa"/>
          </w:tcPr>
          <w:tcPr/>
          <w:p>
            <w:pPr>
              <w:pStyle w:val="Compact"/>
              <w:jc w:val="left"/>
            </w:pPr>
            <w:r>
              <w:t xml:space="preserve">El QR (TaxStamp.QrImageBase64) se pinta como imagen si llega; si no llega,</w:t>
            </w:r>
            <w:r>
              <w:t xml:space="preserve"> </w:t>
            </w:r>
            <w:r>
              <w:rPr>
                <w:b/>
                <w:bCs/>
              </w:rPr>
              <w:t xml:space="preserve">no se pinta y se reserva el espacio</w:t>
            </w:r>
            <w:r>
              <w:t xml:space="preserve"> </w:t>
            </w:r>
            <w:r>
              <w:t xml:space="preserve">en el layout. Depende del diseño de backend, aún pendiente (ver riesgo QR en Alcance).</w:t>
            </w:r>
          </w:p>
        </w:tc>
      </w:tr>
      <w:tr>
        <w:tc>
          <w:tcPr>
            <w:tcW w:w="1214" w:type="dxa"/>
          </w:tcPr>
          <w:tcPr/>
          <w:p>
            <w:pPr>
              <w:pStyle w:val="Compact"/>
              <w:jc w:val="left"/>
            </w:pPr>
            <w:r>
              <w:t xml:space="preserve">RT-11</w:t>
            </w:r>
          </w:p>
        </w:tc>
        <w:tc>
          <w:tcPr>
            <w:tcW w:w="8146" w:type="dxa"/>
          </w:tcPr>
          <w:tcPr/>
          <w:p>
            <w:pPr>
              <w:pStyle w:val="Compact"/>
              <w:jc w:val="left"/>
            </w:pPr>
            <w:r>
              <w:t xml:space="preserve">TaxSummary.RetentionsEmptyText es un texto</w:t>
            </w:r>
            <w:r>
              <w:t xml:space="preserve"> </w:t>
            </w:r>
            <w:r>
              <w:rPr>
                <w:b/>
                <w:bCs/>
              </w:rPr>
              <w:t xml:space="preserve">dinámico proveniente del back</w:t>
            </w:r>
            <w:r>
              <w:t xml:space="preserve"> </w:t>
            </w:r>
            <w:r>
              <w:t xml:space="preserve">que se pinta solo cuando Retentions[] llega vacío; si Retentions[] trae elementos, se pinta el arreglo y se ignora este campo.</w:t>
            </w:r>
          </w:p>
        </w:tc>
      </w:tr>
      <w:tr>
        <w:tc>
          <w:tcPr>
            <w:tcW w:w="1214" w:type="dxa"/>
          </w:tcPr>
          <w:tcPr/>
          <w:p>
            <w:pPr>
              <w:pStyle w:val="Compact"/>
              <w:jc w:val="left"/>
            </w:pPr>
            <w:r>
              <w:t xml:space="preserve">RT-12</w:t>
            </w:r>
          </w:p>
        </w:tc>
        <w:tc>
          <w:tcPr>
            <w:tcW w:w="8146" w:type="dxa"/>
          </w:tcPr>
          <w:tcPr/>
          <w:p>
            <w:pPr>
              <w:pStyle w:val="Compact"/>
              <w:jc w:val="left"/>
            </w:pPr>
            <w:r>
              <w:t xml:space="preserve">La plantilla no captura ni silencia errores: un TemplateKey inexistente o un HTML mal formado se propaga como error del motor; no se produce un</w:t>
            </w:r>
            <w:r>
              <w:t xml:space="preserve"> </w:t>
            </w:r>
            <w:r>
              <w:t xml:space="preserve">“PDF a medias”</w:t>
            </w:r>
            <w:r>
              <w:t xml:space="preserve"> </w:t>
            </w:r>
            <w:r>
              <w:t xml:space="preserve">silencioso.</w:t>
            </w:r>
          </w:p>
        </w:tc>
      </w:tr>
      <w:tr>
        <w:tc>
          <w:tcPr>
            <w:tcW w:w="1214" w:type="dxa"/>
          </w:tcPr>
          <w:tcPr/>
          <w:p>
            <w:pPr>
              <w:pStyle w:val="Compact"/>
              <w:jc w:val="left"/>
            </w:pPr>
            <w:r>
              <w:t xml:space="preserve">RT-13</w:t>
            </w:r>
          </w:p>
        </w:tc>
        <w:tc>
          <w:tcPr>
            <w:tcW w:w="8146" w:type="dxa"/>
          </w:tcPr>
          <w:tcPr/>
          <w:p>
            <w:pPr>
              <w:pStyle w:val="Compact"/>
              <w:jc w:val="left"/>
            </w:pPr>
            <w:r>
              <w:t xml:space="preserve">El color de header/footer es el</w:t>
            </w:r>
            <w:r>
              <w:t xml:space="preserve"> </w:t>
            </w:r>
            <w:r>
              <w:rPr>
                <w:b/>
                <w:bCs/>
              </w:rPr>
              <w:t xml:space="preserve">institucional de la empresa emisora</w:t>
            </w:r>
            <w:r>
              <w:t xml:space="preserve">, no un color fijo.</w:t>
            </w:r>
          </w:p>
        </w:tc>
      </w:tr>
    </w:tbl>
    <w:p>
      <w:pPr>
        <w:pStyle w:val="Heading1"/>
      </w:pPr>
      <w:r>
        <w:rPr>
          <w:b/>
          <w:bCs/>
        </w:rPr>
        <w:t xml:space="preserve">Diseño de componentes</w:t>
      </w:r>
    </w:p>
    <w:p>
      <w:pPr>
        <w:pStyle w:val="Heading2"/>
      </w:pPr>
      <w:r>
        <w:rPr>
          <w:b/>
          <w:bCs/>
        </w:rPr>
        <w:t xml:space="preserve">Diagrama de flujo</w:t>
      </w:r>
    </w:p>
    <w:p>
      <w:pPr>
        <w:pStyle w:val="FirstParagraph"/>
      </w:pPr>
      <w:r>
        <w:t xml:space="preserve">Flujo de datos hasta el render: DocumentBuilder selecciona la familia _MEX_FAC por empresa emisora y renderiza el PDF con Scriban.</w:t>
      </w:r>
    </w:p>
    <w:p>
      <w:pPr>
        <w:pStyle w:val="SourceCode"/>
      </w:pPr>
      <w:r>
        <w:rPr>
          <w:rStyle w:val="KeywordTok"/>
        </w:rPr>
        <w:t xml:space="preserve">flowchart</w:t>
      </w:r>
      <w:r>
        <w:rPr>
          <w:rStyle w:val="NormalTok"/>
        </w:rPr>
        <w:t xml:space="preserve"> </w:t>
      </w:r>
      <w:r>
        <w:rPr>
          <w:rStyle w:val="BuiltInTok"/>
        </w:rPr>
        <w:t xml:space="preserve">LR</w:t>
      </w:r>
      <w:r>
        <w:br/>
      </w:r>
      <w:r>
        <w:rPr>
          <w:rStyle w:val="NormalTok"/>
        </w:rPr>
        <w:t xml:space="preserve">    IN</w:t>
      </w:r>
      <w:r>
        <w:rPr>
          <w:rStyle w:val="FunctionTok"/>
        </w:rPr>
        <w:t xml:space="preserve">[InvoiceDocumentDto]</w:t>
      </w:r>
      <w:r>
        <w:rPr>
          <w:rStyle w:val="NormalTok"/>
        </w:rPr>
        <w:t xml:space="preserve"> </w:t>
      </w:r>
      <w:r>
        <w:rPr>
          <w:rStyle w:val="OperatorTok"/>
        </w:rPr>
        <w:t xml:space="preserve">--&gt;</w:t>
      </w:r>
      <w:r>
        <w:rPr>
          <w:rStyle w:val="NormalTok"/>
        </w:rPr>
        <w:t xml:space="preserve"> REPORT</w:t>
      </w:r>
      <w:r>
        <w:rPr>
          <w:rStyle w:val="FunctionTok"/>
        </w:rPr>
        <w:t xml:space="preserve">[ReportController - DocumentBuilder]</w:t>
      </w:r>
      <w:r>
        <w:br/>
      </w:r>
      <w:r>
        <w:rPr>
          <w:rStyle w:val="NormalTok"/>
        </w:rPr>
        <w:t xml:space="preserve">    REPORT </w:t>
      </w:r>
      <w:r>
        <w:rPr>
          <w:rStyle w:val="OperatorTok"/>
        </w:rPr>
        <w:t xml:space="preserve">--&gt;</w:t>
      </w:r>
      <w:r>
        <w:rPr>
          <w:rStyle w:val="SpecialStringTok"/>
        </w:rPr>
        <w:t xml:space="preserve">|IssuingCompany|</w:t>
      </w:r>
      <w:r>
        <w:rPr>
          <w:rStyle w:val="NormalTok"/>
        </w:rPr>
        <w:t xml:space="preserve"> KEY</w:t>
      </w:r>
      <w:r>
        <w:rPr>
          <w:rStyle w:val="FunctionTok"/>
        </w:rPr>
        <w:t xml:space="preserve">{TemplateKey}</w:t>
      </w:r>
      <w:r>
        <w:br/>
      </w:r>
      <w:r>
        <w:rPr>
          <w:rStyle w:val="NormalTok"/>
        </w:rPr>
        <w:t xml:space="preserve">    KEY </w:t>
      </w:r>
      <w:r>
        <w:rPr>
          <w:rStyle w:val="OperatorTok"/>
        </w:rPr>
        <w:t xml:space="preserve">--&gt;</w:t>
      </w:r>
      <w:r>
        <w:rPr>
          <w:rStyle w:val="NormalTok"/>
        </w:rPr>
        <w:t xml:space="preserve"> T1</w:t>
      </w:r>
      <w:r>
        <w:rPr>
          <w:rStyle w:val="FunctionTok"/>
        </w:rPr>
        <w:t xml:space="preserve">[GOL_MEX_FAC]</w:t>
      </w:r>
      <w:r>
        <w:br/>
      </w:r>
      <w:r>
        <w:rPr>
          <w:rStyle w:val="NormalTok"/>
        </w:rPr>
        <w:t xml:space="preserve">    KEY </w:t>
      </w:r>
      <w:r>
        <w:rPr>
          <w:rStyle w:val="OperatorTok"/>
        </w:rPr>
        <w:t xml:space="preserve">--&gt;</w:t>
      </w:r>
      <w:r>
        <w:rPr>
          <w:rStyle w:val="NormalTok"/>
        </w:rPr>
        <w:t xml:space="preserve"> T2</w:t>
      </w:r>
      <w:r>
        <w:rPr>
          <w:rStyle w:val="FunctionTok"/>
        </w:rPr>
        <w:t xml:space="preserve">[MUN_MEX_FAC]</w:t>
      </w:r>
      <w:r>
        <w:br/>
      </w:r>
      <w:r>
        <w:rPr>
          <w:rStyle w:val="NormalTok"/>
        </w:rPr>
        <w:t xml:space="preserve">    KEY </w:t>
      </w:r>
      <w:r>
        <w:rPr>
          <w:rStyle w:val="OperatorTok"/>
        </w:rPr>
        <w:t xml:space="preserve">--&gt;</w:t>
      </w:r>
      <w:r>
        <w:rPr>
          <w:rStyle w:val="NormalTok"/>
        </w:rPr>
        <w:t xml:space="preserve"> T3</w:t>
      </w:r>
      <w:r>
        <w:rPr>
          <w:rStyle w:val="FunctionTok"/>
        </w:rPr>
        <w:t xml:space="preserve">[PQF_MEX_FAC]</w:t>
      </w:r>
      <w:r>
        <w:br/>
      </w:r>
      <w:r>
        <w:rPr>
          <w:rStyle w:val="NormalTok"/>
        </w:rPr>
        <w:t xml:space="preserve">    KEY </w:t>
      </w:r>
      <w:r>
        <w:rPr>
          <w:rStyle w:val="OperatorTok"/>
        </w:rPr>
        <w:t xml:space="preserve">--&gt;</w:t>
      </w:r>
      <w:r>
        <w:rPr>
          <w:rStyle w:val="NormalTok"/>
        </w:rPr>
        <w:t xml:space="preserve"> T4</w:t>
      </w:r>
      <w:r>
        <w:rPr>
          <w:rStyle w:val="FunctionTok"/>
        </w:rPr>
        <w:t xml:space="preserve">[PRO_MEX_FAC]</w:t>
      </w:r>
      <w:r>
        <w:br/>
      </w:r>
      <w:r>
        <w:rPr>
          <w:rStyle w:val="NormalTok"/>
        </w:rPr>
        <w:t xml:space="preserve">    T1 &amp; T2 &amp; T3 &amp; T4 </w:t>
      </w:r>
      <w:r>
        <w:rPr>
          <w:rStyle w:val="OperatorTok"/>
        </w:rPr>
        <w:t xml:space="preserve">--&gt;</w:t>
      </w:r>
      <w:r>
        <w:rPr>
          <w:rStyle w:val="SpecialStringTok"/>
        </w:rPr>
        <w:t xml:space="preserve">|Scriban sobre diccionario|</w:t>
      </w:r>
      <w:r>
        <w:rPr>
          <w:rStyle w:val="NormalTok"/>
        </w:rPr>
        <w:t xml:space="preserve"> PDF</w:t>
      </w:r>
      <w:r>
        <w:rPr>
          <w:rStyle w:val="FunctionTok"/>
        </w:rPr>
        <w:t xml:space="preserve">[PDF bytes]</w:t>
      </w:r>
    </w:p>
    <w:p>
      <w:pPr>
        <w:pStyle w:val="FirstParagraph"/>
      </w:pPr>
      <w:r>
        <w:drawing>
          <wp:inline>
            <wp:extent cx="5486400" cy="1462573"/>
            <wp:effectExtent b="0" l="0" r="0" t="0"/>
            <wp:docPr descr="" title="" id="29" name="Picture"/>
            <a:graphic>
              <a:graphicData uri="http://schemas.openxmlformats.org/drawingml/2006/picture">
                <pic:pic>
                  <pic:nvPicPr>
                    <pic:cNvPr descr="C:\Users\jose.santiago\Projects\R16\pipeline-gdocs\enhances\.cache\a3a22c63.png" id="30" name="Picture"/>
                    <pic:cNvPicPr>
                      <a:picLocks noChangeArrowheads="1" noChangeAspect="1"/>
                    </pic:cNvPicPr>
                  </pic:nvPicPr>
                  <pic:blipFill>
                    <a:blip r:embed="rId28"/>
                    <a:stretch>
                      <a:fillRect/>
                    </a:stretch>
                  </pic:blipFill>
                  <pic:spPr bwMode="auto">
                    <a:xfrm>
                      <a:off x="0" y="0"/>
                      <a:ext cx="5486400" cy="1462573"/>
                    </a:xfrm>
                    <a:prstGeom prst="rect">
                      <a:avLst/>
                    </a:prstGeom>
                    <a:noFill/>
                    <a:ln w="9525">
                      <a:noFill/>
                      <a:headEnd/>
                      <a:tailEnd/>
                    </a:ln>
                  </pic:spPr>
                </pic:pic>
              </a:graphicData>
            </a:graphic>
          </wp:inline>
        </w:drawing>
      </w:r>
    </w:p>
    <w:p>
      <w:pPr>
        <w:pStyle w:val="BodyText"/>
      </w:pPr>
      <w:r>
        <w:t xml:space="preserve">Ninguna de las 4 rutas _MEX_FAC existe hoy en DocumentBuilder/API/Resources/Templates/ — solo existen _COT y _PED. La convención de carpeta/archivo a replicar es API/Resources/Templates/&lt;PREFIJO&gt;_MEX_FAC/&lt;PREFIJO&gt;</w:t>
      </w:r>
      <w:r>
        <w:rPr>
          <w:i/>
          <w:iCs/>
        </w:rPr>
        <w:t xml:space="preserve">MEX_FAC</w:t>
      </w:r>
      <w:r>
        <w:t xml:space="preserve">{H,B,F}.html.</w:t>
      </w:r>
    </w:p>
    <w:p>
      <w:pPr>
        <w:pStyle w:val="Heading2"/>
      </w:pPr>
      <w:r>
        <w:rPr>
          <w:b/>
          <w:bCs/>
        </w:rPr>
        <w:t xml:space="preserve">Diagrama de secuencia — Render de la Factura (timbrada o preview)</w:t>
      </w:r>
    </w:p>
    <w:p>
      <w:pPr>
        <w:pStyle w:val="FirstParagraph"/>
      </w:pPr>
      <w:r>
        <w:t xml:space="preserve">Orden de llamadas entre componentes y responsable de cada paso, desde que el Back-end (aún sin DIS propio) solicita el render hasta que recibe el PDF.</w:t>
      </w:r>
    </w:p>
    <w:p>
      <w:pPr>
        <w:pStyle w:val="SourceCode"/>
      </w:pPr>
      <w:r>
        <w:rPr>
          <w:rStyle w:val="KeywordTok"/>
        </w:rPr>
        <w:t xml:space="preserve">sequenceDiagram</w:t>
      </w:r>
      <w:r>
        <w:br/>
      </w:r>
      <w:r>
        <w:rPr>
          <w:rStyle w:val="NormalTok"/>
        </w:rPr>
        <w:t xml:space="preserve">    </w:t>
      </w:r>
      <w:r>
        <w:rPr>
          <w:rStyle w:val="KeywordTok"/>
        </w:rPr>
        <w:t xml:space="preserve">participant</w:t>
      </w:r>
      <w:r>
        <w:rPr>
          <w:rStyle w:val="NormalTok"/>
        </w:rPr>
        <w:t xml:space="preserve"> BE </w:t>
      </w:r>
      <w:r>
        <w:rPr>
          <w:rStyle w:val="KeywordTok"/>
        </w:rPr>
        <w:t xml:space="preserve">as</w:t>
      </w:r>
      <w:r>
        <w:rPr>
          <w:rStyle w:val="NormalTok"/>
        </w:rPr>
        <w:t xml:space="preserve"> Back-</w:t>
      </w:r>
      <w:r>
        <w:rPr>
          <w:rStyle w:val="KeywordTok"/>
        </w:rPr>
        <w:t xml:space="preserve">end</w:t>
      </w:r>
      <w:r>
        <w:rPr>
          <w:rStyle w:val="NormalTok"/>
        </w:rPr>
        <w:t xml:space="preserve"> </w:t>
      </w:r>
      <w:r>
        <w:rPr>
          <w:rStyle w:val="FunctionTok"/>
        </w:rPr>
        <w:t xml:space="preserve">(Facturación/Timbrado)</w:t>
      </w:r>
      <w:r>
        <w:rPr>
          <w:rStyle w:val="NormalTok"/>
        </w:rPr>
        <w:t xml:space="preserve"> </w:t>
      </w:r>
      <w:r>
        <w:rPr>
          <w:rStyle w:val="FunctionTok"/>
        </w:rPr>
        <w:t xml:space="preserve">[pendiente DIS]</w:t>
      </w:r>
      <w:r>
        <w:br/>
      </w:r>
      <w:r>
        <w:rPr>
          <w:rStyle w:val="NormalTok"/>
        </w:rPr>
        <w:t xml:space="preserve">    </w:t>
      </w:r>
      <w:r>
        <w:rPr>
          <w:rStyle w:val="KeywordTok"/>
        </w:rPr>
        <w:t xml:space="preserve">participant</w:t>
      </w:r>
      <w:r>
        <w:rPr>
          <w:rStyle w:val="NormalTok"/>
        </w:rPr>
        <w:t xml:space="preserve"> RC </w:t>
      </w:r>
      <w:r>
        <w:rPr>
          <w:rStyle w:val="KeywordTok"/>
        </w:rPr>
        <w:t xml:space="preserve">as</w:t>
      </w:r>
      <w:r>
        <w:rPr>
          <w:rStyle w:val="NormalTok"/>
        </w:rPr>
        <w:t xml:space="preserve"> ReportController</w:t>
      </w:r>
      <w:r>
        <w:br/>
      </w:r>
      <w:r>
        <w:rPr>
          <w:rStyle w:val="NormalTok"/>
        </w:rPr>
        <w:t xml:space="preserve">    </w:t>
      </w:r>
      <w:r>
        <w:rPr>
          <w:rStyle w:val="KeywordTok"/>
        </w:rPr>
        <w:t xml:space="preserve">participant</w:t>
      </w:r>
      <w:r>
        <w:rPr>
          <w:rStyle w:val="NormalTok"/>
        </w:rPr>
        <w:t xml:space="preserve"> RDS </w:t>
      </w:r>
      <w:r>
        <w:rPr>
          <w:rStyle w:val="KeywordTok"/>
        </w:rPr>
        <w:t xml:space="preserve">as</w:t>
      </w:r>
      <w:r>
        <w:rPr>
          <w:rStyle w:val="NormalTok"/>
        </w:rPr>
        <w:t xml:space="preserve"> RenderDocumentService</w:t>
      </w:r>
      <w:r>
        <w:br/>
      </w:r>
      <w:r>
        <w:rPr>
          <w:rStyle w:val="NormalTok"/>
        </w:rPr>
        <w:t xml:space="preserve">    </w:t>
      </w:r>
      <w:r>
        <w:rPr>
          <w:rStyle w:val="KeywordTok"/>
        </w:rPr>
        <w:t xml:space="preserve">participant</w:t>
      </w:r>
      <w:r>
        <w:rPr>
          <w:rStyle w:val="NormalTok"/>
        </w:rPr>
        <w:t xml:space="preserve"> TPL </w:t>
      </w:r>
      <w:r>
        <w:rPr>
          <w:rStyle w:val="KeywordTok"/>
        </w:rPr>
        <w:t xml:space="preserve">as</w:t>
      </w:r>
      <w:r>
        <w:rPr>
          <w:rStyle w:val="NormalTok"/>
        </w:rPr>
        <w:t xml:space="preserve"> Familia _MEX_FAC </w:t>
      </w:r>
      <w:r>
        <w:rPr>
          <w:rStyle w:val="FunctionTok"/>
        </w:rPr>
        <w:t xml:space="preserve">(Scriban _H/_B/_F)</w:t>
      </w:r>
      <w:r>
        <w:br/>
      </w:r>
      <w:r>
        <w:br/>
      </w:r>
      <w:r>
        <w:rPr>
          <w:rStyle w:val="NormalTok"/>
        </w:rPr>
        <w:t xml:space="preserve">    BE</w:t>
      </w:r>
      <w:r>
        <w:rPr>
          <w:rStyle w:val="OperatorTok"/>
        </w:rPr>
        <w:t xml:space="preserve">-&gt;&gt;</w:t>
      </w:r>
      <w:r>
        <w:rPr>
          <w:rStyle w:val="NormalTok"/>
        </w:rPr>
        <w:t xml:space="preserve">RC: POST render</w:t>
      </w:r>
      <w:r>
        <w:rPr>
          <w:rStyle w:val="FunctionTok"/>
        </w:rPr>
        <w:t xml:space="preserve">(InvoiceDocumentDto, TemplateKey)</w:t>
      </w:r>
      <w:r>
        <w:br/>
      </w:r>
      <w:r>
        <w:rPr>
          <w:rStyle w:val="NormalTok"/>
        </w:rPr>
        <w:t xml:space="preserve">    RC</w:t>
      </w:r>
      <w:r>
        <w:rPr>
          <w:rStyle w:val="OperatorTok"/>
        </w:rPr>
        <w:t xml:space="preserve">-&gt;&gt;</w:t>
      </w:r>
      <w:r>
        <w:rPr>
          <w:rStyle w:val="NormalTok"/>
        </w:rPr>
        <w:t xml:space="preserve">RC: Resuelve TemplateKey por IssuingCompany</w:t>
      </w:r>
      <w:r>
        <w:br/>
      </w:r>
      <w:r>
        <w:rPr>
          <w:rStyle w:val="NormalTok"/>
        </w:rPr>
        <w:t xml:space="preserve">    RC</w:t>
      </w:r>
      <w:r>
        <w:rPr>
          <w:rStyle w:val="OperatorTok"/>
        </w:rPr>
        <w:t xml:space="preserve">-&gt;&gt;</w:t>
      </w:r>
      <w:r>
        <w:rPr>
          <w:rStyle w:val="NormalTok"/>
        </w:rPr>
        <w:t xml:space="preserve">RDS: GetTemplate</w:t>
      </w:r>
      <w:r>
        <w:rPr>
          <w:rStyle w:val="FunctionTok"/>
        </w:rPr>
        <w:t xml:space="preserve">(_H, _B, _F)</w:t>
      </w:r>
      <w:r>
        <w:br/>
      </w:r>
      <w:r>
        <w:rPr>
          <w:rStyle w:val="NormalTok"/>
        </w:rPr>
        <w:t xml:space="preserve">    RDS</w:t>
      </w:r>
      <w:r>
        <w:rPr>
          <w:rStyle w:val="OperatorTok"/>
        </w:rPr>
        <w:t xml:space="preserve">-&gt;&gt;</w:t>
      </w:r>
      <w:r>
        <w:rPr>
          <w:rStyle w:val="NormalTok"/>
        </w:rPr>
        <w:t xml:space="preserve">TPL: Rellena HTML con diccionario </w:t>
      </w:r>
      <w:r>
        <w:rPr>
          <w:rStyle w:val="FunctionTok"/>
        </w:rPr>
        <w:t xml:space="preserve">(Dictionary&lt;string,object&gt;)</w:t>
      </w:r>
      <w:r>
        <w:br/>
      </w:r>
      <w:r>
        <w:rPr>
          <w:rStyle w:val="NormalTok"/>
        </w:rPr>
        <w:t xml:space="preserve">    </w:t>
      </w:r>
      <w:r>
        <w:rPr>
          <w:rStyle w:val="KeywordTok"/>
        </w:rPr>
        <w:t xml:space="preserve">Note</w:t>
      </w:r>
      <w:r>
        <w:rPr>
          <w:rStyle w:val="NormalTok"/>
        </w:rPr>
        <w:t xml:space="preserve"> </w:t>
      </w:r>
      <w:r>
        <w:rPr>
          <w:rStyle w:val="KeywordTok"/>
        </w:rPr>
        <w:t xml:space="preserve">over</w:t>
      </w:r>
      <w:r>
        <w:rPr>
          <w:rStyle w:val="NormalTok"/>
        </w:rPr>
        <w:t xml:space="preserve"> TPL: Campos vacíos </w:t>
      </w:r>
      <w:r>
        <w:rPr>
          <w:rStyle w:val="FunctionTok"/>
        </w:rPr>
        <w:t xml:space="preserve">(ej. TaxStamp en preview)</w:t>
      </w:r>
      <w:r>
        <w:rPr>
          <w:rStyle w:val="NormalTok"/>
        </w:rPr>
        <w:t xml:space="preserve"> no se pintan</w:t>
      </w:r>
      <w:r>
        <w:br/>
      </w:r>
      <w:r>
        <w:rPr>
          <w:rStyle w:val="NormalTok"/>
        </w:rPr>
        <w:t xml:space="preserve">    TPL</w:t>
      </w:r>
      <w:r>
        <w:rPr>
          <w:rStyle w:val="OperatorTok"/>
        </w:rPr>
        <w:t xml:space="preserve">--&gt;&gt;</w:t>
      </w:r>
      <w:r>
        <w:rPr>
          <w:rStyle w:val="NormalTok"/>
        </w:rPr>
        <w:t xml:space="preserve">RDS: HTML renderizado</w:t>
      </w:r>
      <w:r>
        <w:br/>
      </w:r>
      <w:r>
        <w:rPr>
          <w:rStyle w:val="NormalTok"/>
        </w:rPr>
        <w:t xml:space="preserve">    RDS</w:t>
      </w:r>
      <w:r>
        <w:rPr>
          <w:rStyle w:val="OperatorTok"/>
        </w:rPr>
        <w:t xml:space="preserve">--&gt;&gt;</w:t>
      </w:r>
      <w:r>
        <w:rPr>
          <w:rStyle w:val="NormalTok"/>
        </w:rPr>
        <w:t xml:space="preserve">RC: PDF bytes</w:t>
      </w:r>
      <w:r>
        <w:br/>
      </w:r>
      <w:r>
        <w:rPr>
          <w:rStyle w:val="NormalTok"/>
        </w:rPr>
        <w:t xml:space="preserve">    RC</w:t>
      </w:r>
      <w:r>
        <w:rPr>
          <w:rStyle w:val="OperatorTok"/>
        </w:rPr>
        <w:t xml:space="preserve">--&gt;&gt;</w:t>
      </w:r>
      <w:r>
        <w:rPr>
          <w:rStyle w:val="NormalTok"/>
        </w:rPr>
        <w:t xml:space="preserve">BE: application/pdf</w:t>
      </w:r>
    </w:p>
    <w:p>
      <w:pPr>
        <w:pStyle w:val="FirstParagraph"/>
      </w:pPr>
      <w:r>
        <w:drawing>
          <wp:inline>
            <wp:extent cx="5486400" cy="3855875"/>
            <wp:effectExtent b="0" l="0" r="0" t="0"/>
            <wp:docPr descr="" title="" id="32" name="Picture"/>
            <a:graphic>
              <a:graphicData uri="http://schemas.openxmlformats.org/drawingml/2006/picture">
                <pic:pic>
                  <pic:nvPicPr>
                    <pic:cNvPr descr="C:\Users\jose.santiago\Projects\R16\pipeline-gdocs\enhances\.cache\52cb8779.png" id="33" name="Picture"/>
                    <pic:cNvPicPr>
                      <a:picLocks noChangeArrowheads="1" noChangeAspect="1"/>
                    </pic:cNvPicPr>
                  </pic:nvPicPr>
                  <pic:blipFill>
                    <a:blip r:embed="rId31"/>
                    <a:stretch>
                      <a:fillRect/>
                    </a:stretch>
                  </pic:blipFill>
                  <pic:spPr bwMode="auto">
                    <a:xfrm>
                      <a:off x="0" y="0"/>
                      <a:ext cx="5486400" cy="3855875"/>
                    </a:xfrm>
                    <a:prstGeom prst="rect">
                      <a:avLst/>
                    </a:prstGeom>
                    <a:noFill/>
                    <a:ln w="9525">
                      <a:noFill/>
                      <a:headEnd/>
                      <a:tailEnd/>
                    </a:ln>
                  </pic:spPr>
                </pic:pic>
              </a:graphicData>
            </a:graphic>
          </wp:inline>
        </w:drawing>
      </w:r>
    </w:p>
    <w:p>
      <w:pPr>
        <w:pStyle w:val="BodyText"/>
      </w:pPr>
      <w:r>
        <w:t xml:space="preserve">La ruta completa Backend → DocumentBuilder es idéntica en variante timbrada y preview; solo cambia si TaxStamp llega poblado o vacío (Flujo 2).</w:t>
      </w:r>
    </w:p>
    <w:p>
      <w:pPr>
        <w:pStyle w:val="Heading1"/>
      </w:pPr>
      <w:r>
        <w:rPr>
          <w:b/>
          <w:bCs/>
        </w:rPr>
        <w:t xml:space="preserve">Impacto Técnico</w:t>
      </w:r>
    </w:p>
    <w:p>
      <w:pPr>
        <w:pStyle w:val="Heading2"/>
      </w:pPr>
      <w:r>
        <w:rPr>
          <w:b/>
          <w:bCs/>
        </w:rPr>
        <w:t xml:space="preserve">Impacto en código existente</w:t>
      </w:r>
    </w:p>
    <w:p>
      <w:pPr>
        <w:pStyle w:val="FirstParagraph"/>
      </w:pPr>
      <w:r>
        <w:t xml:space="preserve">Repositorio DocumentBuilder (entregable central):</w:t>
      </w:r>
    </w:p>
    <w:tbl>
      <w:tblPr>
        <w:tblStyle w:val="Table"/>
        <w:tblW w:type="pct" w:w="5000"/>
        <w:tblLayout w:type="fixed"/>
        <w:tblLook w:firstRow="1" w:lastRow="0" w:firstColumn="0" w:lastColumn="0" w:noHBand="0" w:noVBand="0" w:val="0020"/>
      </w:tblPr>
      <w:tblGrid>
        <w:gridCol w:w="1070"/>
        <w:gridCol w:w="4565"/>
        <w:gridCol w:w="3725"/>
      </w:tblGrid>
      <w:tr>
        <w:trPr>
          <w:tblHeader w:val="on"/>
        </w:trPr>
        <w:tc>
          <w:tcPr>
            <w:tcW w:w="1070" w:type="dxa"/>
            <w:shd w:val="clear" w:color="auto" w:fill="434343"/>
          </w:tcPr>
          <w:p>
            <w:pPr>
              <w:pStyle w:val="Compact"/>
              <w:jc w:val="left"/>
            </w:pPr>
            <w:r>
              <w:rPr>
                <w:b/>
                <w:color w:val="FFFFFF"/>
              </w:rPr>
              <w:t xml:space="preserve">#</w:t>
            </w:r>
          </w:p>
        </w:tc>
        <w:tc>
          <w:tcPr>
            <w:tcW w:w="4565" w:type="dxa"/>
            <w:shd w:val="clear" w:color="auto" w:fill="434343"/>
          </w:tcPr>
          <w:p>
            <w:pPr>
              <w:pStyle w:val="Compact"/>
              <w:jc w:val="left"/>
            </w:pPr>
            <w:r>
              <w:rPr>
                <w:b/>
                <w:color w:val="FFFFFF"/>
              </w:rPr>
              <w:t xml:space="preserve">Archivo / Artefacto</w:t>
            </w:r>
          </w:p>
        </w:tc>
        <w:tc>
          <w:tcPr>
            <w:tcW w:w="3725" w:type="dxa"/>
            <w:shd w:val="clear" w:color="auto" w:fill="434343"/>
          </w:tcPr>
          <w:p>
            <w:pPr>
              <w:pStyle w:val="Compact"/>
              <w:jc w:val="left"/>
            </w:pPr>
            <w:r>
              <w:rPr>
                <w:b/>
                <w:color w:val="FFFFFF"/>
              </w:rPr>
              <w:t xml:space="preserve">Tipo de cambio</w:t>
            </w:r>
          </w:p>
        </w:tc>
      </w:tr>
      <w:tr>
        <w:tc>
          <w:tcPr>
            <w:tcW w:w="1070" w:type="dxa"/>
          </w:tcPr>
          <w:tcPr/>
          <w:p>
            <w:pPr>
              <w:pStyle w:val="Compact"/>
              <w:jc w:val="left"/>
            </w:pPr>
            <w:r>
              <w:t xml:space="preserve">1</w:t>
            </w:r>
          </w:p>
        </w:tc>
        <w:tc>
          <w:tcPr>
            <w:tcW w:w="4565" w:type="dxa"/>
          </w:tcPr>
          <w:tcPr/>
          <w:p>
            <w:pPr>
              <w:pStyle w:val="Compact"/>
              <w:jc w:val="left"/>
            </w:pPr>
            <w:r>
              <w:t xml:space="preserve">API/Resources/Templates/GOL_MEX_FAC/GOL_MEX_FAC_{H,B,F}.html</w:t>
            </w:r>
          </w:p>
        </w:tc>
        <w:tc>
          <w:tcPr>
            <w:tcW w:w="3725" w:type="dxa"/>
          </w:tcPr>
          <w:tcPr/>
          <w:p>
            <w:pPr>
              <w:pStyle w:val="Compact"/>
              <w:jc w:val="left"/>
            </w:pPr>
            <w:r>
              <w:t xml:space="preserve">Nuevo — familia de plantilla Golocaer</w:t>
            </w:r>
          </w:p>
        </w:tc>
      </w:tr>
      <w:tr>
        <w:tc>
          <w:tcPr>
            <w:tcW w:w="1070" w:type="dxa"/>
          </w:tcPr>
          <w:tcPr/>
          <w:p>
            <w:pPr>
              <w:pStyle w:val="Compact"/>
              <w:jc w:val="left"/>
            </w:pPr>
            <w:r>
              <w:t xml:space="preserve">2</w:t>
            </w:r>
          </w:p>
        </w:tc>
        <w:tc>
          <w:tcPr>
            <w:tcW w:w="4565" w:type="dxa"/>
          </w:tcPr>
          <w:tcPr/>
          <w:p>
            <w:pPr>
              <w:pStyle w:val="Compact"/>
              <w:jc w:val="left"/>
            </w:pPr>
            <w:r>
              <w:t xml:space="preserve">API/Resources/Templates/MUN_MEX_FAC/MUN_MEX_FAC_{H,B,F}.html</w:t>
            </w:r>
          </w:p>
        </w:tc>
        <w:tc>
          <w:tcPr>
            <w:tcW w:w="3725" w:type="dxa"/>
          </w:tcPr>
          <w:tcPr/>
          <w:p>
            <w:pPr>
              <w:pStyle w:val="Compact"/>
              <w:jc w:val="left"/>
            </w:pPr>
            <w:r>
              <w:t xml:space="preserve">Nuevo — familia de plantilla Mungen</w:t>
            </w:r>
          </w:p>
        </w:tc>
      </w:tr>
      <w:tr>
        <w:tc>
          <w:tcPr>
            <w:tcW w:w="1070" w:type="dxa"/>
          </w:tcPr>
          <w:tcPr/>
          <w:p>
            <w:pPr>
              <w:pStyle w:val="Compact"/>
              <w:jc w:val="left"/>
            </w:pPr>
            <w:r>
              <w:t xml:space="preserve">3</w:t>
            </w:r>
          </w:p>
        </w:tc>
        <w:tc>
          <w:tcPr>
            <w:tcW w:w="4565" w:type="dxa"/>
          </w:tcPr>
          <w:tcPr/>
          <w:p>
            <w:pPr>
              <w:pStyle w:val="Compact"/>
              <w:jc w:val="left"/>
            </w:pPr>
            <w:r>
              <w:t xml:space="preserve">API/Resources/Templates/PQF_MEX_FAC/PQF_MEX_FAC_{H,B,F}.html</w:t>
            </w:r>
          </w:p>
        </w:tc>
        <w:tc>
          <w:tcPr>
            <w:tcW w:w="3725" w:type="dxa"/>
          </w:tcPr>
          <w:tcPr/>
          <w:p>
            <w:pPr>
              <w:pStyle w:val="Compact"/>
              <w:jc w:val="left"/>
            </w:pPr>
            <w:r>
              <w:t xml:space="preserve">Nuevo — familia de plantilla Proveedora</w:t>
            </w:r>
          </w:p>
        </w:tc>
      </w:tr>
      <w:tr>
        <w:tc>
          <w:tcPr>
            <w:tcW w:w="1070" w:type="dxa"/>
          </w:tcPr>
          <w:tcPr/>
          <w:p>
            <w:pPr>
              <w:pStyle w:val="Compact"/>
              <w:jc w:val="left"/>
            </w:pPr>
            <w:r>
              <w:t xml:space="preserve">4</w:t>
            </w:r>
          </w:p>
        </w:tc>
        <w:tc>
          <w:tcPr>
            <w:tcW w:w="4565" w:type="dxa"/>
          </w:tcPr>
          <w:tcPr/>
          <w:p>
            <w:pPr>
              <w:pStyle w:val="Compact"/>
              <w:jc w:val="left"/>
            </w:pPr>
            <w:r>
              <w:t xml:space="preserve">API/Resources/Templates/PRO_MEX_FAC/PRO_MEX_FAC_{H,B,F}.html</w:t>
            </w:r>
          </w:p>
        </w:tc>
        <w:tc>
          <w:tcPr>
            <w:tcW w:w="3725" w:type="dxa"/>
          </w:tcPr>
          <w:tcPr/>
          <w:p>
            <w:pPr>
              <w:pStyle w:val="Compact"/>
              <w:jc w:val="left"/>
            </w:pPr>
            <w:r>
              <w:t xml:space="preserve">Nuevo — familia de plantilla Proquifa</w:t>
            </w:r>
          </w:p>
        </w:tc>
      </w:tr>
      <w:tr>
        <w:tc>
          <w:tcPr>
            <w:tcW w:w="1070" w:type="dxa"/>
          </w:tcPr>
          <w:tcPr/>
          <w:p>
            <w:pPr>
              <w:pStyle w:val="Compact"/>
              <w:jc w:val="left"/>
            </w:pPr>
            <w:r>
              <w:t xml:space="preserve">5</w:t>
            </w:r>
          </w:p>
        </w:tc>
        <w:tc>
          <w:tcPr>
            <w:tcW w:w="4565" w:type="dxa"/>
          </w:tcPr>
          <w:tcPr/>
          <w:p>
            <w:pPr>
              <w:pStyle w:val="Compact"/>
              <w:jc w:val="left"/>
            </w:pPr>
            <w:r>
              <w:t xml:space="preserve">Registro en BD DocumentTemplate (por ambiente)</w:t>
            </w:r>
          </w:p>
        </w:tc>
        <w:tc>
          <w:tcPr>
            <w:tcW w:w="3725" w:type="dxa"/>
          </w:tcPr>
          <w:tcPr/>
          <w:p>
            <w:pPr>
              <w:pStyle w:val="Compact"/>
              <w:jc w:val="left"/>
            </w:pPr>
            <w:r>
              <w:t xml:space="preserve">Nuevo (dato/seed) — asocia TemplateKey</w:t>
            </w:r>
            <w:r>
              <w:t xml:space="preserve"> </w:t>
            </w:r>
            <w:r>
              <w:t xml:space="preserve">_MEX_FAC a los archivos _H/_B/_F</w:t>
            </w:r>
          </w:p>
        </w:tc>
      </w:tr>
    </w:tbl>
    <w:p>
      <w:pPr>
        <w:pStyle w:val="BodyText"/>
      </w:pPr>
      <w:r>
        <w:rPr>
          <w:b/>
          <w:bCs/>
        </w:rPr>
        <w:t xml:space="preserve">No se toca:</w:t>
      </w:r>
      <w:r>
        <w:t xml:space="preserve"> </w:t>
      </w:r>
      <w:r>
        <w:t xml:space="preserve">el motor RenderDocumentService ni las familias _COT/_PED (estrategia aditiva, sin cutover). El rollback consiste en despublicar/desregistrar las 4 familias _MEX_FAC.</w:t>
      </w:r>
    </w:p>
    <w:p>
      <w:pPr>
        <w:pStyle w:val="Heading2"/>
      </w:pPr>
      <w:r>
        <w:rPr>
          <w:b/>
          <w:bCs/>
        </w:rPr>
        <w:t xml:space="preserve">Impacto en modelos</w:t>
      </w:r>
    </w:p>
    <w:p>
      <w:pPr>
        <w:pStyle w:val="Compact"/>
        <w:numPr>
          <w:ilvl w:val="0"/>
          <w:numId w:val="1006"/>
        </w:numPr>
      </w:pPr>
      <w:r>
        <w:t xml:space="preserve">No se crean ni modifican entidades de BD en esta maqueta.</w:t>
      </w:r>
    </w:p>
    <w:p>
      <w:pPr>
        <w:pStyle w:val="Compact"/>
        <w:numPr>
          <w:ilvl w:val="0"/>
          <w:numId w:val="1006"/>
        </w:numPr>
      </w:pPr>
      <w:r>
        <w:t xml:space="preserve">La maqueta consume un diccionario de datos genérico; la propuesta de datos (InvoiceDocumentDto) es propuesta del front — se ajustará a lo que defina Back-end cuando exista su diseño. Se incluye aquí el ejemplo y la tabla de datos para que quede trazado en el DIS en dónde se usaría cada valor de la propuesta; si cambia, solo se ajusta este documento.</w:t>
      </w:r>
    </w:p>
    <w:p>
      <w:pPr>
        <w:pStyle w:val="FirstParagraph"/>
      </w:pPr>
      <w:r>
        <w:t xml:space="preserve">Ejemplo (variante timbrada, datos dummy — factura de referencia Golocaer, folio 143103):</w:t>
      </w:r>
    </w:p>
    <w:p>
      <w:pPr>
        <w:pStyle w:val="SourceCode"/>
      </w:pPr>
      <w:r>
        <w:rPr>
          <w:rStyle w:val="FunctionTok"/>
        </w:rPr>
        <w:t xml:space="preserve">{</w:t>
      </w:r>
      <w:r>
        <w:br/>
      </w:r>
      <w:r>
        <w:rPr>
          <w:rStyle w:val="NormalTok"/>
        </w:rPr>
        <w:t xml:space="preserve">  </w:t>
      </w:r>
      <w:r>
        <w:rPr>
          <w:rStyle w:val="DataTypeTok"/>
        </w:rPr>
        <w:t xml:space="preserve">"Voucher"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"Folio"</w:t>
      </w:r>
      <w:r>
        <w:rPr>
          <w:rStyle w:val="FunctionTok"/>
        </w:rPr>
        <w:t xml:space="preserve">:</w:t>
      </w:r>
      <w:r>
        <w:rPr>
          <w:rStyle w:val="NormalTok"/>
        </w:rPr>
        <w:t xml:space="preserve"> </w:t>
      </w:r>
      <w:r>
        <w:rPr>
          <w:rStyle w:val="StringTok"/>
        </w:rPr>
        <w:t xml:space="preserve">"143103"</w:t>
      </w:r>
      <w:r>
        <w:rPr>
          <w:rStyle w:val="FunctionTok"/>
        </w:rPr>
        <w:t xml:space="preserve">,</w:t>
      </w:r>
      <w:r>
        <w:br/>
      </w:r>
      <w:r>
        <w:rPr>
          <w:rStyle w:val="NormalTok"/>
        </w:rPr>
        <w:t xml:space="preserve">    </w:t>
      </w:r>
      <w:r>
        <w:rPr>
          <w:rStyle w:val="DataTypeTok"/>
        </w:rPr>
        <w:t xml:space="preserve">"CfdiVersion"</w:t>
      </w:r>
      <w:r>
        <w:rPr>
          <w:rStyle w:val="FunctionTok"/>
        </w:rPr>
        <w:t xml:space="preserve">:</w:t>
      </w:r>
      <w:r>
        <w:rPr>
          <w:rStyle w:val="NormalTok"/>
        </w:rPr>
        <w:t xml:space="preserve"> </w:t>
      </w:r>
      <w:r>
        <w:rPr>
          <w:rStyle w:val="StringTok"/>
        </w:rPr>
        <w:t xml:space="preserve">"4.0"</w:t>
      </w:r>
      <w:r>
        <w:rPr>
          <w:rStyle w:val="FunctionTok"/>
        </w:rPr>
        <w:t xml:space="preserve">,</w:t>
      </w:r>
      <w:r>
        <w:br/>
      </w:r>
      <w:r>
        <w:rPr>
          <w:rStyle w:val="NormalTok"/>
        </w:rPr>
        <w:t xml:space="preserve">    </w:t>
      </w:r>
      <w:r>
        <w:rPr>
          <w:rStyle w:val="DataTypeTok"/>
        </w:rPr>
        <w:t xml:space="preserve">"VoucherType"</w:t>
      </w:r>
      <w:r>
        <w:rPr>
          <w:rStyle w:val="FunctionTok"/>
        </w:rPr>
        <w:t xml:space="preserve">:</w:t>
      </w:r>
      <w:r>
        <w:rPr>
          <w:rStyle w:val="NormalTok"/>
        </w:rPr>
        <w:t xml:space="preserve"> </w:t>
      </w:r>
      <w:r>
        <w:rPr>
          <w:rStyle w:val="StringTok"/>
        </w:rPr>
        <w:t xml:space="preserve">"I - Ingreso"</w:t>
      </w:r>
      <w:r>
        <w:rPr>
          <w:rStyle w:val="FunctionTok"/>
        </w:rPr>
        <w:t xml:space="preserve">,</w:t>
      </w:r>
      <w:r>
        <w:br/>
      </w:r>
      <w:r>
        <w:rPr>
          <w:rStyle w:val="NormalTok"/>
        </w:rPr>
        <w:t xml:space="preserve">    </w:t>
      </w:r>
      <w:r>
        <w:rPr>
          <w:rStyle w:val="DataTypeTok"/>
        </w:rPr>
        <w:t xml:space="preserve">"Export"</w:t>
      </w:r>
      <w:r>
        <w:rPr>
          <w:rStyle w:val="FunctionTok"/>
        </w:rPr>
        <w:t xml:space="preserve">:</w:t>
      </w:r>
      <w:r>
        <w:rPr>
          <w:rStyle w:val="NormalTok"/>
        </w:rPr>
        <w:t xml:space="preserve"> </w:t>
      </w:r>
      <w:r>
        <w:rPr>
          <w:rStyle w:val="StringTok"/>
        </w:rPr>
        <w:t xml:space="preserve">"No aplica"</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"PPD - Pago en parcialidades o diferido"</w:t>
      </w:r>
      <w:r>
        <w:rPr>
          <w:rStyle w:val="FunctionTok"/>
        </w:rPr>
        <w:t xml:space="preserve">,</w:t>
      </w:r>
      <w:r>
        <w:br/>
      </w:r>
      <w:r>
        <w:rPr>
          <w:rStyle w:val="NormalTok"/>
        </w:rPr>
        <w:t xml:space="preserve">    </w:t>
      </w:r>
      <w:r>
        <w:rPr>
          <w:rStyle w:val="DataTypeTok"/>
        </w:rPr>
        <w:t xml:space="preserve">"PaymentForm"</w:t>
      </w:r>
      <w:r>
        <w:rPr>
          <w:rStyle w:val="FunctionTok"/>
        </w:rPr>
        <w:t xml:space="preserve">:</w:t>
      </w:r>
      <w:r>
        <w:rPr>
          <w:rStyle w:val="NormalTok"/>
        </w:rPr>
        <w:t xml:space="preserve"> </w:t>
      </w:r>
      <w:r>
        <w:rPr>
          <w:rStyle w:val="StringTok"/>
        </w:rPr>
        <w:t xml:space="preserve">"99 - Por definir"</w:t>
      </w:r>
      <w:r>
        <w:rPr>
          <w:rStyle w:val="FunctionTok"/>
        </w:rPr>
        <w:t xml:space="preserve">,</w:t>
      </w:r>
      <w:r>
        <w:br/>
      </w:r>
      <w:r>
        <w:rPr>
          <w:rStyle w:val="NormalTok"/>
        </w:rPr>
        <w:t xml:space="preserve">    </w:t>
      </w:r>
      <w:r>
        <w:rPr>
          <w:rStyle w:val="DataTypeTok"/>
        </w:rPr>
        <w:t xml:space="preserve">"PaymentConditions"</w:t>
      </w:r>
      <w:r>
        <w:rPr>
          <w:rStyle w:val="FunctionTok"/>
        </w:rPr>
        <w:t xml:space="preserve">:</w:t>
      </w:r>
      <w:r>
        <w:rPr>
          <w:rStyle w:val="NormalTok"/>
        </w:rPr>
        <w:t xml:space="preserve"> </w:t>
      </w:r>
      <w:r>
        <w:rPr>
          <w:rStyle w:val="StringTok"/>
        </w:rPr>
        <w:t xml:space="preserve">"60 DÍAS"</w:t>
      </w:r>
      <w:r>
        <w:rPr>
          <w:rStyle w:val="FunctionTok"/>
        </w:rPr>
        <w:t xml:space="preserve">,</w:t>
      </w:r>
      <w:r>
        <w:br/>
      </w:r>
      <w:r>
        <w:rPr>
          <w:rStyle w:val="NormalTok"/>
        </w:rPr>
        <w:t xml:space="preserve">    </w:t>
      </w:r>
      <w:r>
        <w:rPr>
          <w:rStyle w:val="DataTypeTok"/>
        </w:rPr>
        <w:t xml:space="preserve">"IssueDateTime"</w:t>
      </w:r>
      <w:r>
        <w:rPr>
          <w:rStyle w:val="FunctionTok"/>
        </w:rPr>
        <w:t xml:space="preserve">:</w:t>
      </w:r>
      <w:r>
        <w:rPr>
          <w:rStyle w:val="NormalTok"/>
        </w:rPr>
        <w:t xml:space="preserve"> </w:t>
      </w:r>
      <w:r>
        <w:rPr>
          <w:rStyle w:val="StringTok"/>
        </w:rPr>
        <w:t xml:space="preserve">"2026-03-23T08:40:07"</w:t>
      </w:r>
      <w:r>
        <w:rPr>
          <w:rStyle w:val="FunctionTok"/>
        </w:rPr>
        <w:t xml:space="preserve">,</w:t>
      </w:r>
      <w:r>
        <w:br/>
      </w:r>
      <w:r>
        <w:rPr>
          <w:rStyle w:val="NormalTok"/>
        </w:rPr>
        <w:t xml:space="preserve">    </w:t>
      </w:r>
      <w:r>
        <w:rPr>
          <w:rStyle w:val="DataTypeTok"/>
        </w:rPr>
        <w:t xml:space="preserve">"ExpeditionDateTime"</w:t>
      </w:r>
      <w:r>
        <w:rPr>
          <w:rStyle w:val="FunctionTok"/>
        </w:rPr>
        <w:t xml:space="preserve">:</w:t>
      </w:r>
      <w:r>
        <w:rPr>
          <w:rStyle w:val="NormalTok"/>
        </w:rPr>
        <w:t xml:space="preserve"> </w:t>
      </w:r>
      <w:r>
        <w:rPr>
          <w:rStyle w:val="StringTok"/>
        </w:rPr>
        <w:t xml:space="preserve">"2026-03-23T08:40:07"</w:t>
      </w:r>
      <w:r>
        <w:rPr>
          <w:rStyle w:val="FunctionTok"/>
        </w:rPr>
        <w:t xml:space="preserve">,</w:t>
      </w:r>
      <w:r>
        <w:br/>
      </w:r>
      <w:r>
        <w:rPr>
          <w:rStyle w:val="NormalTok"/>
        </w:rPr>
        <w:t xml:space="preserve">    </w:t>
      </w:r>
      <w:r>
        <w:rPr>
          <w:rStyle w:val="DataTypeTok"/>
        </w:rPr>
        <w:t xml:space="preserve">"CustomerOrderNumber"</w:t>
      </w:r>
      <w:r>
        <w:rPr>
          <w:rStyle w:val="FunctionTok"/>
        </w:rPr>
        <w:t xml:space="preserve">:</w:t>
      </w:r>
      <w:r>
        <w:rPr>
          <w:rStyle w:val="NormalTok"/>
        </w:rPr>
        <w:t xml:space="preserve"> </w:t>
      </w:r>
      <w:r>
        <w:rPr>
          <w:rStyle w:val="StringTok"/>
        </w:rPr>
        <w:t xml:space="preserve">"OC-106591-1"</w:t>
      </w:r>
      <w:r>
        <w:rPr>
          <w:rStyle w:val="FunctionTok"/>
        </w:rPr>
        <w:t xml:space="preserve">,</w:t>
      </w:r>
      <w:r>
        <w:br/>
      </w:r>
      <w:r>
        <w:rPr>
          <w:rStyle w:val="NormalTok"/>
        </w:rPr>
        <w:t xml:space="preserve">    </w:t>
      </w:r>
      <w:r>
        <w:rPr>
          <w:rStyle w:val="DataTypeTok"/>
        </w:rPr>
        <w:t xml:space="preserve">"InternalOrderNumber"</w:t>
      </w:r>
      <w:r>
        <w:rPr>
          <w:rStyle w:val="FunctionTok"/>
        </w:rPr>
        <w:t xml:space="preserve">:</w:t>
      </w:r>
      <w:r>
        <w:rPr>
          <w:rStyle w:val="NormalTok"/>
        </w:rPr>
        <w:t xml:space="preserve"> </w:t>
      </w:r>
      <w:r>
        <w:rPr>
          <w:rStyle w:val="StringTok"/>
        </w:rPr>
        <w:t xml:space="preserve">"021326-1511"</w:t>
      </w:r>
      <w:r>
        <w:br/>
      </w:r>
      <w:r>
        <w:rPr>
          <w:rStyle w:val="NormalTok"/>
        </w:rPr>
        <w:t xml:space="preserve">  </w:t>
      </w:r>
      <w:r>
        <w:rPr>
          <w:rStyle w:val="FunctionTok"/>
        </w:rPr>
        <w:t xml:space="preserve">},</w:t>
      </w:r>
      <w:r>
        <w:br/>
      </w:r>
      <w:r>
        <w:rPr>
          <w:rStyle w:val="NormalTok"/>
        </w:rPr>
        <w:t xml:space="preserve">  </w:t>
      </w:r>
      <w:r>
        <w:rPr>
          <w:rStyle w:val="DataTypeTok"/>
        </w:rPr>
        <w:t xml:space="preserve">"IssuingCompany"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"LegalName"</w:t>
      </w:r>
      <w:r>
        <w:rPr>
          <w:rStyle w:val="FunctionTok"/>
        </w:rPr>
        <w:t xml:space="preserve">:</w:t>
      </w:r>
      <w:r>
        <w:rPr>
          <w:rStyle w:val="NormalTok"/>
        </w:rPr>
        <w:t xml:space="preserve"> </w:t>
      </w:r>
      <w:r>
        <w:rPr>
          <w:rStyle w:val="StringTok"/>
        </w:rPr>
        <w:t xml:space="preserve">"GOLOCAER S.A de C.V - Grupo Proquifa"</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StringTok"/>
        </w:rPr>
        <w:t xml:space="preserve">"GOL120717DJ7"</w:t>
      </w:r>
      <w:r>
        <w:rPr>
          <w:rStyle w:val="FunctionTok"/>
        </w:rPr>
        <w:t xml:space="preserve">,</w:t>
      </w:r>
      <w:r>
        <w:br/>
      </w:r>
      <w:r>
        <w:rPr>
          <w:rStyle w:val="NormalTok"/>
        </w:rPr>
        <w:t xml:space="preserve">    </w:t>
      </w:r>
      <w:r>
        <w:rPr>
          <w:rStyle w:val="DataTypeTok"/>
        </w:rPr>
        <w:t xml:space="preserve">"TaxRegime"</w:t>
      </w:r>
      <w:r>
        <w:rPr>
          <w:rStyle w:val="FunctionTok"/>
        </w:rPr>
        <w:t xml:space="preserve">:</w:t>
      </w:r>
      <w:r>
        <w:rPr>
          <w:rStyle w:val="NormalTok"/>
        </w:rPr>
        <w:t xml:space="preserve"> </w:t>
      </w:r>
      <w:r>
        <w:rPr>
          <w:rStyle w:val="StringTok"/>
        </w:rPr>
        <w:t xml:space="preserve">"601 - General de Ley Personas Morales"</w:t>
      </w:r>
      <w:r>
        <w:rPr>
          <w:rStyle w:val="FunctionTok"/>
        </w:rPr>
        <w:t xml:space="preserve">,</w:t>
      </w:r>
      <w:r>
        <w:br/>
      </w:r>
      <w:r>
        <w:rPr>
          <w:rStyle w:val="NormalTok"/>
        </w:rPr>
        <w:t xml:space="preserve">    </w:t>
      </w:r>
      <w:r>
        <w:rPr>
          <w:rStyle w:val="DataTypeTok"/>
        </w:rPr>
        <w:t xml:space="preserve">"ExpeditionPlace"</w:t>
      </w:r>
      <w:r>
        <w:rPr>
          <w:rStyle w:val="FunctionTok"/>
        </w:rPr>
        <w:t xml:space="preserve">:</w:t>
      </w:r>
      <w:r>
        <w:rPr>
          <w:rStyle w:val="NormalTok"/>
        </w:rPr>
        <w:t xml:space="preserve"> </w:t>
      </w:r>
      <w:r>
        <w:rPr>
          <w:rStyle w:val="StringTok"/>
        </w:rPr>
        <w:t xml:space="preserve">"07900"</w:t>
      </w:r>
      <w:r>
        <w:rPr>
          <w:rStyle w:val="FunctionTok"/>
        </w:rPr>
        <w:t xml:space="preserve">,</w:t>
      </w:r>
      <w:r>
        <w:br/>
      </w:r>
      <w:r>
        <w:rPr>
          <w:rStyle w:val="NormalTok"/>
        </w:rPr>
        <w:t xml:space="preserve">    </w:t>
      </w:r>
      <w:r>
        <w:rPr>
          <w:rStyle w:val="DataTypeTok"/>
        </w:rPr>
        <w:t xml:space="preserve">"LegalAddress"</w:t>
      </w:r>
      <w:r>
        <w:rPr>
          <w:rStyle w:val="FunctionTok"/>
        </w:rPr>
        <w:t xml:space="preserve">:</w:t>
      </w:r>
      <w:r>
        <w:rPr>
          <w:rStyle w:val="NormalTok"/>
        </w:rPr>
        <w:t xml:space="preserve"> </w:t>
      </w:r>
      <w:r>
        <w:rPr>
          <w:rStyle w:val="StringTok"/>
        </w:rPr>
        <w:t xml:space="preserve">"Calle: Oriente 6 MZ 26 LT 13, Colonia: Cuchilla del Tesoro, Alcaldía: Gustavo A. Madero, C.P: 07900, Ciudad: México, País: México"</w:t>
      </w:r>
      <w:r>
        <w:br/>
      </w:r>
      <w:r>
        <w:rPr>
          <w:rStyle w:val="NormalTok"/>
        </w:rPr>
        <w:t xml:space="preserve">  </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"LegalName"</w:t>
      </w:r>
      <w:r>
        <w:rPr>
          <w:rStyle w:val="FunctionTok"/>
        </w:rPr>
        <w:t xml:space="preserve">:</w:t>
      </w:r>
      <w:r>
        <w:rPr>
          <w:rStyle w:val="NormalTok"/>
        </w:rPr>
        <w:t xml:space="preserve"> </w:t>
      </w:r>
      <w:r>
        <w:rPr>
          <w:rStyle w:val="StringTok"/>
        </w:rPr>
        <w:t xml:space="preserve">"PSICOFARMA"</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StringTok"/>
        </w:rPr>
        <w:t xml:space="preserve">"PSI741010UI1"</w:t>
      </w:r>
      <w:r>
        <w:rPr>
          <w:rStyle w:val="FunctionTok"/>
        </w:rPr>
        <w:t xml:space="preserve">,</w:t>
      </w:r>
      <w:r>
        <w:br/>
      </w:r>
      <w:r>
        <w:rPr>
          <w:rStyle w:val="NormalTok"/>
        </w:rPr>
        <w:t xml:space="preserve">    </w:t>
      </w:r>
      <w:r>
        <w:rPr>
          <w:rStyle w:val="DataTypeTok"/>
        </w:rPr>
        <w:t xml:space="preserve">"TaxRegime"</w:t>
      </w:r>
      <w:r>
        <w:rPr>
          <w:rStyle w:val="FunctionTok"/>
        </w:rPr>
        <w:t xml:space="preserve">:</w:t>
      </w:r>
      <w:r>
        <w:rPr>
          <w:rStyle w:val="NormalTok"/>
        </w:rPr>
        <w:t xml:space="preserve"> </w:t>
      </w:r>
      <w:r>
        <w:rPr>
          <w:rStyle w:val="StringTok"/>
        </w:rPr>
        <w:t xml:space="preserve">"601 - General de Ley Personas Morales"</w:t>
      </w:r>
      <w:r>
        <w:rPr>
          <w:rStyle w:val="FunctionTok"/>
        </w:rPr>
        <w:t xml:space="preserve">,</w:t>
      </w:r>
      <w:r>
        <w:br/>
      </w:r>
      <w:r>
        <w:rPr>
          <w:rStyle w:val="NormalTok"/>
        </w:rPr>
        <w:t xml:space="preserve">    </w:t>
      </w:r>
      <w:r>
        <w:rPr>
          <w:rStyle w:val="DataTypeTok"/>
        </w:rPr>
        <w:t xml:space="preserve">"CfdiUse"</w:t>
      </w:r>
      <w:r>
        <w:rPr>
          <w:rStyle w:val="FunctionTok"/>
        </w:rPr>
        <w:t xml:space="preserve">:</w:t>
      </w:r>
      <w:r>
        <w:rPr>
          <w:rStyle w:val="NormalTok"/>
        </w:rPr>
        <w:t xml:space="preserve"> </w:t>
      </w:r>
      <w:r>
        <w:rPr>
          <w:rStyle w:val="StringTok"/>
        </w:rPr>
        <w:t xml:space="preserve">"G03 - Gastos en general"</w:t>
      </w:r>
      <w:r>
        <w:rPr>
          <w:rStyle w:val="FunctionTok"/>
        </w:rPr>
        <w:t xml:space="preserve">,</w:t>
      </w:r>
      <w:r>
        <w:br/>
      </w:r>
      <w:r>
        <w:rPr>
          <w:rStyle w:val="NormalTok"/>
        </w:rPr>
        <w:t xml:space="preserve">    </w:t>
      </w:r>
      <w:r>
        <w:rPr>
          <w:rStyle w:val="DataTypeTok"/>
        </w:rPr>
        <w:t xml:space="preserve">"ZipCode"</w:t>
      </w:r>
      <w:r>
        <w:rPr>
          <w:rStyle w:val="FunctionTok"/>
        </w:rPr>
        <w:t xml:space="preserve">:</w:t>
      </w:r>
      <w:r>
        <w:rPr>
          <w:rStyle w:val="NormalTok"/>
        </w:rPr>
        <w:t xml:space="preserve"> </w:t>
      </w:r>
      <w:r>
        <w:rPr>
          <w:rStyle w:val="StringTok"/>
        </w:rPr>
        <w:t xml:space="preserve">"14050"</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"SatKey"</w:t>
      </w:r>
      <w:r>
        <w:rPr>
          <w:rStyle w:val="FunctionTok"/>
        </w:rPr>
        <w:t xml:space="preserve">:</w:t>
      </w:r>
      <w:r>
        <w:rPr>
          <w:rStyle w:val="NormalTok"/>
        </w:rPr>
        <w:t xml:space="preserve"> </w:t>
      </w:r>
      <w:r>
        <w:rPr>
          <w:rStyle w:val="StringTok"/>
        </w:rPr>
        <w:t xml:space="preserve">"41116132"</w:t>
      </w:r>
      <w:r>
        <w:rPr>
          <w:rStyle w:val="FunctionTok"/>
        </w:rPr>
        <w:t xml:space="preserve">,</w:t>
      </w:r>
      <w:r>
        <w:br/>
      </w:r>
      <w:r>
        <w:rPr>
          <w:rStyle w:val="NormalTok"/>
        </w:rPr>
        <w:t xml:space="preserve">      </w:t>
      </w:r>
      <w:r>
        <w:rPr>
          <w:rStyle w:val="DataTypeTok"/>
        </w:rPr>
        <w:t xml:space="preserve">"InternalId"</w:t>
      </w:r>
      <w:r>
        <w:rPr>
          <w:rStyle w:val="FunctionTok"/>
        </w:rPr>
        <w:t xml:space="preserve">:</w:t>
      </w:r>
      <w:r>
        <w:rPr>
          <w:rStyle w:val="NormalTok"/>
        </w:rPr>
        <w:t xml:space="preserve"> </w:t>
      </w:r>
      <w:r>
        <w:rPr>
          <w:rStyle w:val="StringTok"/>
        </w:rPr>
        <w:t xml:space="preserve">"MBL-0488X"</w:t>
      </w:r>
      <w:r>
        <w:rPr>
          <w:rStyle w:val="FunctionTok"/>
        </w:rPr>
        <w:t xml:space="preserve">,</w:t>
      </w:r>
      <w:r>
        <w:br/>
      </w:r>
      <w:r>
        <w:rPr>
          <w:rStyle w:val="NormalTok"/>
        </w:rPr>
        <w:t xml:space="preserve">      </w:t>
      </w:r>
      <w:r>
        <w:rPr>
          <w:rStyle w:val="DataTypeTok"/>
        </w:rPr>
        <w:t xml:space="preserve">"Pedimento"</w:t>
      </w:r>
      <w:r>
        <w:rPr>
          <w:rStyle w:val="FunctionTok"/>
        </w:rPr>
        <w:t xml:space="preserve">:</w:t>
      </w:r>
      <w:r>
        <w:rPr>
          <w:rStyle w:val="NormalTok"/>
        </w:rPr>
        <w:t xml:space="preserve"> </w:t>
      </w:r>
      <w:r>
        <w:rPr>
          <w:rStyle w:val="StringTok"/>
        </w:rPr>
        <w:t xml:space="preserve">"26 47 1881 6000411"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"Pieza"</w:t>
      </w:r>
      <w:r>
        <w:rPr>
          <w:rStyle w:val="FunctionTok"/>
        </w:rPr>
        <w:t xml:space="preserve">,</w:t>
      </w:r>
      <w:r>
        <w:br/>
      </w:r>
      <w:r>
        <w:rPr>
          <w:rStyle w:val="NormalTok"/>
        </w:rPr>
        <w:t xml:space="preserve">      </w:t>
      </w:r>
      <w:r>
        <w:rPr>
          <w:rStyle w:val="DataTypeTok"/>
        </w:rPr>
        <w:t xml:space="preserve">"UnitKey"</w:t>
      </w:r>
      <w:r>
        <w:rPr>
          <w:rStyle w:val="FunctionTok"/>
        </w:rPr>
        <w:t xml:space="preserve">:</w:t>
      </w:r>
      <w:r>
        <w:rPr>
          <w:rStyle w:val="NormalTok"/>
        </w:rPr>
        <w:t xml:space="preserve"> </w:t>
      </w:r>
      <w:r>
        <w:rPr>
          <w:rStyle w:val="StringTok"/>
        </w:rPr>
        <w:t xml:space="preserve">"H87"</w:t>
      </w:r>
      <w:r>
        <w:rPr>
          <w:rStyle w:val="FunctionTok"/>
        </w:rPr>
        <w:t xml:space="preserve">,</w:t>
      </w:r>
      <w:r>
        <w:br/>
      </w:r>
      <w:r>
        <w:rPr>
          <w:rStyle w:val="NormalTok"/>
        </w:rPr>
        <w:t xml:space="preserve">      </w:t>
      </w:r>
      <w:r>
        <w:rPr>
          <w:rStyle w:val="DataTypeTok"/>
        </w:rPr>
        <w:t xml:space="preserve">"Catalog"</w:t>
      </w:r>
      <w:r>
        <w:rPr>
          <w:rStyle w:val="FunctionTok"/>
        </w:rPr>
        <w:t xml:space="preserve">:</w:t>
      </w:r>
      <w:r>
        <w:rPr>
          <w:rStyle w:val="NormalTok"/>
        </w:rPr>
        <w:t xml:space="preserve"> </w:t>
      </w:r>
      <w:r>
        <w:rPr>
          <w:rStyle w:val="StringTok"/>
        </w:rPr>
        <w:t xml:space="preserve">"MBL-0483X"</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"Escherichia coli derived from ATCC 8739 (KWIK-STIK Plus) (5 Units) - MICROBIOLOGICS - Lote R32424"</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StringTok"/>
        </w:rPr>
        <w:t xml:space="preserve">"$452.00"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"$452.00"</w:t>
      </w:r>
      <w:r>
        <w:rPr>
          <w:rStyle w:val="FunctionTok"/>
        </w:rPr>
        <w:t xml:space="preserve">,</w:t>
      </w:r>
      <w:r>
        <w:br/>
      </w:r>
      <w:r>
        <w:rPr>
          <w:rStyle w:val="NormalTok"/>
        </w:rPr>
        <w:t xml:space="preserve">      </w:t>
      </w:r>
      <w:r>
        <w:rPr>
          <w:rStyle w:val="DataTypeTok"/>
        </w:rPr>
        <w:t xml:space="preserve">"FederalTax"</w:t>
      </w:r>
      <w:r>
        <w:rPr>
          <w:rStyle w:val="FunctionTok"/>
        </w:rPr>
        <w:t xml:space="preserve">:</w:t>
      </w:r>
      <w:r>
        <w:rPr>
          <w:rStyle w:val="NormalTok"/>
        </w:rPr>
        <w:t xml:space="preserve"> </w:t>
      </w:r>
      <w:r>
        <w:rPr>
          <w:rStyle w:val="StringTok"/>
        </w:rPr>
        <w:t xml:space="preserve">"$72.32"</w:t>
      </w:r>
      <w:r>
        <w:rPr>
          <w:rStyle w:val="FunctionTok"/>
        </w:rPr>
        <w:t xml:space="preserve">,</w:t>
      </w:r>
      <w:r>
        <w:br/>
      </w:r>
      <w:r>
        <w:rPr>
          <w:rStyle w:val="NormalTok"/>
        </w:rPr>
        <w:t xml:space="preserve">      </w:t>
      </w:r>
      <w:r>
        <w:rPr>
          <w:rStyle w:val="DataTypeTok"/>
        </w:rPr>
        <w:t xml:space="preserve">"Taxes"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"Base"</w:t>
      </w:r>
      <w:r>
        <w:rPr>
          <w:rStyle w:val="FunctionTok"/>
        </w:rPr>
        <w:t xml:space="preserve">:</w:t>
      </w:r>
      <w:r>
        <w:rPr>
          <w:rStyle w:val="NormalTok"/>
        </w:rPr>
        <w:t xml:space="preserve"> </w:t>
      </w:r>
      <w:r>
        <w:rPr>
          <w:rStyle w:val="StringTok"/>
        </w:rPr>
        <w:t xml:space="preserve">"$452.00"</w:t>
      </w:r>
      <w:r>
        <w:rPr>
          <w:rStyle w:val="FunctionTok"/>
        </w:rPr>
        <w:t xml:space="preserve">,</w:t>
      </w:r>
      <w:r>
        <w:rPr>
          <w:rStyle w:val="NormalTok"/>
        </w:rPr>
        <w:t xml:space="preserve"> </w:t>
      </w:r>
      <w:r>
        <w:rPr>
          <w:rStyle w:val="DataTypeTok"/>
        </w:rPr>
        <w:t xml:space="preserve">"TaxName"</w:t>
      </w:r>
      <w:r>
        <w:rPr>
          <w:rStyle w:val="FunctionTok"/>
        </w:rPr>
        <w:t xml:space="preserve">:</w:t>
      </w:r>
      <w:r>
        <w:rPr>
          <w:rStyle w:val="NormalTok"/>
        </w:rPr>
        <w:t xml:space="preserve"> </w:t>
      </w:r>
      <w:r>
        <w:rPr>
          <w:rStyle w:val="StringTok"/>
        </w:rPr>
        <w:t xml:space="preserve">"002 - IVA"</w:t>
      </w:r>
      <w:r>
        <w:rPr>
          <w:rStyle w:val="FunctionTok"/>
        </w:rPr>
        <w:t xml:space="preserve">,</w:t>
      </w:r>
      <w:r>
        <w:rPr>
          <w:rStyle w:val="NormalTok"/>
        </w:rPr>
        <w:t xml:space="preserve"> </w:t>
      </w:r>
      <w:r>
        <w:rPr>
          <w:rStyle w:val="DataTypeTok"/>
        </w:rPr>
        <w:t xml:space="preserve">"FactorType"</w:t>
      </w:r>
      <w:r>
        <w:rPr>
          <w:rStyle w:val="FunctionTok"/>
        </w:rPr>
        <w:t xml:space="preserve">:</w:t>
      </w:r>
      <w:r>
        <w:rPr>
          <w:rStyle w:val="NormalTok"/>
        </w:rPr>
        <w:t xml:space="preserve"> </w:t>
      </w:r>
      <w:r>
        <w:rPr>
          <w:rStyle w:val="StringTok"/>
        </w:rPr>
        <w:t xml:space="preserve">"Tasa"</w:t>
      </w:r>
      <w:r>
        <w:rPr>
          <w:rStyle w:val="FunctionTok"/>
        </w:rPr>
        <w:t xml:space="preserve">,</w:t>
      </w:r>
      <w:r>
        <w:rPr>
          <w:rStyle w:val="NormalTok"/>
        </w:rPr>
        <w:t xml:space="preserve"> </w:t>
      </w:r>
      <w:r>
        <w:rPr>
          <w:rStyle w:val="DataTypeTok"/>
        </w:rPr>
        <w:t xml:space="preserve">"RateOrQuota"</w:t>
      </w:r>
      <w:r>
        <w:rPr>
          <w:rStyle w:val="FunctionTok"/>
        </w:rPr>
        <w:t xml:space="preserve">:</w:t>
      </w:r>
      <w:r>
        <w:rPr>
          <w:rStyle w:val="NormalTok"/>
        </w:rPr>
        <w:t xml:space="preserve"> </w:t>
      </w:r>
      <w:r>
        <w:rPr>
          <w:rStyle w:val="StringTok"/>
        </w:rPr>
        <w:t xml:space="preserve">"0.160000"</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"$72.32"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"TaxSummary"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"Transfers"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"Base"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"TaxName"</w:t>
      </w:r>
      <w:r>
        <w:rPr>
          <w:rStyle w:val="FunctionTok"/>
        </w:rPr>
        <w:t xml:space="preserve">:</w:t>
      </w:r>
      <w:r>
        <w:rPr>
          <w:rStyle w:val="NormalTok"/>
        </w:rPr>
        <w:t xml:space="preserve"> </w:t>
      </w:r>
      <w:r>
        <w:rPr>
          <w:rStyle w:val="StringTok"/>
        </w:rPr>
        <w:t xml:space="preserve">"002 - IVA"</w:t>
      </w:r>
      <w:r>
        <w:rPr>
          <w:rStyle w:val="FunctionTok"/>
        </w:rPr>
        <w:t xml:space="preserve">,</w:t>
      </w:r>
      <w:r>
        <w:rPr>
          <w:rStyle w:val="NormalTok"/>
        </w:rPr>
        <w:t xml:space="preserve"> </w:t>
      </w:r>
      <w:r>
        <w:rPr>
          <w:rStyle w:val="DataTypeTok"/>
        </w:rPr>
        <w:t xml:space="preserve">"FactorType"</w:t>
      </w:r>
      <w:r>
        <w:rPr>
          <w:rStyle w:val="FunctionTok"/>
        </w:rPr>
        <w:t xml:space="preserve">:</w:t>
      </w:r>
      <w:r>
        <w:rPr>
          <w:rStyle w:val="NormalTok"/>
        </w:rPr>
        <w:t xml:space="preserve"> </w:t>
      </w:r>
      <w:r>
        <w:rPr>
          <w:rStyle w:val="StringTok"/>
        </w:rPr>
        <w:t xml:space="preserve">"Tasa"</w:t>
      </w:r>
      <w:r>
        <w:rPr>
          <w:rStyle w:val="FunctionTok"/>
        </w:rPr>
        <w:t xml:space="preserve">,</w:t>
      </w:r>
      <w:r>
        <w:rPr>
          <w:rStyle w:val="NormalTok"/>
        </w:rPr>
        <w:t xml:space="preserve"> </w:t>
      </w:r>
      <w:r>
        <w:rPr>
          <w:rStyle w:val="DataTypeTok"/>
        </w:rPr>
        <w:t xml:space="preserve">"RateOrQuota"</w:t>
      </w:r>
      <w:r>
        <w:rPr>
          <w:rStyle w:val="FunctionTok"/>
        </w:rPr>
        <w:t xml:space="preserve">:</w:t>
      </w:r>
      <w:r>
        <w:rPr>
          <w:rStyle w:val="NormalTok"/>
        </w:rPr>
        <w:t xml:space="preserve"> </w:t>
      </w:r>
      <w:r>
        <w:rPr>
          <w:rStyle w:val="StringTok"/>
        </w:rPr>
        <w:t xml:space="preserve">"0.160000"</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"$650.88"</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"Retentions"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"RetentionsEmptyText"</w:t>
      </w:r>
      <w:r>
        <w:rPr>
          <w:rStyle w:val="FunctionTok"/>
        </w:rPr>
        <w:t xml:space="preserve">:</w:t>
      </w:r>
      <w:r>
        <w:rPr>
          <w:rStyle w:val="NormalTok"/>
        </w:rPr>
        <w:t xml:space="preserve"> </w:t>
      </w:r>
      <w:r>
        <w:rPr>
          <w:rStyle w:val="StringTok"/>
        </w:rPr>
        <w:t xml:space="preserve">"Sin retenciones"</w:t>
      </w:r>
      <w:r>
        <w:br/>
      </w:r>
      <w:r>
        <w:rPr>
          <w:rStyle w:val="NormalTok"/>
        </w:rPr>
        <w:t xml:space="preserve">  </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StringTok"/>
        </w:rPr>
        <w:t xml:space="preserve">"$4,068.00"</w:t>
      </w:r>
      <w:r>
        <w:rPr>
          <w:rStyle w:val="FunctionTok"/>
        </w:rPr>
        <w:t xml:space="preserve">,</w:t>
      </w:r>
      <w:r>
        <w:br/>
      </w:r>
      <w:r>
        <w:rPr>
          <w:rStyle w:val="NormalTok"/>
        </w:rPr>
        <w:t xml:space="preserve">    </w:t>
      </w:r>
      <w:r>
        <w:rPr>
          <w:rStyle w:val="DataTypeTok"/>
        </w:rPr>
        <w:t xml:space="preserve">"FederalTaxes"</w:t>
      </w:r>
      <w:r>
        <w:rPr>
          <w:rStyle w:val="FunctionTok"/>
        </w:rPr>
        <w:t xml:space="preserve">:</w:t>
      </w:r>
      <w:r>
        <w:rPr>
          <w:rStyle w:val="NormalTok"/>
        </w:rPr>
        <w:t xml:space="preserve"> </w:t>
      </w:r>
      <w:r>
        <w:rPr>
          <w:rStyle w:val="StringTok"/>
        </w:rPr>
        <w:t xml:space="preserve">"$650.88"</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StringTok"/>
        </w:rPr>
        <w:t xml:space="preserve">"$4,718.88 USD"</w:t>
      </w:r>
      <w:r>
        <w:rPr>
          <w:rStyle w:val="FunctionTok"/>
        </w:rPr>
        <w:t xml:space="preserve">,</w:t>
      </w:r>
      <w:r>
        <w:br/>
      </w:r>
      <w:r>
        <w:rPr>
          <w:rStyle w:val="NormalTok"/>
        </w:rPr>
        <w:t xml:space="preserve">    </w:t>
      </w:r>
      <w:r>
        <w:rPr>
          <w:rStyle w:val="DataTypeTok"/>
        </w:rPr>
        <w:t xml:space="preserve">"GrandTotalInWords"</w:t>
      </w:r>
      <w:r>
        <w:rPr>
          <w:rStyle w:val="FunctionTok"/>
        </w:rPr>
        <w:t xml:space="preserve">:</w:t>
      </w:r>
      <w:r>
        <w:rPr>
          <w:rStyle w:val="NormalTok"/>
        </w:rPr>
        <w:t xml:space="preserve"> </w:t>
      </w:r>
      <w:r>
        <w:rPr>
          <w:rStyle w:val="StringTok"/>
        </w:rPr>
        <w:t xml:space="preserve">"CUATRO MIL SETECIENTOS DIECIOCHO DÓLARES 88/100"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 - Dólar americano"</w:t>
      </w:r>
      <w:r>
        <w:rPr>
          <w:rStyle w:val="FunctionTok"/>
        </w:rPr>
        <w:t xml:space="preserve">,</w:t>
      </w:r>
      <w:r>
        <w:br/>
      </w:r>
      <w:r>
        <w:rPr>
          <w:rStyle w:val="NormalTok"/>
        </w:rPr>
        <w:t xml:space="preserve">    </w:t>
      </w:r>
      <w:r>
        <w:rPr>
          <w:rStyle w:val="DataTypeTok"/>
        </w:rPr>
        <w:t xml:space="preserve">"ExchangeRate"</w:t>
      </w:r>
      <w:r>
        <w:rPr>
          <w:rStyle w:val="FunctionTok"/>
        </w:rPr>
        <w:t xml:space="preserve">:</w:t>
      </w:r>
      <w:r>
        <w:rPr>
          <w:rStyle w:val="NormalTok"/>
        </w:rPr>
        <w:t xml:space="preserve"> </w:t>
      </w:r>
      <w:r>
        <w:rPr>
          <w:rStyle w:val="StringTok"/>
        </w:rPr>
        <w:t xml:space="preserve">"18.3473"</w:t>
      </w:r>
      <w:r>
        <w:br/>
      </w:r>
      <w:r>
        <w:rPr>
          <w:rStyle w:val="NormalTok"/>
        </w:rPr>
        <w:t xml:space="preserve">  </w:t>
      </w:r>
      <w:r>
        <w:rPr>
          <w:rStyle w:val="FunctionTok"/>
        </w:rPr>
        <w:t xml:space="preserve">},</w:t>
      </w:r>
      <w:r>
        <w:br/>
      </w:r>
      <w:r>
        <w:rPr>
          <w:rStyle w:val="NormalTok"/>
        </w:rPr>
        <w:t xml:space="preserve">  </w:t>
      </w:r>
      <w:r>
        <w:rPr>
          <w:rStyle w:val="DataTypeTok"/>
        </w:rPr>
        <w:t xml:space="preserve">"BankAccounts"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"BANAMEX - Suc. 870"</w:t>
      </w:r>
      <w:r>
        <w:rPr>
          <w:rStyle w:val="FunctionTok"/>
        </w:rPr>
        <w:t xml:space="preserve">,</w:t>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"9702905"</w:t>
      </w:r>
      <w:r>
        <w:rPr>
          <w:rStyle w:val="FunctionTok"/>
        </w:rPr>
        <w:t xml:space="preserve">,</w:t>
      </w:r>
      <w:r>
        <w:rPr>
          <w:rStyle w:val="NormalTok"/>
        </w:rPr>
        <w:t xml:space="preserve"> </w:t>
      </w:r>
      <w:r>
        <w:rPr>
          <w:rStyle w:val="DataTypeTok"/>
        </w:rPr>
        <w:t xml:space="preserve">"InterbankCode"</w:t>
      </w:r>
      <w:r>
        <w:rPr>
          <w:rStyle w:val="FunctionTok"/>
        </w:rPr>
        <w:t xml:space="preserve">:</w:t>
      </w:r>
      <w:r>
        <w:rPr>
          <w:rStyle w:val="NormalTok"/>
        </w:rPr>
        <w:t xml:space="preserve"> </w:t>
      </w:r>
      <w:r>
        <w:rPr>
          <w:rStyle w:val="StringTok"/>
        </w:rPr>
        <w:t xml:space="preserve">"002180087097029058"</w:t>
      </w:r>
      <w:r>
        <w:rPr>
          <w:rStyle w:val="FunctionTok"/>
        </w:rPr>
        <w:t xml:space="preserve">,</w:t>
      </w:r>
      <w:r>
        <w:rPr>
          <w:rStyle w:val="NormalTok"/>
        </w:rPr>
        <w:t xml:space="preserve"> </w:t>
      </w:r>
      <w:r>
        <w:rPr>
          <w:rStyle w:val="DataTypeTok"/>
        </w:rPr>
        <w:t xml:space="preserve">"SwiftCode"</w:t>
      </w:r>
      <w:r>
        <w:rPr>
          <w:rStyle w:val="FunctionTok"/>
        </w:rPr>
        <w:t xml:space="preserve">:</w:t>
      </w:r>
      <w:r>
        <w:rPr>
          <w:rStyle w:val="NormalTok"/>
        </w:rPr>
        <w:t xml:space="preserve"> </w:t>
      </w:r>
      <w:r>
        <w:rPr>
          <w:rStyle w:val="StringTok"/>
        </w:rPr>
        <w:t xml:space="preserve">"BNMXMXMMXXX"</w:t>
      </w:r>
      <w:r>
        <w:rPr>
          <w:rStyle w:val="FunctionTok"/>
        </w:rPr>
        <w:t xml:space="preserve">,</w:t>
      </w:r>
      <w:r>
        <w:rPr>
          <w:rStyle w:val="NormalTok"/>
        </w:rPr>
        <w:t xml:space="preserve"> </w:t>
      </w:r>
      <w:r>
        <w:rPr>
          <w:rStyle w:val="DataTypeTok"/>
        </w:rPr>
        <w:t xml:space="preserve">"IbanCode"</w:t>
      </w:r>
      <w:r>
        <w:rPr>
          <w:rStyle w:val="FunctionTok"/>
        </w:rPr>
        <w:t xml:space="preserve">:</w:t>
      </w:r>
      <w:r>
        <w:rPr>
          <w:rStyle w:val="NormalTok"/>
        </w:rPr>
        <w:t xml:space="preserve"> </w:t>
      </w:r>
      <w:r>
        <w:rPr>
          <w:rStyle w:val="StringTok"/>
        </w:rPr>
        <w:t xml:space="preserve">"MX98BK9702905012345678901234567890"</w:t>
      </w:r>
      <w:r>
        <w:rPr>
          <w:rStyle w:val="FunctionTok"/>
        </w:rPr>
        <w:t xml:space="preserve">,</w:t>
      </w:r>
      <w:r>
        <w:rPr>
          <w:rStyle w:val="NormalTok"/>
        </w:rPr>
        <w:t xml:space="preserve"> </w:t>
      </w:r>
      <w:r>
        <w:rPr>
          <w:rStyle w:val="DataTypeTok"/>
        </w:rPr>
        <w:t xml:space="preserve">"CustomerRef"</w:t>
      </w:r>
      <w:r>
        <w:rPr>
          <w:rStyle w:val="FunctionTok"/>
        </w:rPr>
        <w:t xml:space="preserve">:</w:t>
      </w:r>
      <w:r>
        <w:rPr>
          <w:rStyle w:val="NormalTok"/>
        </w:rPr>
        <w:t xml:space="preserve"> </w:t>
      </w:r>
      <w:r>
        <w:rPr>
          <w:rStyle w:val="StringTok"/>
        </w:rPr>
        <w:t xml:space="preserve">"SOL0153BXD96"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"MXN"</w:t>
      </w:r>
      <w:r>
        <w:rPr>
          <w:rStyle w:val="FunctionTok"/>
        </w:rPr>
        <w:t xml:space="preserve">,</w:t>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"BANAMEX - Suc. 870"</w:t>
      </w:r>
      <w:r>
        <w:rPr>
          <w:rStyle w:val="FunctionTok"/>
        </w:rPr>
        <w:t xml:space="preserve">,</w:t>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"603475"</w:t>
      </w:r>
      <w:r>
        <w:rPr>
          <w:rStyle w:val="FunctionTok"/>
        </w:rPr>
        <w:t xml:space="preserve">,</w:t>
      </w:r>
      <w:r>
        <w:rPr>
          <w:rStyle w:val="NormalTok"/>
        </w:rPr>
        <w:t xml:space="preserve"> </w:t>
      </w:r>
      <w:r>
        <w:rPr>
          <w:rStyle w:val="DataTypeTok"/>
        </w:rPr>
        <w:t xml:space="preserve">"InterbankCode"</w:t>
      </w:r>
      <w:r>
        <w:rPr>
          <w:rStyle w:val="FunctionTok"/>
        </w:rPr>
        <w:t xml:space="preserve">:</w:t>
      </w:r>
      <w:r>
        <w:rPr>
          <w:rStyle w:val="NormalTok"/>
        </w:rPr>
        <w:t xml:space="preserve"> </w:t>
      </w:r>
      <w:r>
        <w:rPr>
          <w:rStyle w:val="StringTok"/>
        </w:rPr>
        <w:t xml:space="preserve">"002180087006034759"</w:t>
      </w:r>
      <w:r>
        <w:rPr>
          <w:rStyle w:val="FunctionTok"/>
        </w:rPr>
        <w:t xml:space="preserve">,</w:t>
      </w:r>
      <w:r>
        <w:rPr>
          <w:rStyle w:val="NormalTok"/>
        </w:rPr>
        <w:t xml:space="preserve"> </w:t>
      </w:r>
      <w:r>
        <w:rPr>
          <w:rStyle w:val="DataTypeTok"/>
        </w:rPr>
        <w:t xml:space="preserve">"SwiftCode"</w:t>
      </w:r>
      <w:r>
        <w:rPr>
          <w:rStyle w:val="FunctionTok"/>
        </w:rPr>
        <w:t xml:space="preserve">:</w:t>
      </w:r>
      <w:r>
        <w:rPr>
          <w:rStyle w:val="NormalTok"/>
        </w:rPr>
        <w:t xml:space="preserve"> </w:t>
      </w:r>
      <w:r>
        <w:rPr>
          <w:rStyle w:val="StringTok"/>
        </w:rPr>
        <w:t xml:space="preserve">"BNMXMXMMXXX"</w:t>
      </w:r>
      <w:r>
        <w:rPr>
          <w:rStyle w:val="FunctionTok"/>
        </w:rPr>
        <w:t xml:space="preserve">,</w:t>
      </w:r>
      <w:r>
        <w:rPr>
          <w:rStyle w:val="NormalTok"/>
        </w:rPr>
        <w:t xml:space="preserve"> </w:t>
      </w:r>
      <w:r>
        <w:rPr>
          <w:rStyle w:val="DataTypeTok"/>
        </w:rPr>
        <w:t xml:space="preserve">"IbanCode"</w:t>
      </w:r>
      <w:r>
        <w:rPr>
          <w:rStyle w:val="FunctionTok"/>
        </w:rPr>
        <w:t xml:space="preserve">:</w:t>
      </w:r>
      <w:r>
        <w:rPr>
          <w:rStyle w:val="NormalTok"/>
        </w:rPr>
        <w:t xml:space="preserve"> </w:t>
      </w:r>
      <w:r>
        <w:rPr>
          <w:rStyle w:val="StringTok"/>
        </w:rPr>
        <w:t xml:space="preserve">"MX98BK6034750123456789012345678901"</w:t>
      </w:r>
      <w:r>
        <w:rPr>
          <w:rStyle w:val="FunctionTok"/>
        </w:rPr>
        <w:t xml:space="preserve">,</w:t>
      </w:r>
      <w:r>
        <w:rPr>
          <w:rStyle w:val="NormalTok"/>
        </w:rPr>
        <w:t xml:space="preserve"> </w:t>
      </w:r>
      <w:r>
        <w:rPr>
          <w:rStyle w:val="DataTypeTok"/>
        </w:rPr>
        <w:t xml:space="preserve">"CustomerRef"</w:t>
      </w:r>
      <w:r>
        <w:rPr>
          <w:rStyle w:val="FunctionTok"/>
        </w:rPr>
        <w:t xml:space="preserve">:</w:t>
      </w:r>
      <w:r>
        <w:rPr>
          <w:rStyle w:val="NormalTok"/>
        </w:rPr>
        <w:t xml:space="preserve"> </w:t>
      </w:r>
      <w:r>
        <w:rPr>
          <w:rStyle w:val="StringTok"/>
        </w:rPr>
        <w:t xml:space="preserve">"SOL0153BXP84"</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"TaxStamp"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"aaad49fc-b6bf-6554-e112-4a6372986f02"</w:t>
      </w:r>
      <w:r>
        <w:rPr>
          <w:rStyle w:val="FunctionTok"/>
        </w:rPr>
        <w:t xml:space="preserve">,</w:t>
      </w:r>
      <w:r>
        <w:br/>
      </w:r>
      <w:r>
        <w:rPr>
          <w:rStyle w:val="NormalTok"/>
        </w:rPr>
        <w:t xml:space="preserve">    </w:t>
      </w:r>
      <w:r>
        <w:rPr>
          <w:rStyle w:val="DataTypeTok"/>
        </w:rPr>
        <w:t xml:space="preserve">"CertificationDateTime"</w:t>
      </w:r>
      <w:r>
        <w:rPr>
          <w:rStyle w:val="FunctionTok"/>
        </w:rPr>
        <w:t xml:space="preserve">:</w:t>
      </w:r>
      <w:r>
        <w:rPr>
          <w:rStyle w:val="NormalTok"/>
        </w:rPr>
        <w:t xml:space="preserve"> </w:t>
      </w:r>
      <w:r>
        <w:rPr>
          <w:rStyle w:val="StringTok"/>
        </w:rPr>
        <w:t xml:space="preserve">"2026-03-23T08:40:07"</w:t>
      </w:r>
      <w:r>
        <w:rPr>
          <w:rStyle w:val="FunctionTok"/>
        </w:rPr>
        <w:t xml:space="preserve">,</w:t>
      </w:r>
      <w:r>
        <w:br/>
      </w:r>
      <w:r>
        <w:rPr>
          <w:rStyle w:val="NormalTok"/>
        </w:rPr>
        <w:t xml:space="preserve">    </w:t>
      </w:r>
      <w:r>
        <w:rPr>
          <w:rStyle w:val="DataTypeTok"/>
        </w:rPr>
        <w:t xml:space="preserve">"SatCertSerial"</w:t>
      </w:r>
      <w:r>
        <w:rPr>
          <w:rStyle w:val="FunctionTok"/>
        </w:rPr>
        <w:t xml:space="preserve">:</w:t>
      </w:r>
      <w:r>
        <w:rPr>
          <w:rStyle w:val="NormalTok"/>
        </w:rPr>
        <w:t xml:space="preserve"> </w:t>
      </w:r>
      <w:r>
        <w:rPr>
          <w:rStyle w:val="StringTok"/>
        </w:rPr>
        <w:t xml:space="preserve">"00001000000716475473"</w:t>
      </w:r>
      <w:r>
        <w:rPr>
          <w:rStyle w:val="FunctionTok"/>
        </w:rPr>
        <w:t xml:space="preserve">,</w:t>
      </w:r>
      <w:r>
        <w:br/>
      </w:r>
      <w:r>
        <w:rPr>
          <w:rStyle w:val="NormalTok"/>
        </w:rPr>
        <w:t xml:space="preserve">    </w:t>
      </w:r>
      <w:r>
        <w:rPr>
          <w:rStyle w:val="DataTypeTok"/>
        </w:rPr>
        <w:t xml:space="preserve">"IssuerCsdSerial"</w:t>
      </w:r>
      <w:r>
        <w:rPr>
          <w:rStyle w:val="FunctionTok"/>
        </w:rPr>
        <w:t xml:space="preserve">:</w:t>
      </w:r>
      <w:r>
        <w:rPr>
          <w:rStyle w:val="NormalTok"/>
        </w:rPr>
        <w:t xml:space="preserve"> </w:t>
      </w:r>
      <w:r>
        <w:rPr>
          <w:rStyle w:val="StringTok"/>
        </w:rPr>
        <w:t xml:space="preserve">"00001000000717627816"</w:t>
      </w:r>
      <w:r>
        <w:rPr>
          <w:rStyle w:val="FunctionTok"/>
        </w:rPr>
        <w:t xml:space="preserve">,</w:t>
      </w:r>
      <w:r>
        <w:br/>
      </w:r>
      <w:r>
        <w:rPr>
          <w:rStyle w:val="NormalTok"/>
        </w:rPr>
        <w:t xml:space="preserve">    </w:t>
      </w:r>
      <w:r>
        <w:rPr>
          <w:rStyle w:val="DataTypeTok"/>
        </w:rPr>
        <w:t xml:space="preserve">"SatDigitalSeal"</w:t>
      </w:r>
      <w:r>
        <w:rPr>
          <w:rStyle w:val="FunctionTok"/>
        </w:rPr>
        <w:t xml:space="preserve">:</w:t>
      </w:r>
      <w:r>
        <w:rPr>
          <w:rStyle w:val="NormalTok"/>
        </w:rPr>
        <w:t xml:space="preserve"> </w:t>
      </w:r>
      <w:r>
        <w:rPr>
          <w:rStyle w:val="StringTok"/>
        </w:rPr>
        <w:t xml:space="preserve">"dyz/s+ZrpXPR21IIVJz8yR70MYkxWq+KqZk4ZG8Pz+kxENUBwzytP7imYvuY5HH…"</w:t>
      </w:r>
      <w:r>
        <w:rPr>
          <w:rStyle w:val="FunctionTok"/>
        </w:rPr>
        <w:t xml:space="preserve">,</w:t>
      </w:r>
      <w:r>
        <w:br/>
      </w:r>
      <w:r>
        <w:rPr>
          <w:rStyle w:val="NormalTok"/>
        </w:rPr>
        <w:t xml:space="preserve">    </w:t>
      </w:r>
      <w:r>
        <w:rPr>
          <w:rStyle w:val="DataTypeTok"/>
        </w:rPr>
        <w:t xml:space="preserve">"CfdiDigitalSeal"</w:t>
      </w:r>
      <w:r>
        <w:rPr>
          <w:rStyle w:val="FunctionTok"/>
        </w:rPr>
        <w:t xml:space="preserve">:</w:t>
      </w:r>
      <w:r>
        <w:rPr>
          <w:rStyle w:val="NormalTok"/>
        </w:rPr>
        <w:t xml:space="preserve"> </w:t>
      </w:r>
      <w:r>
        <w:rPr>
          <w:rStyle w:val="StringTok"/>
        </w:rPr>
        <w:t xml:space="preserve">"TJHaEn1G/D/1w3MmUW/pXYkSxKGgzdau956WOsf/mV+z3irW0iaoIHcCkSWv4O+O…"</w:t>
      </w:r>
      <w:r>
        <w:rPr>
          <w:rStyle w:val="FunctionTok"/>
        </w:rPr>
        <w:t xml:space="preserve">,</w:t>
      </w:r>
      <w:r>
        <w:br/>
      </w:r>
      <w:r>
        <w:rPr>
          <w:rStyle w:val="NormalTok"/>
        </w:rPr>
        <w:t xml:space="preserve">    </w:t>
      </w:r>
      <w:r>
        <w:rPr>
          <w:rStyle w:val="DataTypeTok"/>
        </w:rPr>
        <w:t xml:space="preserve">"OriginalStringCcd"</w:t>
      </w:r>
      <w:r>
        <w:rPr>
          <w:rStyle w:val="FunctionTok"/>
        </w:rPr>
        <w:t xml:space="preserve">:</w:t>
      </w:r>
      <w:r>
        <w:rPr>
          <w:rStyle w:val="NormalTok"/>
        </w:rPr>
        <w:t xml:space="preserve"> </w:t>
      </w:r>
      <w:r>
        <w:rPr>
          <w:rStyle w:val="StringTok"/>
        </w:rPr>
        <w:t xml:space="preserve">"||1.1|aaad49fc-b6bf-6554-e112-4a6372986f02|2026-03-23T08:40:07|SAT970701NN3|dyz/s+ZrpXPR21IIVJz8yR70MYkxWq+K…|00001000000716475473||"</w:t>
      </w:r>
      <w:r>
        <w:rPr>
          <w:rStyle w:val="FunctionTok"/>
        </w:rPr>
        <w:t xml:space="preserve">,</w:t>
      </w:r>
      <w:r>
        <w:br/>
      </w:r>
      <w:r>
        <w:rPr>
          <w:rStyle w:val="NormalTok"/>
        </w:rPr>
        <w:t xml:space="preserve">    </w:t>
      </w:r>
      <w:r>
        <w:rPr>
          <w:rStyle w:val="DataTypeTok"/>
        </w:rPr>
        <w:t xml:space="preserve">"QrImageBase64"</w:t>
      </w:r>
      <w:r>
        <w:rPr>
          <w:rStyle w:val="FunctionTok"/>
        </w:rPr>
        <w:t xml:space="preserve">:</w:t>
      </w:r>
      <w:r>
        <w:rPr>
          <w:rStyle w:val="NormalTok"/>
        </w:rPr>
        <w:t xml:space="preserve"> </w:t>
      </w:r>
      <w:r>
        <w:rPr>
          <w:rStyle w:val="StringTok"/>
        </w:rPr>
        <w:t xml:space="preserve">"data:image/png;base64,iVBORw0KGgoAAAANSUhEUg…"</w:t>
      </w:r>
      <w:r>
        <w:br/>
      </w:r>
      <w:r>
        <w:rPr>
          <w:rStyle w:val="NormalTok"/>
        </w:rPr>
        <w:t xml:space="preserve">  </w:t>
      </w:r>
      <w:r>
        <w:rPr>
          <w:rStyle w:val="FunctionTok"/>
        </w:rPr>
        <w:t xml:space="preserve">}</w:t>
      </w:r>
      <w:r>
        <w:br/>
      </w:r>
      <w:r>
        <w:rPr>
          <w:rStyle w:val="FunctionTok"/>
        </w:rPr>
        <w:t xml:space="preserve">}</w:t>
      </w:r>
    </w:p>
    <w:p>
      <w:pPr>
        <w:pStyle w:val="FirstParagraph"/>
      </w:pPr>
      <w:r>
        <w:t xml:space="preserve">En preview (antes de timbrar), el bloque TaxStamp y el Folio llegan vacíos y la plantilla simplemente no los pinta (ver Flujo 2).</w:t>
      </w:r>
    </w:p>
    <w:p>
      <w:pPr>
        <w:pStyle w:val="BodyText"/>
      </w:pPr>
      <w:r>
        <w:t xml:space="preserve">Tabla de datos, agrupada por sección del documento:</w:t>
      </w:r>
    </w:p>
    <w:p>
      <w:pPr>
        <w:pStyle w:val="Heading3"/>
      </w:pPr>
      <w:r>
        <w:t xml:space="preserve">Comprobante</w:t>
      </w:r>
    </w:p>
    <w:tbl>
      <w:tblPr>
        <w:tblStyle w:val="Table"/>
        <w:tblW w:type="auto" w:w="0"/>
        <w:tblLook w:firstRow="1" w:lastRow="0" w:firstColumn="0" w:lastColumn="0" w:noHBand="0" w:noVBand="0" w:val="0020"/>
      </w:tblPr>
      <w:tblGrid>
        <w:gridCol w:w="5138"/>
        <w:gridCol w:w="4222"/>
      </w:tblGrid>
      <w:tr>
        <w:trPr>
          <w:tblHeader w:val="on"/>
        </w:trPr>
        <w:tc>
          <w:tcPr>
            <w:tcW w:w="5138" w:type="dxa"/>
            <w:shd w:val="clear" w:color="auto" w:fill="434343"/>
          </w:tcPr>
          <w:p>
            <w:pPr>
              <w:pStyle w:val="Compact"/>
            </w:pPr>
            <w:r>
              <w:rPr>
                <w:b/>
                <w:color w:val="FFFFFF"/>
              </w:rPr>
              <w:t xml:space="preserve">Dato</w:t>
            </w:r>
          </w:p>
        </w:tc>
        <w:tc>
          <w:tcPr>
            <w:tcW w:w="4222" w:type="dxa"/>
            <w:shd w:val="clear" w:color="auto" w:fill="434343"/>
          </w:tcPr>
          <w:p>
            <w:pPr>
              <w:pStyle w:val="Compact"/>
            </w:pPr>
            <w:r>
              <w:rPr>
                <w:b/>
                <w:color w:val="FFFFFF"/>
              </w:rPr>
              <w:t xml:space="preserve">Ejemplo</w:t>
            </w:r>
          </w:p>
        </w:tc>
      </w:tr>
      <w:tr>
        <w:tc>
          <w:tcPr>
            <w:tcW w:w="5138" w:type="dxa"/>
          </w:tcPr>
          <w:tcPr/>
          <w:p>
            <w:pPr>
              <w:pStyle w:val="Compact"/>
            </w:pPr>
            <w:r>
              <w:t xml:space="preserve">Serie</w:t>
            </w:r>
          </w:p>
        </w:tc>
        <w:tc>
          <w:tcPr>
            <w:tcW w:w="4222" w:type="dxa"/>
          </w:tcPr>
          <w:tcPr/>
          <w:p>
            <w:pPr>
              <w:pStyle w:val="Compact"/>
            </w:pPr>
            <w:r>
              <w:t xml:space="preserve">A</w:t>
            </w:r>
          </w:p>
        </w:tc>
      </w:tr>
      <w:tr>
        <w:tc>
          <w:tcPr>
            <w:tcW w:w="5138" w:type="dxa"/>
          </w:tcPr>
          <w:tcPr/>
          <w:p>
            <w:pPr>
              <w:pStyle w:val="Compact"/>
            </w:pPr>
            <w:r>
              <w:t xml:space="preserve">Folio</w:t>
            </w:r>
          </w:p>
        </w:tc>
        <w:tc>
          <w:tcPr>
            <w:tcW w:w="4222" w:type="dxa"/>
          </w:tcPr>
          <w:tcPr/>
          <w:p>
            <w:pPr>
              <w:pStyle w:val="Compact"/>
            </w:pPr>
            <w:r>
              <w:t xml:space="preserve">143103</w:t>
            </w:r>
          </w:p>
        </w:tc>
      </w:tr>
      <w:tr>
        <w:tc>
          <w:tcPr>
            <w:tcW w:w="5138" w:type="dxa"/>
          </w:tcPr>
          <w:tcPr/>
          <w:p>
            <w:pPr>
              <w:pStyle w:val="Compact"/>
            </w:pPr>
            <w:r>
              <w:t xml:space="preserve">Versión CFDI</w:t>
            </w:r>
          </w:p>
        </w:tc>
        <w:tc>
          <w:tcPr>
            <w:tcW w:w="4222" w:type="dxa"/>
          </w:tcPr>
          <w:tcPr/>
          <w:p>
            <w:pPr>
              <w:pStyle w:val="Compact"/>
            </w:pPr>
            <w:r>
              <w:t xml:space="preserve">4.0</w:t>
            </w:r>
          </w:p>
        </w:tc>
      </w:tr>
      <w:tr>
        <w:tc>
          <w:tcPr>
            <w:tcW w:w="5138" w:type="dxa"/>
          </w:tcPr>
          <w:tcPr/>
          <w:p>
            <w:pPr>
              <w:pStyle w:val="Compact"/>
            </w:pPr>
            <w:r>
              <w:t xml:space="preserve">Tipo de comprobante</w:t>
            </w:r>
          </w:p>
        </w:tc>
        <w:tc>
          <w:tcPr>
            <w:tcW w:w="4222" w:type="dxa"/>
          </w:tcPr>
          <w:tcPr/>
          <w:p>
            <w:pPr>
              <w:pStyle w:val="Compact"/>
            </w:pPr>
            <w:r>
              <w:t xml:space="preserve">I - Ingreso</w:t>
            </w:r>
          </w:p>
        </w:tc>
      </w:tr>
      <w:tr>
        <w:tc>
          <w:tcPr>
            <w:tcW w:w="5138" w:type="dxa"/>
          </w:tcPr>
          <w:tcPr/>
          <w:p>
            <w:pPr>
              <w:pStyle w:val="Compact"/>
            </w:pPr>
            <w:r>
              <w:t xml:space="preserve">Exportación</w:t>
            </w:r>
          </w:p>
        </w:tc>
        <w:tc>
          <w:tcPr>
            <w:tcW w:w="4222" w:type="dxa"/>
          </w:tcPr>
          <w:tcPr/>
          <w:p>
            <w:pPr>
              <w:pStyle w:val="Compact"/>
            </w:pPr>
            <w:r>
              <w:t xml:space="preserve">No aplica</w:t>
            </w:r>
          </w:p>
        </w:tc>
      </w:tr>
      <w:tr>
        <w:tc>
          <w:tcPr>
            <w:tcW w:w="5138" w:type="dxa"/>
          </w:tcPr>
          <w:tcPr/>
          <w:p>
            <w:pPr>
              <w:pStyle w:val="Compact"/>
            </w:pPr>
            <w:r>
              <w:t xml:space="preserve">Método de pago</w:t>
            </w:r>
          </w:p>
        </w:tc>
        <w:tc>
          <w:tcPr>
            <w:tcW w:w="4222" w:type="dxa"/>
          </w:tcPr>
          <w:tcPr/>
          <w:p>
            <w:pPr>
              <w:pStyle w:val="Compact"/>
            </w:pPr>
            <w:r>
              <w:t xml:space="preserve">PPD - Pago en parcialidades o diferido</w:t>
            </w:r>
          </w:p>
        </w:tc>
      </w:tr>
      <w:tr>
        <w:tc>
          <w:tcPr>
            <w:tcW w:w="5138" w:type="dxa"/>
          </w:tcPr>
          <w:tcPr/>
          <w:p>
            <w:pPr>
              <w:pStyle w:val="Compact"/>
            </w:pPr>
            <w:r>
              <w:t xml:space="preserve">Forma de pago</w:t>
            </w:r>
          </w:p>
        </w:tc>
        <w:tc>
          <w:tcPr>
            <w:tcW w:w="4222" w:type="dxa"/>
          </w:tcPr>
          <w:tcPr/>
          <w:p>
            <w:pPr>
              <w:pStyle w:val="Compact"/>
            </w:pPr>
            <w:r>
              <w:t xml:space="preserve">99 - Por definir</w:t>
            </w:r>
          </w:p>
        </w:tc>
      </w:tr>
      <w:tr>
        <w:tc>
          <w:tcPr>
            <w:tcW w:w="5138" w:type="dxa"/>
          </w:tcPr>
          <w:tcPr/>
          <w:p>
            <w:pPr>
              <w:pStyle w:val="Compact"/>
            </w:pPr>
            <w:r>
              <w:t xml:space="preserve">Condiciones de pago</w:t>
            </w:r>
          </w:p>
        </w:tc>
        <w:tc>
          <w:tcPr>
            <w:tcW w:w="4222" w:type="dxa"/>
          </w:tcPr>
          <w:tcPr/>
          <w:p>
            <w:pPr>
              <w:pStyle w:val="Compact"/>
            </w:pPr>
            <w:r>
              <w:t xml:space="preserve">60 DÍAS</w:t>
            </w:r>
          </w:p>
        </w:tc>
      </w:tr>
      <w:tr>
        <w:tc>
          <w:tcPr>
            <w:tcW w:w="5138" w:type="dxa"/>
          </w:tcPr>
          <w:tcPr/>
          <w:p>
            <w:pPr>
              <w:pStyle w:val="Compact"/>
            </w:pPr>
            <w:r>
              <w:t xml:space="preserve">Fecha y hora de emisión</w:t>
            </w:r>
          </w:p>
        </w:tc>
        <w:tc>
          <w:tcPr>
            <w:tcW w:w="4222" w:type="dxa"/>
          </w:tcPr>
          <w:tcPr/>
          <w:p>
            <w:pPr>
              <w:pStyle w:val="Compact"/>
            </w:pPr>
            <w:r>
              <w:t xml:space="preserve">2026-03-23T08:40:07</w:t>
            </w:r>
          </w:p>
        </w:tc>
      </w:tr>
      <w:tr>
        <w:tc>
          <w:tcPr>
            <w:tcW w:w="5138" w:type="dxa"/>
          </w:tcPr>
          <w:tcPr/>
          <w:p>
            <w:pPr>
              <w:pStyle w:val="Compact"/>
            </w:pPr>
            <w:r>
              <w:t xml:space="preserve">Fecha y hora de expedición</w:t>
            </w:r>
          </w:p>
        </w:tc>
        <w:tc>
          <w:tcPr>
            <w:tcW w:w="4222" w:type="dxa"/>
          </w:tcPr>
          <w:tcPr/>
          <w:p>
            <w:pPr>
              <w:pStyle w:val="Compact"/>
            </w:pPr>
            <w:r>
              <w:t xml:space="preserve">2026-03-23T08:40:07</w:t>
            </w:r>
          </w:p>
        </w:tc>
      </w:tr>
      <w:tr>
        <w:tc>
          <w:tcPr>
            <w:tcW w:w="5138" w:type="dxa"/>
          </w:tcPr>
          <w:tcPr/>
          <w:p>
            <w:pPr>
              <w:pStyle w:val="Compact"/>
            </w:pPr>
            <w:r>
              <w:t xml:space="preserve">N° Orden de compra (cliente)</w:t>
            </w:r>
          </w:p>
        </w:tc>
        <w:tc>
          <w:tcPr>
            <w:tcW w:w="4222" w:type="dxa"/>
          </w:tcPr>
          <w:tcPr/>
          <w:p>
            <w:pPr>
              <w:pStyle w:val="Compact"/>
            </w:pPr>
            <w:r>
              <w:t xml:space="preserve">OC-106591-1</w:t>
            </w:r>
          </w:p>
        </w:tc>
      </w:tr>
      <w:tr>
        <w:tc>
          <w:tcPr>
            <w:tcW w:w="5138" w:type="dxa"/>
          </w:tcPr>
          <w:tcPr/>
          <w:p>
            <w:pPr>
              <w:pStyle w:val="Compact"/>
            </w:pPr>
            <w:r>
              <w:t xml:space="preserve">N° Pedido interno (PQF2)</w:t>
            </w:r>
          </w:p>
        </w:tc>
        <w:tc>
          <w:tcPr>
            <w:tcW w:w="4222" w:type="dxa"/>
          </w:tcPr>
          <w:tcPr/>
          <w:p>
            <w:pPr>
              <w:pStyle w:val="Compact"/>
            </w:pPr>
            <w:r>
              <w:t xml:space="preserve">021326-1511</w:t>
            </w:r>
          </w:p>
        </w:tc>
      </w:tr>
    </w:tbl>
    <w:p>
      <w:pPr>
        <w:pStyle w:val="Heading3"/>
      </w:pPr>
      <w:r>
        <w:t xml:space="preserve">Emisor</w:t>
      </w:r>
    </w:p>
    <w:tbl>
      <w:tblPr>
        <w:tblStyle w:val="Table"/>
        <w:tblW w:type="pct" w:w="5000"/>
        <w:tblLayout w:type="fixed"/>
        <w:tblLook w:firstRow="1" w:lastRow="0" w:firstColumn="0" w:lastColumn="0" w:noHBand="0" w:noVBand="0" w:val="0020"/>
      </w:tblPr>
      <w:tblGrid>
        <w:gridCol w:w="2796"/>
        <w:gridCol w:w="6564"/>
      </w:tblGrid>
      <w:tr>
        <w:trPr>
          <w:tblHeader w:val="on"/>
        </w:trPr>
        <w:tc>
          <w:tcPr>
            <w:tcW w:w="2796" w:type="dxa"/>
            <w:shd w:val="clear" w:color="auto" w:fill="434343"/>
          </w:tcPr>
          <w:p>
            <w:pPr>
              <w:pStyle w:val="Compact"/>
            </w:pPr>
            <w:r>
              <w:rPr>
                <w:b/>
                <w:color w:val="FFFFFF"/>
              </w:rPr>
              <w:t xml:space="preserve">Dato</w:t>
            </w:r>
          </w:p>
        </w:tc>
        <w:tc>
          <w:tcPr>
            <w:tcW w:w="6564" w:type="dxa"/>
            <w:shd w:val="clear" w:color="auto" w:fill="434343"/>
          </w:tcPr>
          <w:p>
            <w:pPr>
              <w:pStyle w:val="Compact"/>
            </w:pPr>
            <w:r>
              <w:rPr>
                <w:b/>
                <w:color w:val="FFFFFF"/>
              </w:rPr>
              <w:t xml:space="preserve">Ejemplo</w:t>
            </w:r>
          </w:p>
        </w:tc>
      </w:tr>
      <w:tr>
        <w:tc>
          <w:tcPr>
            <w:tcW w:w="2796" w:type="dxa"/>
          </w:tcPr>
          <w:tcPr/>
          <w:p>
            <w:pPr>
              <w:pStyle w:val="Compact"/>
            </w:pPr>
            <w:r>
              <w:t xml:space="preserve">Razón social</w:t>
            </w:r>
          </w:p>
        </w:tc>
        <w:tc>
          <w:tcPr>
            <w:tcW w:w="6564" w:type="dxa"/>
          </w:tcPr>
          <w:tcPr/>
          <w:p>
            <w:pPr>
              <w:pStyle w:val="Compact"/>
            </w:pPr>
            <w:r>
              <w:t xml:space="preserve">GOLOCAER S.A de C.V - Grupo Proquifa</w:t>
            </w:r>
          </w:p>
        </w:tc>
      </w:tr>
      <w:tr>
        <w:tc>
          <w:tcPr>
            <w:tcW w:w="2796" w:type="dxa"/>
          </w:tcPr>
          <w:tcPr/>
          <w:p>
            <w:pPr>
              <w:pStyle w:val="Compact"/>
            </w:pPr>
            <w:r>
              <w:t xml:space="preserve">RFC</w:t>
            </w:r>
          </w:p>
        </w:tc>
        <w:tc>
          <w:tcPr>
            <w:tcW w:w="6564" w:type="dxa"/>
          </w:tcPr>
          <w:tcPr/>
          <w:p>
            <w:pPr>
              <w:pStyle w:val="Compact"/>
            </w:pPr>
            <w:r>
              <w:t xml:space="preserve">GOL120717DJ7</w:t>
            </w:r>
          </w:p>
        </w:tc>
      </w:tr>
      <w:tr>
        <w:tc>
          <w:tcPr>
            <w:tcW w:w="2796" w:type="dxa"/>
          </w:tcPr>
          <w:tcPr/>
          <w:p>
            <w:pPr>
              <w:pStyle w:val="Compact"/>
            </w:pPr>
            <w:r>
              <w:t xml:space="preserve">Régimen fiscal</w:t>
            </w:r>
          </w:p>
        </w:tc>
        <w:tc>
          <w:tcPr>
            <w:tcW w:w="6564" w:type="dxa"/>
          </w:tcPr>
          <w:tcPr/>
          <w:p>
            <w:pPr>
              <w:pStyle w:val="Compact"/>
            </w:pPr>
            <w:r>
              <w:t xml:space="preserve">601 - General de Ley Personas Morales</w:t>
            </w:r>
          </w:p>
        </w:tc>
      </w:tr>
      <w:tr>
        <w:tc>
          <w:tcPr>
            <w:tcW w:w="2796" w:type="dxa"/>
          </w:tcPr>
          <w:tcPr/>
          <w:p>
            <w:pPr>
              <w:pStyle w:val="Compact"/>
            </w:pPr>
            <w:r>
              <w:t xml:space="preserve">C.P. lugar de expedición</w:t>
            </w:r>
          </w:p>
        </w:tc>
        <w:tc>
          <w:tcPr>
            <w:tcW w:w="6564" w:type="dxa"/>
          </w:tcPr>
          <w:tcPr/>
          <w:p>
            <w:pPr>
              <w:pStyle w:val="Compact"/>
            </w:pPr>
            <w:r>
              <w:t xml:space="preserve">07900</w:t>
            </w:r>
          </w:p>
        </w:tc>
      </w:tr>
      <w:tr>
        <w:tc>
          <w:tcPr>
            <w:tcW w:w="2796" w:type="dxa"/>
          </w:tcPr>
          <w:tcPr/>
          <w:p>
            <w:pPr>
              <w:pStyle w:val="Compact"/>
            </w:pPr>
            <w:r>
              <w:t xml:space="preserve">Domicilio fiscal</w:t>
            </w:r>
          </w:p>
        </w:tc>
        <w:tc>
          <w:tcPr>
            <w:tcW w:w="6564" w:type="dxa"/>
          </w:tcPr>
          <w:tcPr/>
          <w:p>
            <w:pPr>
              <w:pStyle w:val="Compact"/>
            </w:pPr>
            <w:r>
              <w:t xml:space="preserve">Calle: Oriente 6 MZ 26 LT 13, Colonia: Cuchilla del Tesoro, Alcaldía: Gustavo A. Madero, C.P: 07900, Ciudad: México, País: México</w:t>
            </w:r>
          </w:p>
        </w:tc>
      </w:tr>
    </w:tbl>
    <w:p>
      <w:pPr>
        <w:pStyle w:val="Heading3"/>
      </w:pPr>
      <w:r>
        <w:t xml:space="preserve">Receptor (cliente)</w:t>
      </w:r>
    </w:p>
    <w:tbl>
      <w:tblPr>
        <w:tblStyle w:val="Table"/>
        <w:tblW w:type="auto" w:w="0"/>
        <w:tblLook w:firstRow="1" w:lastRow="0" w:firstColumn="0" w:lastColumn="0" w:noHBand="0" w:noVBand="0" w:val="0020"/>
      </w:tblPr>
      <w:tblGrid>
        <w:gridCol w:w="4008"/>
        <w:gridCol w:w="5352"/>
      </w:tblGrid>
      <w:tr>
        <w:trPr>
          <w:tblHeader w:val="on"/>
        </w:trPr>
        <w:tc>
          <w:tcPr>
            <w:tcW w:w="4008" w:type="dxa"/>
            <w:shd w:val="clear" w:color="auto" w:fill="434343"/>
          </w:tcPr>
          <w:p>
            <w:pPr>
              <w:pStyle w:val="Compact"/>
            </w:pPr>
            <w:r>
              <w:rPr>
                <w:b/>
                <w:color w:val="FFFFFF"/>
              </w:rPr>
              <w:t xml:space="preserve">Dato</w:t>
            </w:r>
          </w:p>
        </w:tc>
        <w:tc>
          <w:tcPr>
            <w:tcW w:w="5352" w:type="dxa"/>
            <w:shd w:val="clear" w:color="auto" w:fill="434343"/>
          </w:tcPr>
          <w:p>
            <w:pPr>
              <w:pStyle w:val="Compact"/>
            </w:pPr>
            <w:r>
              <w:rPr>
                <w:b/>
                <w:color w:val="FFFFFF"/>
              </w:rPr>
              <w:t xml:space="preserve">Ejemplo</w:t>
            </w:r>
          </w:p>
        </w:tc>
      </w:tr>
      <w:tr>
        <w:tc>
          <w:tcPr>
            <w:tcW w:w="4008" w:type="dxa"/>
          </w:tcPr>
          <w:tcPr/>
          <w:p>
            <w:pPr>
              <w:pStyle w:val="Compact"/>
            </w:pPr>
            <w:r>
              <w:t xml:space="preserve">Razón social</w:t>
            </w:r>
          </w:p>
        </w:tc>
        <w:tc>
          <w:tcPr>
            <w:tcW w:w="5352" w:type="dxa"/>
          </w:tcPr>
          <w:tcPr/>
          <w:p>
            <w:pPr>
              <w:pStyle w:val="Compact"/>
            </w:pPr>
            <w:r>
              <w:t xml:space="preserve">PSICOFARMA</w:t>
            </w:r>
          </w:p>
        </w:tc>
      </w:tr>
      <w:tr>
        <w:tc>
          <w:tcPr>
            <w:tcW w:w="4008" w:type="dxa"/>
          </w:tcPr>
          <w:tcPr/>
          <w:p>
            <w:pPr>
              <w:pStyle w:val="Compact"/>
            </w:pPr>
            <w:r>
              <w:t xml:space="preserve">RFC</w:t>
            </w:r>
          </w:p>
        </w:tc>
        <w:tc>
          <w:tcPr>
            <w:tcW w:w="5352" w:type="dxa"/>
          </w:tcPr>
          <w:tcPr/>
          <w:p>
            <w:pPr>
              <w:pStyle w:val="Compact"/>
            </w:pPr>
            <w:r>
              <w:t xml:space="preserve">PSI741010UI1</w:t>
            </w:r>
          </w:p>
        </w:tc>
      </w:tr>
      <w:tr>
        <w:tc>
          <w:tcPr>
            <w:tcW w:w="4008" w:type="dxa"/>
          </w:tcPr>
          <w:tcPr/>
          <w:p>
            <w:pPr>
              <w:pStyle w:val="Compact"/>
            </w:pPr>
            <w:r>
              <w:t xml:space="preserve">Régimen fiscal</w:t>
            </w:r>
          </w:p>
        </w:tc>
        <w:tc>
          <w:tcPr>
            <w:tcW w:w="5352" w:type="dxa"/>
          </w:tcPr>
          <w:tcPr/>
          <w:p>
            <w:pPr>
              <w:pStyle w:val="Compact"/>
            </w:pPr>
            <w:r>
              <w:t xml:space="preserve">601 - General de Ley Personas Morales</w:t>
            </w:r>
          </w:p>
        </w:tc>
      </w:tr>
      <w:tr>
        <w:tc>
          <w:tcPr>
            <w:tcW w:w="4008" w:type="dxa"/>
          </w:tcPr>
          <w:tcPr/>
          <w:p>
            <w:pPr>
              <w:pStyle w:val="Compact"/>
            </w:pPr>
            <w:r>
              <w:t xml:space="preserve">Uso de CFDI</w:t>
            </w:r>
          </w:p>
        </w:tc>
        <w:tc>
          <w:tcPr>
            <w:tcW w:w="5352" w:type="dxa"/>
          </w:tcPr>
          <w:tcPr/>
          <w:p>
            <w:pPr>
              <w:pStyle w:val="Compact"/>
            </w:pPr>
            <w:r>
              <w:t xml:space="preserve">G03 - Gastos en general</w:t>
            </w:r>
          </w:p>
        </w:tc>
      </w:tr>
      <w:tr>
        <w:tc>
          <w:tcPr>
            <w:tcW w:w="4008" w:type="dxa"/>
          </w:tcPr>
          <w:tcPr/>
          <w:p>
            <w:pPr>
              <w:pStyle w:val="Compact"/>
            </w:pPr>
            <w:r>
              <w:t xml:space="preserve">C.P. domicilio fiscal</w:t>
            </w:r>
          </w:p>
        </w:tc>
        <w:tc>
          <w:tcPr>
            <w:tcW w:w="5352" w:type="dxa"/>
          </w:tcPr>
          <w:tcPr/>
          <w:p>
            <w:pPr>
              <w:pStyle w:val="Compact"/>
            </w:pPr>
            <w:r>
              <w:t xml:space="preserve">14050</w:t>
            </w:r>
          </w:p>
        </w:tc>
      </w:tr>
    </w:tbl>
    <w:p>
      <w:pPr>
        <w:pStyle w:val="Heading3"/>
      </w:pPr>
      <w:r>
        <w:t xml:space="preserve">Partida (se repite por cada renglón)</w:t>
      </w:r>
    </w:p>
    <w:tbl>
      <w:tblPr>
        <w:tblStyle w:val="Table"/>
        <w:tblW w:type="pct" w:w="5000"/>
        <w:tblLayout w:type="fixed"/>
        <w:tblLook w:firstRow="1" w:lastRow="0" w:firstColumn="0" w:lastColumn="0" w:noHBand="0" w:noVBand="0" w:val="0020"/>
      </w:tblPr>
      <w:tblGrid>
        <w:gridCol w:w="5064"/>
        <w:gridCol w:w="4296"/>
      </w:tblGrid>
      <w:tr>
        <w:trPr>
          <w:tblHeader w:val="on"/>
        </w:trPr>
        <w:tc>
          <w:tcPr>
            <w:tcW w:w="5064" w:type="dxa"/>
            <w:shd w:val="clear" w:color="auto" w:fill="434343"/>
          </w:tcPr>
          <w:p>
            <w:pPr>
              <w:pStyle w:val="Compact"/>
            </w:pPr>
            <w:r>
              <w:rPr>
                <w:b/>
                <w:color w:val="FFFFFF"/>
              </w:rPr>
              <w:t xml:space="preserve">Dato</w:t>
            </w:r>
          </w:p>
        </w:tc>
        <w:tc>
          <w:tcPr>
            <w:tcW w:w="4296" w:type="dxa"/>
            <w:shd w:val="clear" w:color="auto" w:fill="434343"/>
          </w:tcPr>
          <w:p>
            <w:pPr>
              <w:pStyle w:val="Compact"/>
            </w:pPr>
            <w:r>
              <w:rPr>
                <w:b/>
                <w:color w:val="FFFFFF"/>
              </w:rPr>
              <w:t xml:space="preserve">Ejemplo</w:t>
            </w:r>
          </w:p>
        </w:tc>
      </w:tr>
      <w:tr>
        <w:tc>
          <w:tcPr>
            <w:tcW w:w="5064" w:type="dxa"/>
          </w:tcPr>
          <w:tcPr/>
          <w:p>
            <w:pPr>
              <w:pStyle w:val="Compact"/>
            </w:pPr>
            <w:r>
              <w:t xml:space="preserve">N° de partida</w:t>
            </w:r>
          </w:p>
        </w:tc>
        <w:tc>
          <w:tcPr>
            <w:tcW w:w="4296" w:type="dxa"/>
          </w:tcPr>
          <w:tcPr/>
          <w:p>
            <w:pPr>
              <w:pStyle w:val="Compact"/>
            </w:pPr>
            <w:r>
              <w:t xml:space="preserve">1</w:t>
            </w:r>
          </w:p>
        </w:tc>
      </w:tr>
      <w:tr>
        <w:tc>
          <w:tcPr>
            <w:tcW w:w="5064" w:type="dxa"/>
          </w:tcPr>
          <w:tcPr/>
          <w:p>
            <w:pPr>
              <w:pStyle w:val="Compact"/>
            </w:pPr>
            <w:r>
              <w:t xml:space="preserve">Clave SAT (c_ClaveProdServ)</w:t>
            </w:r>
          </w:p>
        </w:tc>
        <w:tc>
          <w:tcPr>
            <w:tcW w:w="4296" w:type="dxa"/>
          </w:tcPr>
          <w:tcPr/>
          <w:p>
            <w:pPr>
              <w:pStyle w:val="Compact"/>
            </w:pPr>
            <w:r>
              <w:t xml:space="preserve">41116132</w:t>
            </w:r>
          </w:p>
        </w:tc>
      </w:tr>
      <w:tr>
        <w:tc>
          <w:tcPr>
            <w:tcW w:w="5064" w:type="dxa"/>
          </w:tcPr>
          <w:tcPr/>
          <w:p>
            <w:pPr>
              <w:pStyle w:val="Compact"/>
            </w:pPr>
            <w:r>
              <w:t xml:space="preserve">N° ID interno</w:t>
            </w:r>
          </w:p>
        </w:tc>
        <w:tc>
          <w:tcPr>
            <w:tcW w:w="4296" w:type="dxa"/>
          </w:tcPr>
          <w:tcPr/>
          <w:p>
            <w:pPr>
              <w:pStyle w:val="Compact"/>
            </w:pPr>
            <w:r>
              <w:t xml:space="preserve">MBL-0488X</w:t>
            </w:r>
          </w:p>
        </w:tc>
      </w:tr>
      <w:tr>
        <w:tc>
          <w:tcPr>
            <w:tcW w:w="5064" w:type="dxa"/>
          </w:tcPr>
          <w:tcPr/>
          <w:p>
            <w:pPr>
              <w:pStyle w:val="Compact"/>
            </w:pPr>
            <w:r>
              <w:t xml:space="preserve">Pedimento</w:t>
            </w:r>
          </w:p>
        </w:tc>
        <w:tc>
          <w:tcPr>
            <w:tcW w:w="4296" w:type="dxa"/>
          </w:tcPr>
          <w:tcPr/>
          <w:p>
            <w:pPr>
              <w:pStyle w:val="Compact"/>
            </w:pPr>
            <w:r>
              <w:t xml:space="preserve">26 47 1881 6000411</w:t>
            </w:r>
          </w:p>
        </w:tc>
      </w:tr>
      <w:tr>
        <w:tc>
          <w:tcPr>
            <w:tcW w:w="5064" w:type="dxa"/>
          </w:tcPr>
          <w:tcPr/>
          <w:p>
            <w:pPr>
              <w:pStyle w:val="Compact"/>
            </w:pPr>
            <w:r>
              <w:t xml:space="preserve">Cantidad</w:t>
            </w:r>
          </w:p>
        </w:tc>
        <w:tc>
          <w:tcPr>
            <w:tcW w:w="4296" w:type="dxa"/>
          </w:tcPr>
          <w:tcPr/>
          <w:p>
            <w:pPr>
              <w:pStyle w:val="Compact"/>
            </w:pPr>
            <w:r>
              <w:t xml:space="preserve">1.0</w:t>
            </w:r>
          </w:p>
        </w:tc>
      </w:tr>
      <w:tr>
        <w:tc>
          <w:tcPr>
            <w:tcW w:w="5064" w:type="dxa"/>
          </w:tcPr>
          <w:tcPr/>
          <w:p>
            <w:pPr>
              <w:pStyle w:val="Compact"/>
            </w:pPr>
            <w:r>
              <w:t xml:space="preserve">Unidad</w:t>
            </w:r>
          </w:p>
        </w:tc>
        <w:tc>
          <w:tcPr>
            <w:tcW w:w="4296" w:type="dxa"/>
          </w:tcPr>
          <w:tcPr/>
          <w:p>
            <w:pPr>
              <w:pStyle w:val="Compact"/>
            </w:pPr>
            <w:r>
              <w:t xml:space="preserve">Pieza</w:t>
            </w:r>
          </w:p>
        </w:tc>
      </w:tr>
      <w:tr>
        <w:tc>
          <w:tcPr>
            <w:tcW w:w="5064" w:type="dxa"/>
          </w:tcPr>
          <w:tcPr/>
          <w:p>
            <w:pPr>
              <w:pStyle w:val="Compact"/>
            </w:pPr>
            <w:r>
              <w:t xml:space="preserve">Clave unidad (c_ClaveUnidad)</w:t>
            </w:r>
          </w:p>
        </w:tc>
        <w:tc>
          <w:tcPr>
            <w:tcW w:w="4296" w:type="dxa"/>
          </w:tcPr>
          <w:tcPr/>
          <w:p>
            <w:pPr>
              <w:pStyle w:val="Compact"/>
            </w:pPr>
            <w:r>
              <w:t xml:space="preserve">H87</w:t>
            </w:r>
          </w:p>
        </w:tc>
      </w:tr>
      <w:tr>
        <w:tc>
          <w:tcPr>
            <w:tcW w:w="5064" w:type="dxa"/>
          </w:tcPr>
          <w:tcPr/>
          <w:p>
            <w:pPr>
              <w:pStyle w:val="Compact"/>
            </w:pPr>
            <w:r>
              <w:t xml:space="preserve">Catálogo (negritas)</w:t>
            </w:r>
          </w:p>
        </w:tc>
        <w:tc>
          <w:tcPr>
            <w:tcW w:w="4296" w:type="dxa"/>
          </w:tcPr>
          <w:tcPr/>
          <w:p>
            <w:pPr>
              <w:pStyle w:val="Compact"/>
            </w:pPr>
            <w:r>
              <w:t xml:space="preserve">MBL-0483X</w:t>
            </w:r>
          </w:p>
        </w:tc>
      </w:tr>
      <w:tr>
        <w:tc>
          <w:tcPr>
            <w:tcW w:w="5064" w:type="dxa"/>
          </w:tcPr>
          <w:tcPr/>
          <w:p>
            <w:pPr>
              <w:pStyle w:val="Compact"/>
            </w:pPr>
            <w:r>
              <w:t xml:space="preserve">Descripción (Desc. + Cant. presentación + Unidad + Marca + Lote)</w:t>
            </w:r>
          </w:p>
        </w:tc>
        <w:tc>
          <w:tcPr>
            <w:tcW w:w="4296" w:type="dxa"/>
          </w:tcPr>
          <w:tcPr/>
          <w:p>
            <w:pPr>
              <w:pStyle w:val="Compact"/>
            </w:pPr>
            <w:r>
              <w:t xml:space="preserve">Escherichia coli derived from ATCC 8739 (KWIK-STIK Plus) (5 Units) - MICROBIOLOGICS - Lote R32424</w:t>
            </w:r>
          </w:p>
        </w:tc>
      </w:tr>
      <w:tr>
        <w:tc>
          <w:tcPr>
            <w:tcW w:w="5064" w:type="dxa"/>
          </w:tcPr>
          <w:tcPr/>
          <w:p>
            <w:pPr>
              <w:pStyle w:val="Compact"/>
            </w:pPr>
            <w:r>
              <w:t xml:space="preserve">Precio unitario</w:t>
            </w:r>
          </w:p>
        </w:tc>
        <w:tc>
          <w:tcPr>
            <w:tcW w:w="4296" w:type="dxa"/>
          </w:tcPr>
          <w:tcPr/>
          <w:p>
            <w:pPr>
              <w:pStyle w:val="Compact"/>
            </w:pPr>
            <w:r>
              <w:t xml:space="preserve">$452.00</w:t>
            </w:r>
          </w:p>
        </w:tc>
      </w:tr>
      <w:tr>
        <w:tc>
          <w:tcPr>
            <w:tcW w:w="5064" w:type="dxa"/>
          </w:tcPr>
          <w:tcPr/>
          <w:p>
            <w:pPr>
              <w:pStyle w:val="Compact"/>
            </w:pPr>
            <w:r>
              <w:t xml:space="preserve">Importe</w:t>
            </w:r>
          </w:p>
        </w:tc>
        <w:tc>
          <w:tcPr>
            <w:tcW w:w="4296" w:type="dxa"/>
          </w:tcPr>
          <w:tcPr/>
          <w:p>
            <w:pPr>
              <w:pStyle w:val="Compact"/>
            </w:pPr>
            <w:r>
              <w:t xml:space="preserve">$452.00</w:t>
            </w:r>
          </w:p>
        </w:tc>
      </w:tr>
      <w:tr>
        <w:tc>
          <w:tcPr>
            <w:tcW w:w="5064" w:type="dxa"/>
          </w:tcPr>
          <w:tcPr/>
          <w:p>
            <w:pPr>
              <w:pStyle w:val="Compact"/>
            </w:pPr>
            <w:r>
              <w:t xml:space="preserve">Imp. Fed.</w:t>
            </w:r>
          </w:p>
        </w:tc>
        <w:tc>
          <w:tcPr>
            <w:tcW w:w="4296" w:type="dxa"/>
          </w:tcPr>
          <w:tcPr/>
          <w:p>
            <w:pPr>
              <w:pStyle w:val="Compact"/>
            </w:pPr>
            <w:r>
              <w:t xml:space="preserve">$72.32</w:t>
            </w:r>
          </w:p>
        </w:tc>
      </w:tr>
    </w:tbl>
    <w:p>
      <w:pPr>
        <w:pStyle w:val="Heading3"/>
      </w:pPr>
      <w:r>
        <w:t xml:space="preserve">Impuesto de partida (lista, no dato único — preparado para 2+ impuestos)</w:t>
      </w:r>
    </w:p>
    <w:tbl>
      <w:tblPr>
        <w:tblStyle w:val="Table"/>
        <w:tblW w:type="auto" w:w="0"/>
        <w:tblLook w:firstRow="1" w:lastRow="0" w:firstColumn="0" w:lastColumn="0" w:noHBand="0" w:noVBand="0" w:val="0020"/>
      </w:tblPr>
      <w:tblGrid>
        <w:gridCol w:w="5007"/>
        <w:gridCol w:w="4353"/>
      </w:tblGrid>
      <w:tr>
        <w:trPr>
          <w:tblHeader w:val="on"/>
        </w:trPr>
        <w:tc>
          <w:tcPr>
            <w:tcW w:w="5007" w:type="dxa"/>
            <w:shd w:val="clear" w:color="auto" w:fill="434343"/>
          </w:tcPr>
          <w:p>
            <w:pPr>
              <w:pStyle w:val="Compact"/>
            </w:pPr>
            <w:r>
              <w:rPr>
                <w:b/>
                <w:color w:val="FFFFFF"/>
              </w:rPr>
              <w:t xml:space="preserve">Dato</w:t>
            </w:r>
          </w:p>
        </w:tc>
        <w:tc>
          <w:tcPr>
            <w:tcW w:w="4353" w:type="dxa"/>
            <w:shd w:val="clear" w:color="auto" w:fill="434343"/>
          </w:tcPr>
          <w:p>
            <w:pPr>
              <w:pStyle w:val="Compact"/>
            </w:pPr>
            <w:r>
              <w:rPr>
                <w:b/>
                <w:color w:val="FFFFFF"/>
              </w:rPr>
              <w:t xml:space="preserve">Ejemplo</w:t>
            </w:r>
          </w:p>
        </w:tc>
      </w:tr>
      <w:tr>
        <w:tc>
          <w:tcPr>
            <w:tcW w:w="5007" w:type="dxa"/>
          </w:tcPr>
          <w:tcPr/>
          <w:p>
            <w:pPr>
              <w:pStyle w:val="Compact"/>
            </w:pPr>
            <w:r>
              <w:t xml:space="preserve">Base</w:t>
            </w:r>
          </w:p>
        </w:tc>
        <w:tc>
          <w:tcPr>
            <w:tcW w:w="4353" w:type="dxa"/>
          </w:tcPr>
          <w:tcPr/>
          <w:p>
            <w:pPr>
              <w:pStyle w:val="Compact"/>
            </w:pPr>
            <w:r>
              <w:t xml:space="preserve">$452.00</w:t>
            </w:r>
          </w:p>
        </w:tc>
      </w:tr>
      <w:tr>
        <w:tc>
          <w:tcPr>
            <w:tcW w:w="5007" w:type="dxa"/>
          </w:tcPr>
          <w:tcPr/>
          <w:p>
            <w:pPr>
              <w:pStyle w:val="Compact"/>
            </w:pPr>
            <w:r>
              <w:t xml:space="preserve">Impuesto</w:t>
            </w:r>
          </w:p>
        </w:tc>
        <w:tc>
          <w:tcPr>
            <w:tcW w:w="4353" w:type="dxa"/>
          </w:tcPr>
          <w:tcPr/>
          <w:p>
            <w:pPr>
              <w:pStyle w:val="Compact"/>
            </w:pPr>
            <w:r>
              <w:t xml:space="preserve">002 - IVA</w:t>
            </w:r>
          </w:p>
        </w:tc>
      </w:tr>
      <w:tr>
        <w:tc>
          <w:tcPr>
            <w:tcW w:w="5007" w:type="dxa"/>
          </w:tcPr>
          <w:tcPr/>
          <w:p>
            <w:pPr>
              <w:pStyle w:val="Compact"/>
            </w:pPr>
            <w:r>
              <w:t xml:space="preserve">Tipo de factor</w:t>
            </w:r>
          </w:p>
        </w:tc>
        <w:tc>
          <w:tcPr>
            <w:tcW w:w="4353" w:type="dxa"/>
          </w:tcPr>
          <w:tcPr/>
          <w:p>
            <w:pPr>
              <w:pStyle w:val="Compact"/>
            </w:pPr>
            <w:r>
              <w:t xml:space="preserve">Tasa</w:t>
            </w:r>
          </w:p>
        </w:tc>
      </w:tr>
      <w:tr>
        <w:tc>
          <w:tcPr>
            <w:tcW w:w="5007" w:type="dxa"/>
          </w:tcPr>
          <w:tcPr/>
          <w:p>
            <w:pPr>
              <w:pStyle w:val="Compact"/>
            </w:pPr>
            <w:r>
              <w:t xml:space="preserve">Tasa o cuota</w:t>
            </w:r>
          </w:p>
        </w:tc>
        <w:tc>
          <w:tcPr>
            <w:tcW w:w="4353" w:type="dxa"/>
          </w:tcPr>
          <w:tcPr/>
          <w:p>
            <w:pPr>
              <w:pStyle w:val="Compact"/>
            </w:pPr>
            <w:r>
              <w:t xml:space="preserve">0.160000</w:t>
            </w:r>
          </w:p>
        </w:tc>
      </w:tr>
      <w:tr>
        <w:tc>
          <w:tcPr>
            <w:tcW w:w="5007" w:type="dxa"/>
          </w:tcPr>
          <w:tcPr/>
          <w:p>
            <w:pPr>
              <w:pStyle w:val="Compact"/>
            </w:pPr>
            <w:r>
              <w:t xml:space="preserve">Importe</w:t>
            </w:r>
          </w:p>
        </w:tc>
        <w:tc>
          <w:tcPr>
            <w:tcW w:w="4353" w:type="dxa"/>
          </w:tcPr>
          <w:tcPr/>
          <w:p>
            <w:pPr>
              <w:pStyle w:val="Compact"/>
            </w:pPr>
            <w:r>
              <w:t xml:space="preserve">$72.32</w:t>
            </w:r>
          </w:p>
        </w:tc>
      </w:tr>
    </w:tbl>
    <w:p>
      <w:pPr>
        <w:pStyle w:val="Heading3"/>
      </w:pPr>
      <w:r>
        <w:t xml:space="preserve">Resumen de impuestos</w:t>
      </w:r>
    </w:p>
    <w:tbl>
      <w:tblPr>
        <w:tblStyle w:val="Table"/>
        <w:tblW w:type="auto" w:w="0"/>
        <w:tblLook w:firstRow="1" w:lastRow="0" w:firstColumn="0" w:lastColumn="0" w:noHBand="0" w:noVBand="0" w:val="0020"/>
      </w:tblPr>
      <w:tblGrid>
        <w:gridCol w:w="4396"/>
        <w:gridCol w:w="4964"/>
      </w:tblGrid>
      <w:tr>
        <w:trPr>
          <w:tblHeader w:val="on"/>
        </w:trPr>
        <w:tc>
          <w:tcPr>
            <w:tcW w:w="4396" w:type="dxa"/>
            <w:shd w:val="clear" w:color="auto" w:fill="434343"/>
          </w:tcPr>
          <w:p>
            <w:pPr>
              <w:pStyle w:val="Compact"/>
            </w:pPr>
            <w:r>
              <w:rPr>
                <w:b/>
                <w:color w:val="FFFFFF"/>
              </w:rPr>
              <w:t xml:space="preserve">Dato</w:t>
            </w:r>
          </w:p>
        </w:tc>
        <w:tc>
          <w:tcPr>
            <w:tcW w:w="4964" w:type="dxa"/>
            <w:shd w:val="clear" w:color="auto" w:fill="434343"/>
          </w:tcPr>
          <w:p>
            <w:pPr>
              <w:pStyle w:val="Compact"/>
            </w:pPr>
            <w:r>
              <w:rPr>
                <w:b/>
                <w:color w:val="FFFFFF"/>
              </w:rPr>
              <w:t xml:space="preserve">Ejemplo</w:t>
            </w:r>
          </w:p>
        </w:tc>
      </w:tr>
      <w:tr>
        <w:tc>
          <w:tcPr>
            <w:tcW w:w="4396" w:type="dxa"/>
          </w:tcPr>
          <w:tcPr/>
          <w:p>
            <w:pPr>
              <w:pStyle w:val="Compact"/>
            </w:pPr>
            <w:r>
              <w:t xml:space="preserve">Traslados (agregado)</w:t>
            </w:r>
          </w:p>
        </w:tc>
        <w:tc>
          <w:tcPr>
            <w:tcW w:w="4964" w:type="dxa"/>
          </w:tcPr>
          <w:tcPr/>
          <w:p>
            <w:pPr>
              <w:pStyle w:val="Compact"/>
            </w:pPr>
            <w:r>
              <w:t xml:space="preserve">002 - IVA, Tasa, 0.160000, $650.88</w:t>
            </w:r>
          </w:p>
        </w:tc>
      </w:tr>
      <w:tr>
        <w:tc>
          <w:tcPr>
            <w:tcW w:w="4396" w:type="dxa"/>
          </w:tcPr>
          <w:tcPr/>
          <w:p>
            <w:pPr>
              <w:pStyle w:val="Compact"/>
            </w:pPr>
            <w:r>
              <w:t xml:space="preserve">Retenciones</w:t>
            </w:r>
          </w:p>
        </w:tc>
        <w:tc>
          <w:tcPr>
            <w:tcW w:w="4964" w:type="dxa"/>
          </w:tcPr>
          <w:tcPr/>
          <w:p>
            <w:pPr>
              <w:pStyle w:val="Compact"/>
            </w:pPr>
            <w:r>
              <w:t xml:space="preserve">(vacío en el ejemplo)</w:t>
            </w:r>
          </w:p>
        </w:tc>
      </w:tr>
      <w:tr>
        <w:tc>
          <w:tcPr>
            <w:tcW w:w="4396" w:type="dxa"/>
          </w:tcPr>
          <w:tcPr/>
          <w:p>
            <w:pPr>
              <w:pStyle w:val="Compact"/>
            </w:pPr>
            <w:r>
              <w:t xml:space="preserve">Texto cuando no hay retenciones</w:t>
            </w:r>
          </w:p>
        </w:tc>
        <w:tc>
          <w:tcPr>
            <w:tcW w:w="4964" w:type="dxa"/>
          </w:tcPr>
          <w:tcPr/>
          <w:p>
            <w:pPr>
              <w:pStyle w:val="Compact"/>
            </w:pPr>
            <w:r>
              <w:t xml:space="preserve">Sin retenciones</w:t>
            </w:r>
          </w:p>
        </w:tc>
      </w:tr>
    </w:tbl>
    <w:p>
      <w:pPr>
        <w:pStyle w:val="Heading3"/>
      </w:pPr>
      <w:r>
        <w:t xml:space="preserve">Totales</w:t>
      </w:r>
    </w:p>
    <w:tbl>
      <w:tblPr>
        <w:tblStyle w:val="Table"/>
        <w:tblW w:type="auto" w:w="0"/>
        <w:tblLook w:firstRow="1" w:lastRow="0" w:firstColumn="0" w:lastColumn="0" w:noHBand="0" w:noVBand="0" w:val="0020"/>
      </w:tblPr>
      <w:tblGrid>
        <w:gridCol w:w="3871"/>
        <w:gridCol w:w="5489"/>
      </w:tblGrid>
      <w:tr>
        <w:trPr>
          <w:tblHeader w:val="on"/>
        </w:trPr>
        <w:tc>
          <w:tcPr>
            <w:tcW w:w="3871" w:type="dxa"/>
            <w:shd w:val="clear" w:color="auto" w:fill="434343"/>
          </w:tcPr>
          <w:p>
            <w:pPr>
              <w:pStyle w:val="Compact"/>
            </w:pPr>
            <w:r>
              <w:rPr>
                <w:b/>
                <w:color w:val="FFFFFF"/>
              </w:rPr>
              <w:t xml:space="preserve">Dato</w:t>
            </w:r>
          </w:p>
        </w:tc>
        <w:tc>
          <w:tcPr>
            <w:tcW w:w="5489" w:type="dxa"/>
            <w:shd w:val="clear" w:color="auto" w:fill="434343"/>
          </w:tcPr>
          <w:p>
            <w:pPr>
              <w:pStyle w:val="Compact"/>
            </w:pPr>
            <w:r>
              <w:rPr>
                <w:b/>
                <w:color w:val="FFFFFF"/>
              </w:rPr>
              <w:t xml:space="preserve">Ejemplo</w:t>
            </w:r>
          </w:p>
        </w:tc>
      </w:tr>
      <w:tr>
        <w:tc>
          <w:tcPr>
            <w:tcW w:w="3871" w:type="dxa"/>
          </w:tcPr>
          <w:tcPr/>
          <w:p>
            <w:pPr>
              <w:pStyle w:val="Compact"/>
            </w:pPr>
            <w:r>
              <w:t xml:space="preserve">Subtotal</w:t>
            </w:r>
          </w:p>
        </w:tc>
        <w:tc>
          <w:tcPr>
            <w:tcW w:w="5489" w:type="dxa"/>
          </w:tcPr>
          <w:tcPr/>
          <w:p>
            <w:pPr>
              <w:pStyle w:val="Compact"/>
            </w:pPr>
            <w:r>
              <w:t xml:space="preserve">$4,068.00</w:t>
            </w:r>
          </w:p>
        </w:tc>
      </w:tr>
      <w:tr>
        <w:tc>
          <w:tcPr>
            <w:tcW w:w="3871" w:type="dxa"/>
          </w:tcPr>
          <w:tcPr/>
          <w:p>
            <w:pPr>
              <w:pStyle w:val="Compact"/>
            </w:pPr>
            <w:r>
              <w:t xml:space="preserve">Impuestos federales</w:t>
            </w:r>
          </w:p>
        </w:tc>
        <w:tc>
          <w:tcPr>
            <w:tcW w:w="5489" w:type="dxa"/>
          </w:tcPr>
          <w:tcPr/>
          <w:p>
            <w:pPr>
              <w:pStyle w:val="Compact"/>
            </w:pPr>
            <w:r>
              <w:t xml:space="preserve">$650.88</w:t>
            </w:r>
          </w:p>
        </w:tc>
      </w:tr>
      <w:tr>
        <w:tc>
          <w:tcPr>
            <w:tcW w:w="3871" w:type="dxa"/>
          </w:tcPr>
          <w:tcPr/>
          <w:p>
            <w:pPr>
              <w:pStyle w:val="Compact"/>
            </w:pPr>
            <w:r>
              <w:t xml:space="preserve">Total</w:t>
            </w:r>
          </w:p>
        </w:tc>
        <w:tc>
          <w:tcPr>
            <w:tcW w:w="5489" w:type="dxa"/>
          </w:tcPr>
          <w:tcPr/>
          <w:p>
            <w:pPr>
              <w:pStyle w:val="Compact"/>
            </w:pPr>
            <w:r>
              <w:t xml:space="preserve">$4,718.88 USD</w:t>
            </w:r>
          </w:p>
        </w:tc>
      </w:tr>
      <w:tr>
        <w:tc>
          <w:tcPr>
            <w:tcW w:w="3871" w:type="dxa"/>
          </w:tcPr>
          <w:tcPr/>
          <w:p>
            <w:pPr>
              <w:pStyle w:val="Compact"/>
            </w:pPr>
            <w:r>
              <w:t xml:space="preserve">Total en letras</w:t>
            </w:r>
          </w:p>
        </w:tc>
        <w:tc>
          <w:tcPr>
            <w:tcW w:w="5489" w:type="dxa"/>
          </w:tcPr>
          <w:tcPr/>
          <w:p>
            <w:pPr>
              <w:pStyle w:val="Compact"/>
            </w:pPr>
            <w:r>
              <w:t xml:space="preserve">CUATRO MIL SETECIENTOS DIECIOCHO DÓLARES 88/100</w:t>
            </w:r>
          </w:p>
        </w:tc>
      </w:tr>
      <w:tr>
        <w:tc>
          <w:tcPr>
            <w:tcW w:w="3871" w:type="dxa"/>
          </w:tcPr>
          <w:tcPr/>
          <w:p>
            <w:pPr>
              <w:pStyle w:val="Compact"/>
            </w:pPr>
            <w:r>
              <w:t xml:space="preserve">Moneda</w:t>
            </w:r>
          </w:p>
        </w:tc>
        <w:tc>
          <w:tcPr>
            <w:tcW w:w="5489" w:type="dxa"/>
          </w:tcPr>
          <w:tcPr/>
          <w:p>
            <w:pPr>
              <w:pStyle w:val="Compact"/>
            </w:pPr>
            <w:r>
              <w:t xml:space="preserve">USD - Dólar americano</w:t>
            </w:r>
          </w:p>
        </w:tc>
      </w:tr>
      <w:tr>
        <w:tc>
          <w:tcPr>
            <w:tcW w:w="3871" w:type="dxa"/>
          </w:tcPr>
          <w:tcPr/>
          <w:p>
            <w:pPr>
              <w:pStyle w:val="Compact"/>
            </w:pPr>
            <w:r>
              <w:t xml:space="preserve">Tipo de cambio</w:t>
            </w:r>
          </w:p>
        </w:tc>
        <w:tc>
          <w:tcPr>
            <w:tcW w:w="5489" w:type="dxa"/>
          </w:tcPr>
          <w:tcPr/>
          <w:p>
            <w:pPr>
              <w:pStyle w:val="Compact"/>
            </w:pPr>
            <w:r>
              <w:t xml:space="preserve">18.3473</w:t>
            </w:r>
          </w:p>
        </w:tc>
      </w:tr>
    </w:tbl>
    <w:p>
      <w:pPr>
        <w:pStyle w:val="Heading3"/>
      </w:pPr>
      <w:r>
        <w:t xml:space="preserve">Cuenta bancaria (máx. 2)</w:t>
      </w:r>
    </w:p>
    <w:tbl>
      <w:tblPr>
        <w:tblStyle w:val="Table"/>
        <w:tblW w:type="auto" w:w="0"/>
        <w:tblLook w:firstRow="1" w:lastRow="0" w:firstColumn="0" w:lastColumn="0" w:noHBand="0" w:noVBand="0" w:val="0020"/>
      </w:tblPr>
      <w:tblGrid>
        <w:gridCol w:w="4030"/>
        <w:gridCol w:w="5330"/>
      </w:tblGrid>
      <w:tr>
        <w:trPr>
          <w:tblHeader w:val="on"/>
        </w:trPr>
        <w:tc>
          <w:tcPr>
            <w:tcW w:w="4030" w:type="dxa"/>
            <w:shd w:val="clear" w:color="auto" w:fill="434343"/>
          </w:tcPr>
          <w:p>
            <w:pPr>
              <w:pStyle w:val="Compact"/>
            </w:pPr>
            <w:r>
              <w:rPr>
                <w:b/>
                <w:color w:val="FFFFFF"/>
              </w:rPr>
              <w:t xml:space="preserve">Dato</w:t>
            </w:r>
          </w:p>
        </w:tc>
        <w:tc>
          <w:tcPr>
            <w:tcW w:w="5330" w:type="dxa"/>
            <w:shd w:val="clear" w:color="auto" w:fill="434343"/>
          </w:tcPr>
          <w:p>
            <w:pPr>
              <w:pStyle w:val="Compact"/>
            </w:pPr>
            <w:r>
              <w:rPr>
                <w:b/>
                <w:color w:val="FFFFFF"/>
              </w:rPr>
              <w:t xml:space="preserve">Ejemplo</w:t>
            </w:r>
          </w:p>
        </w:tc>
      </w:tr>
      <w:tr>
        <w:tc>
          <w:tcPr>
            <w:tcW w:w="4030" w:type="dxa"/>
          </w:tcPr>
          <w:tcPr/>
          <w:p>
            <w:pPr>
              <w:pStyle w:val="Compact"/>
            </w:pPr>
            <w:r>
              <w:t xml:space="preserve">Moneda</w:t>
            </w:r>
          </w:p>
        </w:tc>
        <w:tc>
          <w:tcPr>
            <w:tcW w:w="5330" w:type="dxa"/>
          </w:tcPr>
          <w:tcPr/>
          <w:p>
            <w:pPr>
              <w:pStyle w:val="Compact"/>
            </w:pPr>
            <w:r>
              <w:t xml:space="preserve">USD</w:t>
            </w:r>
          </w:p>
        </w:tc>
      </w:tr>
      <w:tr>
        <w:tc>
          <w:tcPr>
            <w:tcW w:w="4030" w:type="dxa"/>
          </w:tcPr>
          <w:tcPr/>
          <w:p>
            <w:pPr>
              <w:pStyle w:val="Compact"/>
            </w:pPr>
            <w:r>
              <w:t xml:space="preserve">Banco - Sucursal</w:t>
            </w:r>
          </w:p>
        </w:tc>
        <w:tc>
          <w:tcPr>
            <w:tcW w:w="5330" w:type="dxa"/>
          </w:tcPr>
          <w:tcPr/>
          <w:p>
            <w:pPr>
              <w:pStyle w:val="Compact"/>
            </w:pPr>
            <w:r>
              <w:t xml:space="preserve">BANAMEX - Suc. 870</w:t>
            </w:r>
          </w:p>
        </w:tc>
      </w:tr>
      <w:tr>
        <w:tc>
          <w:tcPr>
            <w:tcW w:w="4030" w:type="dxa"/>
          </w:tcPr>
          <w:tcPr/>
          <w:p>
            <w:pPr>
              <w:pStyle w:val="Compact"/>
            </w:pPr>
            <w:r>
              <w:t xml:space="preserve">N° de cuenta</w:t>
            </w:r>
          </w:p>
        </w:tc>
        <w:tc>
          <w:tcPr>
            <w:tcW w:w="5330" w:type="dxa"/>
          </w:tcPr>
          <w:tcPr/>
          <w:p>
            <w:pPr>
              <w:pStyle w:val="Compact"/>
            </w:pPr>
            <w:r>
              <w:t xml:space="preserve">9702905</w:t>
            </w:r>
          </w:p>
        </w:tc>
      </w:tr>
      <w:tr>
        <w:tc>
          <w:tcPr>
            <w:tcW w:w="4030" w:type="dxa"/>
          </w:tcPr>
          <w:tcPr/>
          <w:p>
            <w:pPr>
              <w:pStyle w:val="Compact"/>
            </w:pPr>
            <w:r>
              <w:t xml:space="preserve">CLABE</w:t>
            </w:r>
          </w:p>
        </w:tc>
        <w:tc>
          <w:tcPr>
            <w:tcW w:w="5330" w:type="dxa"/>
          </w:tcPr>
          <w:tcPr/>
          <w:p>
            <w:pPr>
              <w:pStyle w:val="Compact"/>
            </w:pPr>
            <w:r>
              <w:t xml:space="preserve">002180087097029058</w:t>
            </w:r>
          </w:p>
        </w:tc>
      </w:tr>
      <w:tr>
        <w:tc>
          <w:tcPr>
            <w:tcW w:w="4030" w:type="dxa"/>
          </w:tcPr>
          <w:tcPr/>
          <w:p>
            <w:pPr>
              <w:pStyle w:val="Compact"/>
            </w:pPr>
            <w:r>
              <w:t xml:space="preserve">Código SWIFT</w:t>
            </w:r>
          </w:p>
        </w:tc>
        <w:tc>
          <w:tcPr>
            <w:tcW w:w="5330" w:type="dxa"/>
          </w:tcPr>
          <w:tcPr/>
          <w:p>
            <w:pPr>
              <w:pStyle w:val="Compact"/>
            </w:pPr>
            <w:r>
              <w:t xml:space="preserve">BNMXMXMMXXX</w:t>
            </w:r>
          </w:p>
        </w:tc>
      </w:tr>
      <w:tr>
        <w:tc>
          <w:tcPr>
            <w:tcW w:w="4030" w:type="dxa"/>
          </w:tcPr>
          <w:tcPr/>
          <w:p>
            <w:pPr>
              <w:pStyle w:val="Compact"/>
            </w:pPr>
            <w:r>
              <w:t xml:space="preserve">IBAN</w:t>
            </w:r>
          </w:p>
        </w:tc>
        <w:tc>
          <w:tcPr>
            <w:tcW w:w="5330" w:type="dxa"/>
          </w:tcPr>
          <w:tcPr/>
          <w:p>
            <w:pPr>
              <w:pStyle w:val="Compact"/>
            </w:pPr>
            <w:r>
              <w:t xml:space="preserve">MX98BK9702905012345678901234567890</w:t>
            </w:r>
          </w:p>
        </w:tc>
      </w:tr>
      <w:tr>
        <w:tc>
          <w:tcPr>
            <w:tcW w:w="4030" w:type="dxa"/>
          </w:tcPr>
          <w:tcPr/>
          <w:p>
            <w:pPr>
              <w:pStyle w:val="Compact"/>
            </w:pPr>
            <w:r>
              <w:t xml:space="preserve">Referencia cliente</w:t>
            </w:r>
          </w:p>
        </w:tc>
        <w:tc>
          <w:tcPr>
            <w:tcW w:w="5330" w:type="dxa"/>
          </w:tcPr>
          <w:tcPr/>
          <w:p>
            <w:pPr>
              <w:pStyle w:val="Compact"/>
            </w:pPr>
            <w:r>
              <w:t xml:space="preserve">SOL0153BXD96</w:t>
            </w:r>
          </w:p>
        </w:tc>
      </w:tr>
    </w:tbl>
    <w:p>
      <w:pPr>
        <w:pStyle w:val="Heading3"/>
      </w:pPr>
      <w:r>
        <w:t xml:space="preserve">Timbrado fiscal (vacío en preview)</w:t>
      </w:r>
    </w:p>
    <w:tbl>
      <w:tblPr>
        <w:tblStyle w:val="Table"/>
        <w:tblW w:type="pct" w:w="5000"/>
        <w:tblLayout w:type="fixed"/>
        <w:tblLook w:firstRow="1" w:lastRow="0" w:firstColumn="0" w:lastColumn="0" w:noHBand="0" w:noVBand="0" w:val="0020"/>
      </w:tblPr>
      <w:tblGrid>
        <w:gridCol w:w="3173"/>
        <w:gridCol w:w="6187"/>
      </w:tblGrid>
      <w:tr>
        <w:trPr>
          <w:tblHeader w:val="on"/>
        </w:trPr>
        <w:tc>
          <w:tcPr>
            <w:tcW w:w="3173" w:type="dxa"/>
            <w:shd w:val="clear" w:color="auto" w:fill="434343"/>
          </w:tcPr>
          <w:p>
            <w:pPr>
              <w:pStyle w:val="Compact"/>
            </w:pPr>
            <w:r>
              <w:rPr>
                <w:b/>
                <w:color w:val="FFFFFF"/>
              </w:rPr>
              <w:t xml:space="preserve">Dato</w:t>
            </w:r>
          </w:p>
        </w:tc>
        <w:tc>
          <w:tcPr>
            <w:tcW w:w="6187" w:type="dxa"/>
            <w:shd w:val="clear" w:color="auto" w:fill="434343"/>
          </w:tcPr>
          <w:p>
            <w:pPr>
              <w:pStyle w:val="Compact"/>
            </w:pPr>
            <w:r>
              <w:rPr>
                <w:b/>
                <w:color w:val="FFFFFF"/>
              </w:rPr>
              <w:t xml:space="preserve">Ejemplo</w:t>
            </w:r>
          </w:p>
        </w:tc>
      </w:tr>
      <w:tr>
        <w:tc>
          <w:tcPr>
            <w:tcW w:w="3173" w:type="dxa"/>
          </w:tcPr>
          <w:tcPr/>
          <w:p>
            <w:pPr>
              <w:pStyle w:val="Compact"/>
            </w:pPr>
            <w:r>
              <w:t xml:space="preserve">Folio fiscal (UUID)</w:t>
            </w:r>
          </w:p>
        </w:tc>
        <w:tc>
          <w:tcPr>
            <w:tcW w:w="6187" w:type="dxa"/>
          </w:tcPr>
          <w:tcPr/>
          <w:p>
            <w:pPr>
              <w:pStyle w:val="Compact"/>
            </w:pPr>
            <w:r>
              <w:t xml:space="preserve">aaad49fc-b6bf-6554-e112-4a6372986f02</w:t>
            </w:r>
          </w:p>
        </w:tc>
      </w:tr>
      <w:tr>
        <w:tc>
          <w:tcPr>
            <w:tcW w:w="3173" w:type="dxa"/>
          </w:tcPr>
          <w:tcPr/>
          <w:p>
            <w:pPr>
              <w:pStyle w:val="Compact"/>
            </w:pPr>
            <w:r>
              <w:t xml:space="preserve">Fecha y hora de certificación</w:t>
            </w:r>
          </w:p>
        </w:tc>
        <w:tc>
          <w:tcPr>
            <w:tcW w:w="6187" w:type="dxa"/>
          </w:tcPr>
          <w:tcPr/>
          <w:p>
            <w:pPr>
              <w:pStyle w:val="Compact"/>
            </w:pPr>
            <w:r>
              <w:t xml:space="preserve">2026-03-23T08:40:07</w:t>
            </w:r>
          </w:p>
        </w:tc>
      </w:tr>
      <w:tr>
        <w:tc>
          <w:tcPr>
            <w:tcW w:w="3173" w:type="dxa"/>
          </w:tcPr>
          <w:tcPr/>
          <w:p>
            <w:pPr>
              <w:pStyle w:val="Compact"/>
            </w:pPr>
            <w:r>
              <w:t xml:space="preserve">N° serie certificado SAT</w:t>
            </w:r>
          </w:p>
        </w:tc>
        <w:tc>
          <w:tcPr>
            <w:tcW w:w="6187" w:type="dxa"/>
          </w:tcPr>
          <w:tcPr/>
          <w:p>
            <w:pPr>
              <w:pStyle w:val="Compact"/>
            </w:pPr>
            <w:r>
              <w:t xml:space="preserve">00001000000716475473</w:t>
            </w:r>
          </w:p>
        </w:tc>
      </w:tr>
      <w:tr>
        <w:tc>
          <w:tcPr>
            <w:tcW w:w="3173" w:type="dxa"/>
          </w:tcPr>
          <w:tcPr/>
          <w:p>
            <w:pPr>
              <w:pStyle w:val="Compact"/>
            </w:pPr>
            <w:r>
              <w:t xml:space="preserve">N° serie CSD emisor</w:t>
            </w:r>
          </w:p>
        </w:tc>
        <w:tc>
          <w:tcPr>
            <w:tcW w:w="6187" w:type="dxa"/>
          </w:tcPr>
          <w:tcPr/>
          <w:p>
            <w:pPr>
              <w:pStyle w:val="Compact"/>
            </w:pPr>
            <w:r>
              <w:t xml:space="preserve">00001000000717627816</w:t>
            </w:r>
          </w:p>
        </w:tc>
      </w:tr>
      <w:tr>
        <w:tc>
          <w:tcPr>
            <w:tcW w:w="3173" w:type="dxa"/>
          </w:tcPr>
          <w:tcPr/>
          <w:p>
            <w:pPr>
              <w:pStyle w:val="Compact"/>
            </w:pPr>
            <w:r>
              <w:t xml:space="preserve">Sello digital SAT</w:t>
            </w:r>
          </w:p>
        </w:tc>
        <w:tc>
          <w:tcPr>
            <w:tcW w:w="6187" w:type="dxa"/>
          </w:tcPr>
          <w:tcPr/>
          <w:p>
            <w:pPr>
              <w:pStyle w:val="Compact"/>
            </w:pPr>
            <w:r>
              <w:t xml:space="preserve">dyz/s+ZrpXPR21IIVJz8yR70MYkxWq+KqZk4ZG8Pz+kxENUBwzytP7imYvuY5HH…</w:t>
            </w:r>
          </w:p>
        </w:tc>
      </w:tr>
      <w:tr>
        <w:tc>
          <w:tcPr>
            <w:tcW w:w="3173" w:type="dxa"/>
          </w:tcPr>
          <w:tcPr/>
          <w:p>
            <w:pPr>
              <w:pStyle w:val="Compact"/>
            </w:pPr>
            <w:r>
              <w:t xml:space="preserve">Sello digital CFDI</w:t>
            </w:r>
          </w:p>
        </w:tc>
        <w:tc>
          <w:tcPr>
            <w:tcW w:w="6187" w:type="dxa"/>
          </w:tcPr>
          <w:tcPr/>
          <w:p>
            <w:pPr>
              <w:pStyle w:val="Compact"/>
            </w:pPr>
            <w:r>
              <w:t xml:space="preserve">TJHaEn1G/D/1w3MmUW/pXYkSxKGgzdau956WOsf/mV+z3irW0iaoIHcCkSWv4O+O…</w:t>
            </w:r>
          </w:p>
        </w:tc>
      </w:tr>
      <w:tr>
        <w:tc>
          <w:tcPr>
            <w:tcW w:w="3173" w:type="dxa"/>
          </w:tcPr>
          <w:tcPr/>
          <w:p>
            <w:pPr>
              <w:pStyle w:val="Compact"/>
            </w:pPr>
            <w:r>
              <w:t xml:space="preserve">Cadena original CCD SAT</w:t>
            </w:r>
          </w:p>
        </w:tc>
        <w:tc>
          <w:tcPr>
            <w:tcW w:w="6187" w:type="dxa"/>
          </w:tcPr>
          <w:tcPr/>
          <w:p>
            <w:pPr>
              <w:pStyle w:val="Compact"/>
            </w:pPr>
            <w:r>
              <w:t xml:space="preserve">||1.1|aaad49fc-b6bf-6554-e112-4a6372986f02|2026-03-23T08:40:07|SAT970701NN3|dyz/s+ZrpXPR21IIVJz8yR70MYkxWq+K…|00001000000716475473||</w:t>
            </w:r>
          </w:p>
        </w:tc>
      </w:tr>
      <w:tr>
        <w:tc>
          <w:tcPr>
            <w:tcW w:w="3173" w:type="dxa"/>
          </w:tcPr>
          <w:tcPr/>
          <w:p>
            <w:pPr>
              <w:pStyle w:val="Compact"/>
            </w:pPr>
            <w:r>
              <w:t xml:space="preserve">Imagen QR (base64)</w:t>
            </w:r>
          </w:p>
        </w:tc>
        <w:tc>
          <w:tcPr>
            <w:tcW w:w="6187" w:type="dxa"/>
          </w:tcPr>
          <w:tcPr/>
          <w:p>
            <w:pPr>
              <w:pStyle w:val="Compact"/>
            </w:pPr>
            <w:r>
              <w:t xml:space="preserve">data:image/png;base64,iVBORw0KGgoAAAANSUhEUg…</w:t>
            </w:r>
          </w:p>
        </w:tc>
      </w:tr>
    </w:tbl>
    <w:p>
      <w:pPr>
        <w:pStyle w:val="BodyText"/>
      </w:pPr>
      <w:r>
        <w:t xml:space="preserve">Decisiones de diseño detalladas y datos completos para negociación con Back-end viven en R16A-RE-FU-021-DATOS-COMPARTIR-BACKEND.md (mismo contenido publicado como gist).</w:t>
      </w:r>
    </w:p>
    <w:p>
      <w:pPr>
        <w:pStyle w:val="Heading1"/>
      </w:pPr>
      <w:r>
        <w:rPr>
          <w:b/>
          <w:bCs/>
        </w:rPr>
        <w:t xml:space="preserve">Manejo de Errores y Excepciones</w:t>
      </w:r>
    </w:p>
    <w:tbl>
      <w:tblPr>
        <w:tblStyle w:val="Table"/>
        <w:tblW w:type="pct" w:w="5000"/>
        <w:tblLayout w:type="fixed"/>
        <w:tblLook w:firstRow="1" w:lastRow="0" w:firstColumn="0" w:lastColumn="0" w:noHBand="0" w:noVBand="0" w:val="0020"/>
      </w:tblPr>
      <w:tblGrid>
        <w:gridCol w:w="3275"/>
        <w:gridCol w:w="6085"/>
      </w:tblGrid>
      <w:tr>
        <w:trPr>
          <w:tblHeader w:val="on"/>
        </w:trPr>
        <w:tc>
          <w:tcPr>
            <w:tcW w:w="3275" w:type="dxa"/>
            <w:shd w:val="clear" w:color="auto" w:fill="434343"/>
          </w:tcPr>
          <w:p>
            <w:pPr>
              <w:pStyle w:val="Compact"/>
              <w:jc w:val="left"/>
            </w:pPr>
            <w:r>
              <w:rPr>
                <w:b/>
                <w:color w:val="FFFFFF"/>
              </w:rPr>
              <w:t xml:space="preserve">Escenario</w:t>
            </w:r>
          </w:p>
        </w:tc>
        <w:tc>
          <w:tcPr>
            <w:tcW w:w="6085" w:type="dxa"/>
            <w:shd w:val="clear" w:color="auto" w:fill="434343"/>
          </w:tcPr>
          <w:p>
            <w:pPr>
              <w:pStyle w:val="Compact"/>
              <w:jc w:val="left"/>
            </w:pPr>
            <w:r>
              <w:rPr>
                <w:b/>
                <w:color w:val="FFFFFF"/>
              </w:rPr>
              <w:t xml:space="preserve">Comportamiento esperado</w:t>
            </w:r>
          </w:p>
        </w:tc>
      </w:tr>
      <w:tr>
        <w:tc>
          <w:tcPr>
            <w:tcW w:w="3275" w:type="dxa"/>
          </w:tcPr>
          <w:tcPr/>
          <w:p>
            <w:pPr>
              <w:pStyle w:val="Compact"/>
              <w:jc w:val="left"/>
            </w:pPr>
            <w:r>
              <w:t xml:space="preserve">TemplateKey sin familia _MEX_FAC registrada</w:t>
            </w:r>
          </w:p>
        </w:tc>
        <w:tc>
          <w:tcPr>
            <w:tcW w:w="6085" w:type="dxa"/>
          </w:tcPr>
          <w:tcPr/>
          <w:p>
            <w:pPr>
              <w:pStyle w:val="Compact"/>
              <w:jc w:val="left"/>
            </w:pPr>
            <w:r>
              <w:t xml:space="preserve">El motor no encuentra la plantilla → error del ReportController; se resuelve registrando las 4 familias en DocumentTemplate.</w:t>
            </w:r>
          </w:p>
        </w:tc>
      </w:tr>
      <w:tr>
        <w:tc>
          <w:tcPr>
            <w:tcW w:w="3275" w:type="dxa"/>
          </w:tcPr>
          <w:tcPr/>
          <w:p>
            <w:pPr>
              <w:pStyle w:val="Compact"/>
              <w:jc w:val="left"/>
            </w:pPr>
            <w:r>
              <w:t xml:space="preserve">Campo ausente o vacío (ej. TaxStamp completo vacío en preview)</w:t>
            </w:r>
          </w:p>
        </w:tc>
        <w:tc>
          <w:tcPr>
            <w:tcW w:w="6085" w:type="dxa"/>
          </w:tcPr>
          <w:tcPr/>
          <w:p>
            <w:pPr>
              <w:pStyle w:val="Compact"/>
              <w:jc w:val="left"/>
            </w:pPr>
            <w:r>
              <w:t xml:space="preserve">La plantilla trata todo como texto e imprime vacío, sin chequeo de nulos — cubre timbrada y preview con la misma maqueta.</w:t>
            </w:r>
          </w:p>
        </w:tc>
      </w:tr>
      <w:tr>
        <w:tc>
          <w:tcPr>
            <w:tcW w:w="3275" w:type="dxa"/>
          </w:tcPr>
          <w:tcPr/>
          <w:p>
            <w:pPr>
              <w:pStyle w:val="Compact"/>
              <w:jc w:val="left"/>
            </w:pPr>
            <w:r>
              <w:t xml:space="preserve">Más de 2 cuentas bancarias</w:t>
            </w:r>
          </w:p>
        </w:tc>
        <w:tc>
          <w:tcPr>
            <w:tcW w:w="6085" w:type="dxa"/>
          </w:tcPr>
          <w:tcPr/>
          <w:p>
            <w:pPr>
              <w:pStyle w:val="Compact"/>
              <w:jc w:val="left"/>
            </w:pPr>
            <w:r>
              <w:t xml:space="preserve">La plantilla toma solo las 2 primeras (índices 0 y 1) y descarta el resto.</w:t>
            </w:r>
          </w:p>
        </w:tc>
      </w:tr>
      <w:tr>
        <w:tc>
          <w:tcPr>
            <w:tcW w:w="3275" w:type="dxa"/>
          </w:tcPr>
          <w:tcPr/>
          <w:p>
            <w:pPr>
              <w:pStyle w:val="Compact"/>
              <w:jc w:val="left"/>
            </w:pPr>
            <w:r>
              <w:t xml:space="preserve">TaxStamp.QrImageBase64 ausente</w:t>
            </w:r>
          </w:p>
        </w:tc>
        <w:tc>
          <w:tcPr>
            <w:tcW w:w="6085" w:type="dxa"/>
          </w:tcPr>
          <w:tcPr/>
          <w:p>
            <w:pPr>
              <w:pStyle w:val="Compact"/>
              <w:jc w:val="left"/>
            </w:pPr>
            <w:r>
              <w:t xml:space="preserve">No se pinta la imagen; se reserva el espacio del recuadro en el layout. Depende del diseño de backend, aún pendiente.</w:t>
            </w:r>
          </w:p>
        </w:tc>
      </w:tr>
      <w:tr>
        <w:tc>
          <w:tcPr>
            <w:tcW w:w="3275" w:type="dxa"/>
          </w:tcPr>
          <w:tcPr/>
          <w:p>
            <w:pPr>
              <w:pStyle w:val="Compact"/>
              <w:jc w:val="left"/>
            </w:pPr>
            <w:r>
              <w:t xml:space="preserve">TaxSummary.Retentions[] vacío</w:t>
            </w:r>
          </w:p>
        </w:tc>
        <w:tc>
          <w:tcPr>
            <w:tcW w:w="6085" w:type="dxa"/>
          </w:tcPr>
          <w:tcPr/>
          <w:p>
            <w:pPr>
              <w:pStyle w:val="Compact"/>
              <w:jc w:val="left"/>
            </w:pPr>
            <w:r>
              <w:t xml:space="preserve">Se pinta RetentionsEmptyText en su lugar; si trae elementos, se pinta el arreglo y se ignora el texto.</w:t>
            </w:r>
          </w:p>
        </w:tc>
      </w:tr>
      <w:tr>
        <w:tc>
          <w:tcPr>
            <w:tcW w:w="3275" w:type="dxa"/>
          </w:tcPr>
          <w:tcPr/>
          <w:p>
            <w:pPr>
              <w:pStyle w:val="Compact"/>
              <w:jc w:val="left"/>
            </w:pPr>
            <w:r>
              <w:t xml:space="preserve">Banco inesperado (STP/BBVA en vez de Banamex)</w:t>
            </w:r>
          </w:p>
        </w:tc>
        <w:tc>
          <w:tcPr>
            <w:tcW w:w="6085" w:type="dxa"/>
          </w:tcPr>
          <w:tcPr/>
          <w:p>
            <w:pPr>
              <w:pStyle w:val="Compact"/>
              <w:jc w:val="left"/>
            </w:pPr>
            <w:r>
              <w:t xml:space="preserve">Ninguno: la plantilla es agnóstica al banco, imprime los valores literales.</w:t>
            </w:r>
          </w:p>
        </w:tc>
      </w:tr>
      <w:tr>
        <w:tc>
          <w:tcPr>
            <w:tcW w:w="3275" w:type="dxa"/>
          </w:tcPr>
          <w:tcPr/>
          <w:p>
            <w:pPr>
              <w:pStyle w:val="Compact"/>
              <w:jc w:val="left"/>
            </w:pPr>
            <w:r>
              <w:t xml:space="preserve">Asset base64 de branding ausente (logo, tira de certificaciones)</w:t>
            </w:r>
          </w:p>
        </w:tc>
        <w:tc>
          <w:tcPr>
            <w:tcW w:w="6085" w:type="dxa"/>
          </w:tcPr>
          <w:tcPr/>
          <w:p>
            <w:pPr>
              <w:pStyle w:val="Compact"/>
              <w:jc w:val="left"/>
            </w:pPr>
            <w:r>
              <w:t xml:space="preserve">Se degrada a espacio en blanco; no aborta el render.</w:t>
            </w:r>
          </w:p>
        </w:tc>
      </w:tr>
    </w:tbl>
    <w:p>
      <w:pPr>
        <w:pStyle w:val="Heading1"/>
      </w:pPr>
      <w:r>
        <w:rPr>
          <w:b/>
          <w:bCs/>
        </w:rPr>
        <w:t xml:space="preserve">Estrategia de Pruebas (Diseño de las pruebas)</w:t>
      </w:r>
    </w:p>
    <w:p>
      <w:pPr>
        <w:pStyle w:val="Heading2"/>
      </w:pPr>
      <w:r>
        <w:rPr>
          <w:b/>
          <w:bCs/>
        </w:rPr>
        <w:t xml:space="preserve">Pruebas funcionales (Criterios de Aceptación en DEV)</w:t>
      </w:r>
    </w:p>
    <w:p>
      <w:pPr>
        <w:pStyle w:val="Compact"/>
        <w:numPr>
          <w:ilvl w:val="0"/>
          <w:numId w:val="1007"/>
        </w:numPr>
      </w:pPr>
      <w:r>
        <w:t xml:space="preserve">Cada familia _MEX_FAC (Golocaer / Mungen / Proveedora / Proquifa) renderiza un PDF fiel a su factura CFDI real de referencia (folios 2374 Mungen, 7156 Golocaer, 20913 Proquifa, 143103 Proveedora).</w:t>
      </w:r>
    </w:p>
    <w:p>
      <w:pPr>
        <w:pStyle w:val="Compact"/>
        <w:numPr>
          <w:ilvl w:val="0"/>
          <w:numId w:val="1007"/>
        </w:numPr>
      </w:pPr>
      <w:r>
        <w:t xml:space="preserve">Variante timbrada: todos los bloques poblados, incluido TaxStamp (QR, sellos, UUID).</w:t>
      </w:r>
    </w:p>
    <w:p>
      <w:pPr>
        <w:pStyle w:val="Compact"/>
        <w:numPr>
          <w:ilvl w:val="0"/>
          <w:numId w:val="1007"/>
        </w:numPr>
      </w:pPr>
      <w:r>
        <w:t xml:space="preserve">Variante preview: TaxStamp vacío ⇒ la sección de elementos técnicos SAT no se pinta, sin romper el layout.</w:t>
      </w:r>
    </w:p>
    <w:p>
      <w:pPr>
        <w:pStyle w:val="Compact"/>
        <w:numPr>
          <w:ilvl w:val="0"/>
          <w:numId w:val="1007"/>
        </w:numPr>
      </w:pPr>
      <w:r>
        <w:t xml:space="preserve">Partida con 1 impuesto (hoy) y con 2+ impuestos (Taxes[], preparado a futuro) — ambos casos renderizan sin cambiar la plantilla.</w:t>
      </w:r>
    </w:p>
    <w:p>
      <w:pPr>
        <w:pStyle w:val="Compact"/>
        <w:numPr>
          <w:ilvl w:val="0"/>
          <w:numId w:val="1007"/>
        </w:numPr>
      </w:pPr>
      <w:r>
        <w:t xml:space="preserve">Con más de 2 cuentas bancarias → el PDF muestra solo las 2 primeras.</w:t>
      </w:r>
    </w:p>
    <w:p>
      <w:pPr>
        <w:pStyle w:val="Compact"/>
        <w:numPr>
          <w:ilvl w:val="0"/>
          <w:numId w:val="1007"/>
        </w:numPr>
      </w:pPr>
      <w:r>
        <w:t xml:space="preserve">Retentions[] vacío → se pinta RetentionsEmptyText; con elementos → se pinta el arreglo.</w:t>
      </w:r>
    </w:p>
    <w:p>
      <w:pPr>
        <w:pStyle w:val="Heading2"/>
      </w:pPr>
      <w:r>
        <w:rPr>
          <w:b/>
          <w:bCs/>
        </w:rPr>
        <w:t xml:space="preserve">Pruebas técnicas (unitarias e integración)</w:t>
      </w:r>
    </w:p>
    <w:p>
      <w:pPr>
        <w:pStyle w:val="Heading3"/>
      </w:pPr>
      <w:r>
        <w:rPr>
          <w:b/>
          <w:bCs/>
        </w:rPr>
        <w:t xml:space="preserve">Unitarias / de plantilla</w:t>
      </w:r>
    </w:p>
    <w:p>
      <w:pPr>
        <w:pStyle w:val="Compact"/>
        <w:numPr>
          <w:ilvl w:val="0"/>
          <w:numId w:val="1008"/>
        </w:numPr>
      </w:pPr>
      <w:r>
        <w:t xml:space="preserve">Render de una familia _MEX_FAC con un diccionario dummy completo (folio 143103) → PDF con todas las secciones en su posición.</w:t>
      </w:r>
    </w:p>
    <w:p>
      <w:pPr>
        <w:pStyle w:val="Compact"/>
        <w:numPr>
          <w:ilvl w:val="0"/>
          <w:numId w:val="1008"/>
        </w:numPr>
      </w:pPr>
      <w:r>
        <w:t xml:space="preserve">Tope de 2 cuentas: con 3+ elementos → solo los índices 0 y 1 aparecen.</w:t>
      </w:r>
    </w:p>
    <w:p>
      <w:pPr>
        <w:pStyle w:val="Compact"/>
        <w:numPr>
          <w:ilvl w:val="0"/>
          <w:numId w:val="1008"/>
        </w:numPr>
      </w:pPr>
      <w:r>
        <w:t xml:space="preserve">TaxStamp vacío → sección de elementos técnicos SAT no se pinta, sin excepción.</w:t>
      </w:r>
    </w:p>
    <w:p>
      <w:pPr>
        <w:pStyle w:val="Compact"/>
        <w:numPr>
          <w:ilvl w:val="0"/>
          <w:numId w:val="1008"/>
        </w:numPr>
      </w:pPr>
      <w:r>
        <w:t xml:space="preserve">TaxStamp.QrImageBase64 vacío → recuadro reservado sin imagen, sin excepción.</w:t>
      </w:r>
    </w:p>
    <w:p>
      <w:pPr>
        <w:pStyle w:val="Heading3"/>
      </w:pPr>
      <w:r>
        <w:rPr>
          <w:b/>
          <w:bCs/>
        </w:rPr>
        <w:t xml:space="preserve">Pruebas de integración</w:t>
      </w:r>
    </w:p>
    <w:p>
      <w:pPr>
        <w:pStyle w:val="Compact"/>
        <w:numPr>
          <w:ilvl w:val="0"/>
          <w:numId w:val="1009"/>
        </w:numPr>
      </w:pPr>
      <w:r>
        <w:t xml:space="preserve">Render con el TemplateKey de cada empresa → PDF correcto por empresa.</w:t>
      </w:r>
    </w:p>
    <w:p>
      <w:pPr>
        <w:pStyle w:val="Compact"/>
        <w:numPr>
          <w:ilvl w:val="0"/>
          <w:numId w:val="1009"/>
        </w:numPr>
      </w:pPr>
      <w:r>
        <w:t xml:space="preserve">TemplateKey _MEX_FAC no registrado → error propagado, sin PDF a medias.</w:t>
      </w:r>
    </w:p>
    <w:p>
      <w:pPr>
        <w:pStyle w:val="Compact"/>
        <w:numPr>
          <w:ilvl w:val="0"/>
          <w:numId w:val="1009"/>
        </w:numPr>
      </w:pPr>
      <w:r>
        <w:t xml:space="preserve">Regresión del motor compartido: _COT/_PED siguen renderizando sin cambios tras agregar las familias _MEX_FAC.</w:t>
      </w:r>
    </w:p>
    <w:p>
      <w:pPr>
        <w:pStyle w:val="Heading2"/>
      </w:pPr>
      <w:r>
        <w:rPr>
          <w:b/>
          <w:bCs/>
        </w:rPr>
        <w:t xml:space="preserve">Casos críticos</w:t>
      </w:r>
    </w:p>
    <w:p>
      <w:pPr>
        <w:pStyle w:val="Compact"/>
        <w:numPr>
          <w:ilvl w:val="0"/>
          <w:numId w:val="1010"/>
        </w:numPr>
      </w:pPr>
      <w:r>
        <w:rPr>
          <w:b/>
          <w:bCs/>
        </w:rPr>
        <w:t xml:space="preserve">Documento multi-página:</w:t>
      </w:r>
      <w:r>
        <w:t xml:space="preserve"> </w:t>
      </w:r>
      <w:r>
        <w:t xml:space="preserve">header/footer repetidos por página y numeración</w:t>
      </w:r>
      <w:r>
        <w:t xml:space="preserve"> </w:t>
      </w:r>
      <w:r>
        <w:t xml:space="preserve">“X de Y”</w:t>
      </w:r>
      <w:r>
        <w:t xml:space="preserve"> </w:t>
      </w:r>
      <w:r>
        <w:t xml:space="preserve">correcta.</w:t>
      </w:r>
    </w:p>
    <w:p>
      <w:pPr>
        <w:pStyle w:val="Compact"/>
        <w:numPr>
          <w:ilvl w:val="0"/>
          <w:numId w:val="1010"/>
        </w:numPr>
      </w:pPr>
      <w:r>
        <w:rPr>
          <w:b/>
          <w:bCs/>
        </w:rPr>
        <w:t xml:space="preserve">Variante preview vs timbrada:</w:t>
      </w:r>
      <w:r>
        <w:t xml:space="preserve"> </w:t>
      </w:r>
      <w:r>
        <w:t xml:space="preserve">misma plantilla, TaxStamp vacío no rompe layout.</w:t>
      </w:r>
    </w:p>
    <w:p>
      <w:pPr>
        <w:pStyle w:val="Compact"/>
        <w:numPr>
          <w:ilvl w:val="0"/>
          <w:numId w:val="1010"/>
        </w:numPr>
      </w:pPr>
      <w:r>
        <w:rPr>
          <w:b/>
          <w:bCs/>
        </w:rPr>
        <w:t xml:space="preserve">QR ausente:</w:t>
      </w:r>
      <w:r>
        <w:t xml:space="preserve"> </w:t>
      </w:r>
      <w:r>
        <w:t xml:space="preserve">espacio reservado sin imagen — pendiente confirmar mecanismo real con el diseño de backend.</w:t>
      </w:r>
    </w:p>
    <w:p>
      <w:pPr>
        <w:pStyle w:val="Compact"/>
        <w:numPr>
          <w:ilvl w:val="0"/>
          <w:numId w:val="1010"/>
        </w:numPr>
      </w:pPr>
      <w:r>
        <w:rPr>
          <w:b/>
          <w:bCs/>
        </w:rPr>
        <w:t xml:space="preserve">RetentionsEmptyText dinámico:</w:t>
      </w:r>
      <w:r>
        <w:t xml:space="preserve"> </w:t>
      </w:r>
      <w:r>
        <w:t xml:space="preserve">texto proveniente del back se pinta correctamente cuando Retentions[] está vacío.</w:t>
      </w:r>
    </w:p>
    <w:p>
      <w:pPr>
        <w:pStyle w:val="Compact"/>
        <w:numPr>
          <w:ilvl w:val="0"/>
          <w:numId w:val="1010"/>
        </w:numPr>
      </w:pPr>
      <w:r>
        <w:rPr>
          <w:b/>
          <w:bCs/>
        </w:rPr>
        <w:t xml:space="preserve">Alta de una empresa emisora nueva:</w:t>
      </w:r>
      <w:r>
        <w:t xml:space="preserve"> </w:t>
      </w:r>
      <w:r>
        <w:t xml:space="preserve">un dev replica la convención de carpeta/archivo</w:t>
      </w:r>
      <w:r>
        <w:t xml:space="preserve"> </w:t>
      </w:r>
      <w:r>
        <w:t xml:space="preserve">_MEX_FAC/ sin tocar el motor.</w:t>
      </w:r>
    </w:p>
    <w:p>
      <w:pPr>
        <w:pStyle w:val="Heading1"/>
      </w:pPr>
      <w:r>
        <w:rPr>
          <w:b/>
          <w:bCs/>
        </w:rPr>
        <w:t xml:space="preserve">Control de versiones</w:t>
      </w:r>
    </w:p>
    <w:tbl>
      <w:tblPr>
        <w:tblStyle w:val="Table"/>
        <w:tblW w:type="auto" w:w="0"/>
        <w:tblLook w:firstRow="1" w:lastRow="0" w:firstColumn="0" w:lastColumn="0" w:noHBand="0" w:noVBand="0" w:val="0020"/>
      </w:tblPr>
      <w:tblGrid>
        <w:gridCol w:w="1461"/>
        <w:gridCol w:w="1777"/>
        <w:gridCol w:w="2723"/>
        <w:gridCol w:w="2092"/>
        <w:gridCol w:w="1307"/>
      </w:tblGrid>
      <w:tr>
        <w:trPr>
          <w:tblHeader w:val="on"/>
        </w:trPr>
        <w:tc>
          <w:tcPr>
            <w:tcW w:w="1461" w:type="dxa"/>
            <w:shd w:val="clear" w:color="auto" w:fill="434343"/>
          </w:tcPr>
          <w:p>
            <w:pPr>
              <w:pStyle w:val="Compact"/>
              <w:jc w:val="left"/>
            </w:pPr>
            <w:r>
              <w:rPr>
                <w:b/>
                <w:color w:val="FFFFFF"/>
              </w:rPr>
              <w:t xml:space="preserve">Versión</w:t>
            </w:r>
          </w:p>
        </w:tc>
        <w:tc>
          <w:tcPr>
            <w:tcW w:w="1777" w:type="dxa"/>
            <w:shd w:val="clear" w:color="auto" w:fill="434343"/>
          </w:tcPr>
          <w:p>
            <w:pPr>
              <w:pStyle w:val="Compact"/>
              <w:jc w:val="left"/>
            </w:pPr>
            <w:r>
              <w:rPr>
                <w:b/>
                <w:color w:val="FFFFFF"/>
              </w:rPr>
              <w:t xml:space="preserve">Fecha</w:t>
            </w:r>
          </w:p>
        </w:tc>
        <w:tc>
          <w:tcPr>
            <w:tcW w:w="2723" w:type="dxa"/>
            <w:shd w:val="clear" w:color="auto" w:fill="434343"/>
          </w:tcPr>
          <w:p>
            <w:pPr>
              <w:pStyle w:val="Compact"/>
              <w:jc w:val="left"/>
            </w:pPr>
            <w:r>
              <w:rPr>
                <w:b/>
                <w:color w:val="FFFFFF"/>
              </w:rPr>
              <w:t xml:space="preserve">Autor</w:t>
            </w:r>
          </w:p>
        </w:tc>
        <w:tc>
          <w:tcPr>
            <w:tcW w:w="2092" w:type="dxa"/>
            <w:shd w:val="clear" w:color="auto" w:fill="434343"/>
          </w:tcPr>
          <w:p>
            <w:pPr>
              <w:pStyle w:val="Compact"/>
              <w:jc w:val="left"/>
            </w:pPr>
            <w:r>
              <w:rPr>
                <w:b/>
                <w:color w:val="FFFFFF"/>
              </w:rPr>
              <w:t xml:space="preserve">Tipo de Cambio</w:t>
            </w:r>
          </w:p>
        </w:tc>
        <w:tc>
          <w:tcPr>
            <w:tcW w:w="1307" w:type="dxa"/>
            <w:shd w:val="clear" w:color="auto" w:fill="434343"/>
          </w:tcPr>
          <w:p>
            <w:pPr>
              <w:pStyle w:val="Compact"/>
              <w:jc w:val="left"/>
            </w:pPr>
            <w:r>
              <w:rPr>
                <w:b/>
                <w:color w:val="FFFFFF"/>
              </w:rPr>
              <w:t xml:space="preserve">Aprobó</w:t>
            </w:r>
          </w:p>
        </w:tc>
      </w:tr>
      <w:tr>
        <w:tc>
          <w:tcPr>
            <w:tcW w:w="1461" w:type="dxa"/>
          </w:tcPr>
          <w:tcPr/>
          <w:p>
            <w:pPr>
              <w:pStyle w:val="Compact"/>
              <w:jc w:val="left"/>
            </w:pPr>
            <w:r>
              <w:t xml:space="preserve">1.0</w:t>
            </w:r>
          </w:p>
        </w:tc>
        <w:tc>
          <w:tcPr>
            <w:tcW w:w="1777" w:type="dxa"/>
          </w:tcPr>
          <w:tcPr/>
          <w:p>
            <w:pPr>
              <w:pStyle w:val="Compact"/>
              <w:jc w:val="left"/>
            </w:pPr>
            <w:r>
              <w:t xml:space="preserve">15 jul 2026</w:t>
            </w:r>
          </w:p>
        </w:tc>
        <w:tc>
          <w:tcPr>
            <w:tcW w:w="2723" w:type="dxa"/>
          </w:tcPr>
          <w:tcPr/>
          <w:p>
            <w:pPr>
              <w:pStyle w:val="Compact"/>
              <w:jc w:val="left"/>
            </w:pPr>
            <w:r>
              <w:t xml:space="preserve">Jose Armando Santiago Lorenzo</w:t>
            </w:r>
          </w:p>
        </w:tc>
        <w:tc>
          <w:tcPr>
            <w:tcW w:w="2092" w:type="dxa"/>
          </w:tcPr>
          <w:tcPr/>
          <w:p>
            <w:pPr>
              <w:pStyle w:val="Compact"/>
              <w:jc w:val="left"/>
            </w:pPr>
            <w:r>
              <w:t xml:space="preserve">Creación</w:t>
            </w:r>
          </w:p>
        </w:tc>
        <w:tc>
          <w:tcPr>
            <w:tcW w:w="1307" w:type="dxa"/>
          </w:tcPr>
          <w:tcPr/>
          <w:p>
            <w:pPr>
              <w:pStyle w:val="Compact"/>
              <w:jc w:val="left"/>
            </w:pPr>
            <w:r>
              <w:t xml:space="preserve">—</w:t>
            </w:r>
          </w:p>
        </w:tc>
      </w:tr>
    </w:tbl>
    <w:sectPr>
      <w:headerReference r:id="rId14" w:type="default"/>
      <w:headerReference r:id="rId15" w:type="first"/>
      <w:footerReference r:id="rId16" w:type="default"/>
      <w:footerReference r:id="rId17" w:type="first"/>
      <w:pgSz w:h="15840" w:orient="portrait" w:w="12240"/>
      <w:pgMar w:bottom="1440" w:footer="1133.8582677165355" w:header="708" w:left="1440" w:right="1440" w:top="1700.7874015748032"/>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Style w:val="Subtitle"/>
      <w:rPr/>
    </w:pPr>
    <w:bookmarkStart w:colFirst="0" w:colLast="0" w:name="_hbjwpvr8wxtb" w:id="48"/>
    <w:bookmarkEnd w:id="48"/>
    <w:r w:rsidDel="00000000" w:rsidR="00000000" w:rsidRPr="00000000">
      <w:rPr>
        <w:rtl w:val="0"/>
      </w:rPr>
    </w:r>
  </w:p>
  <w:p w:rsidR="00000000" w:rsidDel="00000000" w:rsidP="00000000" w:rsidRDefault="00000000" w:rsidRPr="00000000" w14:paraId="0000014A">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3.png"/>
          <a:graphic>
            <a:graphicData uri="http://schemas.openxmlformats.org/drawingml/2006/picture">
              <pic:pic>
                <pic:nvPicPr>
                  <pic:cNvPr id="0" name="image3.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Diseño de la solución - Requisito R16A-RE-FU-XXX.</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spacing w:line="276"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pPr>
      <w:spacing w:after="120" w:before="120"/>
    </w:pPr>
  </w:style>
  <w:style w:styleId="Heading1" w:type="paragraph">
    <w:name w:val="heading 1"/>
    <w:basedOn w:val="Normal"/>
    <w:next w:val="Normal"/>
    <w:pPr>
      <w:pageBreakBefore/>
      <w:spacing w:after="200" w:before="360" w:lineRule="auto"/>
    </w:pPr>
    <w:rPr>
      <w:b w:val="1"/>
      <w:bCs w:val="1"/>
      <w:color w:val="4d4e4f"/>
      <w:sz w:val="36"/>
      <w:szCs w:val="36"/>
    </w:rPr>
  </w:style>
  <w:style w:styleId="Heading2" w:type="paragraph">
    <w:name w:val="heading 2"/>
    <w:basedOn w:val="Normal"/>
    <w:next w:val="Normal"/>
    <w:pPr>
      <w:spacing w:after="80" w:before="240" w:lineRule="auto"/>
    </w:pPr>
    <w:rPr>
      <w:b w:val="1"/>
      <w:bCs w:val="1"/>
      <w:color w:val="c2273d"/>
      <w:sz w:val="26"/>
      <w:szCs w:val="26"/>
    </w:rPr>
  </w:style>
  <w:style w:styleId="Heading3" w:type="paragraph">
    <w:name w:val="heading 3"/>
    <w:basedOn w:val="Normal"/>
    <w:next w:val="Normal"/>
    <w:pPr>
      <w:spacing w:after="60" w:before="160" w:line="240" w:lineRule="auto"/>
      <w:jc w:val="left"/>
    </w:pPr>
    <w:rPr>
      <w:b w:val="1"/>
      <w:bCs w:val="1"/>
      <w:color w:val="4d4e4f"/>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spacing w:after="80" w:lineRule="auto"/>
      <w:jc w:val="left"/>
    </w:pPr>
    <w:rPr>
      <w:b w:val="1"/>
      <w:bCs w:val="1"/>
      <w:color w:val="4d4e4f"/>
      <w:sz w:val="64"/>
      <w:szCs w:val="64"/>
    </w:rPr>
  </w:style>
  <w:style w:styleId="Subtitle" w:type="paragraph">
    <w:name w:val="Subtitle"/>
    <w:basedOn w:val="Normal"/>
    <w:next w:val="Normal"/>
    <w:pPr>
      <w:keepNext w:val="1"/>
      <w:keepLines w:val="1"/>
    </w:pPr>
    <w:rPr>
      <w:color w:val="666666"/>
      <w:sz w:val="32"/>
      <w:szCs w:val="32"/>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styleId="Table6" w:type="table">
    <w:basedOn w:val="TableNormal"/>
    <w:tblPr>
      <w:tblStyleRowBandSize w:val="1"/>
      <w:tblStyleColBandSize w:val="1"/>
    </w:tblPr>
  </w:style>
  <w:style w:customStyle="1" w:styleId="SourceCode" w:type="paragraph">
    <w:name w:val="Source Code"/>
    <w:basedOn w:val="Normal"/>
    <w:pPr>
      <w:keepLines/>
      <w:shd w:color="auto" w:fill="F6F8FA" w:val="clear"/>
      <w:spacing w:after="20" w:before="20" w:line="240" w:lineRule="auto"/>
    </w:pPr>
    <w:rPr>
      <w:rFonts w:ascii="Consolas" w:cs="Consolas" w:hAnsi="Consolas"/>
      <w:sz w:val="18"/>
      <w:szCs w:val="18"/>
    </w:rPr>
  </w:style>
  <w:style w:customStyle="1" w:styleId="VerbatimChar" w:type="character">
    <w:name w:val="Verbatim Char"/>
    <w:rPr>
      <w:rFonts w:ascii="Consolas" w:cs="Consolas" w:hAnsi="Consolas"/>
      <w:shd w:color="auto" w:fill="F0F0F0" w:val="clear"/>
      <w:sz w:val="18"/>
      <w:szCs w:val="18"/>
    </w:rPr>
  </w:style>
  <w:style w:customStyle="1" w:styleId="Compact" w:type="paragraph">
    <w:name w:val="Compact"/>
    <w:basedOn w:val="Normal"/>
    <w:pPr>
      <w:spacing w:after="0" w:before="0"/>
    </w:pPr>
  </w:style>
  <w:style w:styleId="Table" w:type="table">
    <w:name w:val="Table"/>
    <w:basedOn w:val="TableNormal"/>
    <w:tblPr>
      <w:tblBorders>
        <w:top w:color="BFBFBF" w:sz="4" w:val="single"/>
        <w:left w:color="BFBFBF" w:sz="4" w:val="single"/>
        <w:bottom w:color="BFBFBF" w:sz="4" w:val="single"/>
        <w:right w:color="BFBFBF" w:sz="4" w:val="single"/>
        <w:insideH w:color="BFBFBF" w:sz="4" w:val="single"/>
        <w:insideV w:color="BFBFBF" w:sz="4" w:val="single"/>
      </w:tblBorders>
      <w:tblCellMar>
        <w:left w:type="dxa" w:w="108"/>
        <w:right w:type="dxa" w:w="108"/>
      </w:tblCellMar>
    </w:tblPr>
    <w:tblStylePr w:type="firstRow">
      <w:rPr>
        <w:b/>
        <w:color w:val="FFFFFF"/>
      </w:rPr>
      <w:tcPr>
        <w:shd w:color="auto" w:fill="434343" w:val="clear"/>
      </w:tcPr>
    </w:tblStyle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0" Target="media/image5.png" Type="http://schemas.openxmlformats.org/officeDocument/2006/relationships/image" /><Relationship Id="rId15" Target="header2.xml" Type="http://schemas.openxmlformats.org/officeDocument/2006/relationships/header" /><Relationship Id="rId14" Target="header1.xml" Type="http://schemas.openxmlformats.org/officeDocument/2006/relationships/header" /><Relationship Id="rId17" Target="footer1.xml" Type="http://schemas.openxmlformats.org/officeDocument/2006/relationships/footer" /><Relationship Id="rId16" Target="footer2.xml" Type="http://schemas.openxmlformats.org/officeDocument/2006/relationships/footer" /><Relationship Id="rId6" Target="media/image1.png" Type="http://schemas.openxmlformats.org/officeDocument/2006/relationships/image" /><Relationship Id="rId7" Target="media/image4.png" Type="http://schemas.openxmlformats.org/officeDocument/2006/relationships/image"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2026-08-05T17:17:43Z</dcterms:created>
  <dcterms:modified xsi:type="dcterms:W3CDTF">2026-08-05T17:17:43Z</dcterms:modified>
</cp:coreProperties>
</file>

<file path=docProps/custom.xml><?xml version="1.0" encoding="utf-8"?>
<Properties xmlns="http://schemas.openxmlformats.org/officeDocument/2006/custom-properties" xmlns:vt="http://schemas.openxmlformats.org/officeDocument/2006/docPropsVTypes"/>
</file>