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D4A537"/>
          <w:sz w:val="64"/>
          <w:szCs w:val="64"/>
        </w:rPr>
        <w:t xml:space="preserve">BARBIERE 11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Sistema Completo — 8 Servicios Web</w:t>
      </w:r>
    </w:p>
    <w:p>
      <w:pPr>
        <w:spacing w:after="200" w:before="800"/>
        <w:jc w:val="center"/>
      </w:pPr>
      <w:r>
        <w:rPr>
          <w:b/>
          <w:bCs/>
          <w:sz w:val="30"/>
          <w:szCs w:val="30"/>
        </w:rPr>
        <w:t xml:space="preserve">TESTING COMPLETO DE LAS API DEL PROYECTO CON POSTMAN</w:t>
      </w:r>
    </w:p>
    <w:p>
      <w:pPr>
        <w:spacing w:after="1000"/>
        <w:jc w:val="center"/>
      </w:pPr>
      <w:r>
        <w:rPr>
          <w:sz w:val="26"/>
          <w:szCs w:val="26"/>
        </w:rPr>
        <w:t xml:space="preserve">Evidencia GA7-220501096-AA5-EV04</w:t>
      </w:r>
    </w:p>
    <w:p>
      <w:pPr>
        <w:spacing w:after="80"/>
        <w:jc w:val="center"/>
      </w:pPr>
      <w:r>
        <w:rPr>
          <w:sz w:val="24"/>
          <w:szCs w:val="24"/>
        </w:rPr>
        <w:t xml:space="preserve">Aprendiz: Juan Esteban Garzón Riaño</w:t>
      </w:r>
    </w:p>
    <w:p>
      <w:pPr>
        <w:spacing w:after="80"/>
        <w:jc w:val="center"/>
      </w:pPr>
      <w:r>
        <w:rPr>
          <w:sz w:val="24"/>
          <w:szCs w:val="24"/>
        </w:rPr>
        <w:t xml:space="preserve">Ficha: 3186590</w:t>
      </w:r>
    </w:p>
    <w:p>
      <w:pPr>
        <w:spacing w:after="80"/>
        <w:jc w:val="center"/>
      </w:pPr>
      <w:r>
        <w:rPr>
          <w:sz w:val="24"/>
          <w:szCs w:val="24"/>
        </w:rPr>
        <w:t xml:space="preserve">Instructor: José Hoover Marmolejo Betancourt</w:t>
      </w:r>
    </w:p>
    <w:p>
      <w:pPr>
        <w:spacing w:after="600"/>
        <w:jc w:val="center"/>
      </w:pPr>
      <w:r>
        <w:rPr>
          <w:sz w:val="24"/>
          <w:szCs w:val="24"/>
        </w:rPr>
        <w:t xml:space="preserve">Tecnología en Análisis y Desarrollo de Software</w:t>
      </w:r>
    </w:p>
    <w:p>
      <w:pPr>
        <w:jc w:val="center"/>
      </w:pPr>
      <w:r>
        <w:rPr>
          <w:b/>
          <w:bCs/>
          <w:sz w:val="24"/>
          <w:szCs w:val="24"/>
        </w:rPr>
        <w:t xml:space="preserve">Servicio Nacional de Aprendizaje - SENA</w:t>
      </w:r>
    </w:p>
    <w:p>
      <w:pPr>
        <w:spacing w:after="20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p>
      <w:pPr>
        <w:spacing w:after="110"/>
      </w:pPr>
      <w:r>
        <w:rPr>
          <w:sz w:val="22"/>
          <w:szCs w:val="22"/>
        </w:rPr>
        <w:t xml:space="preserve">1. Introducción</w:t>
      </w:r>
    </w:p>
    <w:p>
      <w:pPr>
        <w:spacing w:after="110"/>
      </w:pPr>
      <w:r>
        <w:rPr>
          <w:sz w:val="22"/>
          <w:szCs w:val="22"/>
        </w:rPr>
        <w:t xml:space="preserve">2. Objetivos</w:t>
      </w:r>
    </w:p>
    <w:p>
      <w:pPr>
        <w:spacing w:after="110"/>
      </w:pPr>
      <w:r>
        <w:rPr>
          <w:sz w:val="22"/>
          <w:szCs w:val="22"/>
        </w:rPr>
        <w:t xml:space="preserve">3. Herramientas utilizadas</w:t>
      </w:r>
    </w:p>
    <w:p>
      <w:pPr>
        <w:spacing w:after="110"/>
      </w:pPr>
      <w:r>
        <w:rPr>
          <w:sz w:val="22"/>
          <w:szCs w:val="22"/>
        </w:rPr>
        <w:t xml:space="preserve">4. Servicios y endpoints probados</w:t>
      </w:r>
    </w:p>
    <w:p>
      <w:pPr>
        <w:spacing w:after="110"/>
      </w:pPr>
      <w:r>
        <w:rPr>
          <w:sz w:val="22"/>
          <w:szCs w:val="22"/>
        </w:rPr>
        <w:t xml:space="preserve">5. Casos de prueba por servicio</w:t>
      </w:r>
    </w:p>
    <w:p>
      <w:pPr>
        <w:spacing w:after="110"/>
      </w:pPr>
      <w:r>
        <w:rPr>
          <w:sz w:val="22"/>
          <w:szCs w:val="22"/>
        </w:rPr>
        <w:t xml:space="preserve">   5.1 Autenticación</w:t>
      </w:r>
    </w:p>
    <w:p>
      <w:pPr>
        <w:spacing w:after="110"/>
      </w:pPr>
      <w:r>
        <w:rPr>
          <w:sz w:val="22"/>
          <w:szCs w:val="22"/>
        </w:rPr>
        <w:t xml:space="preserve">   5.2 Clientes</w:t>
      </w:r>
    </w:p>
    <w:p>
      <w:pPr>
        <w:spacing w:after="110"/>
      </w:pPr>
      <w:r>
        <w:rPr>
          <w:sz w:val="22"/>
          <w:szCs w:val="22"/>
        </w:rPr>
        <w:t xml:space="preserve">   5.3 Servicios de Barbería</w:t>
      </w:r>
    </w:p>
    <w:p>
      <w:pPr>
        <w:spacing w:after="110"/>
      </w:pPr>
      <w:r>
        <w:rPr>
          <w:sz w:val="22"/>
          <w:szCs w:val="22"/>
        </w:rPr>
        <w:t xml:space="preserve">   5.4 Barberos</w:t>
      </w:r>
    </w:p>
    <w:p>
      <w:pPr>
        <w:spacing w:after="110"/>
      </w:pPr>
      <w:r>
        <w:rPr>
          <w:sz w:val="22"/>
          <w:szCs w:val="22"/>
        </w:rPr>
        <w:t xml:space="preserve">   5.5 Citas</w:t>
      </w:r>
    </w:p>
    <w:p>
      <w:pPr>
        <w:spacing w:after="110"/>
      </w:pPr>
      <w:r>
        <w:rPr>
          <w:sz w:val="22"/>
          <w:szCs w:val="22"/>
        </w:rPr>
        <w:t xml:space="preserve">   5.6 Inventario</w:t>
      </w:r>
    </w:p>
    <w:p>
      <w:pPr>
        <w:spacing w:after="110"/>
      </w:pPr>
      <w:r>
        <w:rPr>
          <w:sz w:val="22"/>
          <w:szCs w:val="22"/>
        </w:rPr>
        <w:t xml:space="preserve">   5.7 Pagos</w:t>
      </w:r>
    </w:p>
    <w:p>
      <w:pPr>
        <w:spacing w:after="110"/>
      </w:pPr>
      <w:r>
        <w:rPr>
          <w:sz w:val="22"/>
          <w:szCs w:val="22"/>
        </w:rPr>
        <w:t xml:space="preserve">   5.8 Reportes</w:t>
      </w:r>
    </w:p>
    <w:p>
      <w:pPr>
        <w:spacing w:after="110"/>
      </w:pPr>
      <w:r>
        <w:rPr>
          <w:sz w:val="22"/>
          <w:szCs w:val="22"/>
        </w:rPr>
        <w:t xml:space="preserve">6. Resumen final de la ejecución</w:t>
      </w:r>
    </w:p>
    <w:p>
      <w:pPr>
        <w:spacing w:after="110"/>
      </w:pPr>
      <w:r>
        <w:rPr>
          <w:sz w:val="22"/>
          <w:szCs w:val="22"/>
        </w:rPr>
        <w:t xml:space="preserve">7. Reporte visual de resultados</w:t>
      </w:r>
    </w:p>
    <w:p>
      <w:pPr>
        <w:spacing w:after="110"/>
      </w:pPr>
      <w:r>
        <w:rPr>
          <w:sz w:val="22"/>
          <w:szCs w:val="22"/>
        </w:rPr>
        <w:t xml:space="preserve">8. Resumen de resultados por servicio</w:t>
      </w:r>
    </w:p>
    <w:p>
      <w:pPr>
        <w:spacing w:after="110"/>
      </w:pPr>
      <w:r>
        <w:rPr>
          <w:sz w:val="22"/>
          <w:szCs w:val="22"/>
        </w:rPr>
        <w:t xml:space="preserve">9. Conclusiones</w:t>
      </w:r>
    </w:p>
    <w:p>
      <w:pPr>
        <w:spacing w:after="110"/>
      </w:pPr>
      <w:r>
        <w:rPr>
          <w:sz w:val="22"/>
          <w:szCs w:val="22"/>
        </w:rPr>
        <w:t xml:space="preserve">10. Anexos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Introducción</w:t>
      </w:r>
    </w:p>
    <w:p>
      <w:pPr>
        <w:spacing w:after="200"/>
      </w:pPr>
      <w:r>
        <w:t xml:space="preserve">Este documento presenta el testing completo de las API construidas en la evidencia GA7-220501096-AA5-EV03, que cubren la totalidad de los requisitos funcionales del proyecto BARBIERE 11: autenticación, clientes, servicios de barbería, barberos, citas, inventario, pagos y reportes. En total se diseñó y ejecutó una colección de Postman con 47 peticiones y 47 aserciones automatizadas (pm.test), cubriendo tanto los flujos exitosos como los escenarios de error de cada servicio.</w:t>
      </w:r>
    </w:p>
    <w:p>
      <w:pPr>
        <w:spacing w:after="200"/>
      </w:pPr>
      <w:r>
        <w:t xml:space="preserve">Nota sobre el entorno de ejecución: al igual que en la evidencia AA5-EV02, las pruebas se ejecutaron con Newman —el motor de línea de comandos oficial de Postman—, ya que el entorno de desarrollo utilizado no cuenta con interfaz gráfica. La colección (docs/coleccion_postman_completa.json) es 100% compatible con la aplicación de escritorio Postman y puede importarse directamente para ejecutarla o inspeccionarla de forma interactiva.</w:t>
      </w:r>
    </w:p>
    <w:p>
      <w:pPr>
        <w:spacing w:after="200"/>
      </w:pPr>
      <w:r>
        <w:t xml:space="preserve">La colección se diseñó para ser repetible: genera datos únicos en cada ejecución (usuarios, fechas y horas de citas), por lo que puede correrse varias veces seguidas sobre la misma base de datos sin producir falsos errores por datos duplicados o en conflicto. Esto se verificó ejecutando la colección dos veces consecutivas antes de generar esta documentación, obteniendo 47/47 pruebas exitosas en ambas corridas.</w:t>
      </w:r>
    </w:p>
    <w:p>
      <w:pPr>
        <w:pStyle w:val="Heading1"/>
        <w:spacing w:after="200" w:before="400"/>
      </w:pPr>
      <w:r>
        <w:t xml:space="preserve">Objetivos</w:t>
      </w:r>
    </w:p>
    <w:p>
      <w:pPr>
        <w:pStyle w:val="Heading2"/>
        <w:spacing w:after="150" w:before="300"/>
      </w:pPr>
      <w:r>
        <w:t xml:space="preserve">Objetivo General</w:t>
      </w:r>
    </w:p>
    <w:p>
      <w:pPr>
        <w:spacing w:after="200"/>
      </w:pPr>
      <w:r>
        <w:t xml:space="preserve">Realizar el testing de todas las API del proyecto BARBIERE 11 construidas en la evidencia AA5-EV03, usando herramientas de Postman, verificando el correcto funcionamiento de cada uno de los 8 servicios que soportan las características del software.</w:t>
      </w:r>
    </w:p>
    <w:p>
      <w:pPr>
        <w:pStyle w:val="Heading2"/>
        <w:spacing w:after="150" w:before="300"/>
      </w:pPr>
      <w:r>
        <w:t xml:space="preserve">Objetivos Específicos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Diseñar una colección de Postman con pruebas automatizadas para los 40 endpoints del proyecto.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Verificar los códigos de estado HTTP y la estructura de las respuestas de cada servicio.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Comprobar las reglas de negocio críticas: cruce de horarios en citas, stock no negativo en inventario, y finalización automática de citas al registrar un pago.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Validar el uso del token JWT como mecanismo de autenticación en todos los servicios protegidos.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Entregar los endpoints de la API documentados en un archivo independiente.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Registrar en video la ejecución completa del testing de los 8 servicios.</w:t>
      </w:r>
    </w:p>
    <w:p>
      <w:pPr>
        <w:pStyle w:val="Heading1"/>
        <w:spacing w:after="200" w:before="400"/>
      </w:pPr>
      <w:r>
        <w:t xml:space="preserve">Herramientas Utilizadas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2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Uso en esta evidencia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Postman (formato de colección)</w:t>
            </w:r>
          </w:p>
        </w:tc>
        <w:tc>
          <w:tcPr>
            <w:tcW w:type="dxa" w:w="6200"/>
            <w:vAlign w:val="center"/>
          </w:tcPr>
          <w:p>
            <w:r>
              <w:rPr>
                <w:sz w:val="19"/>
                <w:szCs w:val="19"/>
              </w:rPr>
              <w:t xml:space="preserve">Diseño de las 47 peticiones y sus pruebas, organizadas en 8 carpetas (una por servicio), 100% compatible con la app de escritorio.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Newman</w:t>
            </w:r>
          </w:p>
        </w:tc>
        <w:tc>
          <w:tcPr>
            <w:tcW w:type="dxa" w:w="6200"/>
            <w:vAlign w:val="center"/>
          </w:tcPr>
          <w:p>
            <w:r>
              <w:rPr>
                <w:sz w:val="19"/>
                <w:szCs w:val="19"/>
              </w:rPr>
              <w:t xml:space="preserve">Motor oficial de línea de comandos de Postman, usado para ejecutar la colección de forma automatizada y repetible.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newman-reporter-htmlextra</w:t>
            </w:r>
          </w:p>
        </w:tc>
        <w:tc>
          <w:tcPr>
            <w:tcW w:type="dxa" w:w="6200"/>
            <w:vAlign w:val="center"/>
          </w:tcPr>
          <w:p>
            <w:r>
              <w:rPr>
                <w:sz w:val="19"/>
                <w:szCs w:val="19"/>
              </w:rPr>
              <w:t xml:space="preserve">Generación de un reporte visual HTML con el resumen de resultados de los 8 servicios.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  <w:szCs w:val="19"/>
              </w:rPr>
              <w:t xml:space="preserve">Node.js + Express + MySQL</w:t>
            </w:r>
          </w:p>
        </w:tc>
        <w:tc>
          <w:tcPr>
            <w:tcW w:type="dxa" w:w="6200"/>
            <w:vAlign w:val="center"/>
          </w:tcPr>
          <w:p>
            <w:r>
              <w:rPr>
                <w:sz w:val="19"/>
                <w:szCs w:val="19"/>
              </w:rPr>
              <w:t xml:space="preserve">Backend de los 8 servicios bajo prueba (construido en la evidencia AA5-EV03).</w:t>
            </w:r>
          </w:p>
        </w:tc>
      </w:tr>
    </w:tbl>
    <w:p>
      <w:pPr>
        <w:pStyle w:val="Heading1"/>
        <w:spacing w:after="200" w:before="400"/>
      </w:pPr>
      <w:r>
        <w:t xml:space="preserve">Servicios y Endpoints Probados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00"/>
        <w:gridCol w:w="1900"/>
        <w:gridCol w:w="2000"/>
      </w:tblGrid>
      <w:tr>
        <w:trPr>
          <w:tblHeader/>
        </w:trPr>
        <w:tc>
          <w:tcPr>
            <w:tcW w:type="dxa" w:w="5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Servicio</w:t>
            </w:r>
          </w:p>
        </w:tc>
        <w:tc>
          <w:tcPr>
            <w:tcW w:type="dxa" w:w="24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Prefijo</w:t>
            </w:r>
          </w:p>
        </w:tc>
        <w:tc>
          <w:tcPr>
            <w:tcW w:type="dxa" w:w="19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Endpoints</w:t>
            </w:r>
          </w:p>
        </w:tc>
        <w:tc>
          <w:tcPr>
            <w:tcW w:type="dxa" w:w="20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Peticiones probadas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400"/>
            <w:vAlign w:val="center"/>
          </w:tcPr>
          <w:p>
            <w:r>
              <w:rPr>
                <w:sz w:val="19"/>
                <w:szCs w:val="19"/>
              </w:rPr>
              <w:t xml:space="preserve">/api/auth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2400"/>
            <w:vAlign w:val="center"/>
          </w:tcPr>
          <w:p>
            <w:r>
              <w:rPr>
                <w:sz w:val="19"/>
                <w:szCs w:val="19"/>
              </w:rPr>
              <w:t xml:space="preserve">/api/clientes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9"/>
                <w:szCs w:val="19"/>
              </w:rPr>
              <w:t xml:space="preserve">Servicios de Barbería</w:t>
            </w:r>
          </w:p>
        </w:tc>
        <w:tc>
          <w:tcPr>
            <w:tcW w:type="dxa" w:w="2400"/>
            <w:vAlign w:val="center"/>
          </w:tcPr>
          <w:p>
            <w:r>
              <w:rPr>
                <w:sz w:val="19"/>
                <w:szCs w:val="19"/>
              </w:rPr>
              <w:t xml:space="preserve">/api/servicios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9"/>
                <w:szCs w:val="19"/>
              </w:rPr>
              <w:t xml:space="preserve">Barberos</w:t>
            </w:r>
          </w:p>
        </w:tc>
        <w:tc>
          <w:tcPr>
            <w:tcW w:type="dxa" w:w="2400"/>
            <w:vAlign w:val="center"/>
          </w:tcPr>
          <w:p>
            <w:r>
              <w:rPr>
                <w:sz w:val="19"/>
                <w:szCs w:val="19"/>
              </w:rPr>
              <w:t xml:space="preserve">/api/barberos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9"/>
                <w:szCs w:val="19"/>
              </w:rPr>
              <w:t xml:space="preserve">Citas</w:t>
            </w:r>
          </w:p>
        </w:tc>
        <w:tc>
          <w:tcPr>
            <w:tcW w:type="dxa" w:w="2400"/>
            <w:vAlign w:val="center"/>
          </w:tcPr>
          <w:p>
            <w:r>
              <w:rPr>
                <w:sz w:val="19"/>
                <w:szCs w:val="19"/>
              </w:rPr>
              <w:t xml:space="preserve">/api/citas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9"/>
                <w:szCs w:val="19"/>
              </w:rPr>
              <w:t xml:space="preserve">Inventario</w:t>
            </w:r>
          </w:p>
        </w:tc>
        <w:tc>
          <w:tcPr>
            <w:tcW w:type="dxa" w:w="2400"/>
            <w:vAlign w:val="center"/>
          </w:tcPr>
          <w:p>
            <w:r>
              <w:rPr>
                <w:sz w:val="19"/>
                <w:szCs w:val="19"/>
              </w:rPr>
              <w:t xml:space="preserve">/api/productos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9"/>
                <w:szCs w:val="19"/>
              </w:rPr>
              <w:t xml:space="preserve">Pagos</w:t>
            </w:r>
          </w:p>
        </w:tc>
        <w:tc>
          <w:tcPr>
            <w:tcW w:type="dxa" w:w="2400"/>
            <w:vAlign w:val="center"/>
          </w:tcPr>
          <w:p>
            <w:r>
              <w:rPr>
                <w:sz w:val="19"/>
                <w:szCs w:val="19"/>
              </w:rPr>
              <w:t xml:space="preserve">/api/pagos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2400"/>
            <w:vAlign w:val="center"/>
          </w:tcPr>
          <w:p>
            <w:r>
              <w:rPr>
                <w:sz w:val="19"/>
                <w:szCs w:val="19"/>
              </w:rPr>
              <w:t xml:space="preserve">/api/reportes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>El detalle completo de cada endpoint (parámetros, ejemplos de petición/respuesta, códigos de estado) se encuentra en el archivo "ENDPOINTS.txt" y en "docs/API.md", incluidos en esta entrega.</w:t>
      </w:r>
    </w:p>
    <w:p>
      <w:pPr>
        <w:pStyle w:val="Heading1"/>
        <w:spacing w:after="200" w:before="400"/>
      </w:pPr>
      <w:r>
        <w:t xml:space="preserve">Casos de Prueba por Servicio</w:t>
      </w:r>
    </w:p>
    <w:p>
      <w:pPr>
        <w:spacing w:after="200"/>
      </w:pPr>
      <w:r>
        <w:t xml:space="preserve">A continuación se muestra la salida real de la ejecución de la colección, organizada por servicio. Cada marca de verificación (✓) corresponde a una aserción (pm.test) evaluada exitosamente.</w:t>
      </w:r>
    </w:p>
    <w:p>
      <w:pPr>
        <w:pStyle w:val="Heading2"/>
        <w:spacing w:after="150" w:before="300"/>
      </w:pPr>
      <w:r>
        <w:t xml:space="preserve">5.1 Autenticación (POST /login, GET /perfil, POST /logout)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1. Login exitoso, login con credenciales incorrectas, consulta de perfil y cierre de sesión: 4 peticiones, todas exitosas.</w:t>
      </w:r>
    </w:p>
    <w:p>
      <w:pPr>
        <w:pStyle w:val="Heading2"/>
        <w:spacing w:after="150" w:before="300"/>
      </w:pPr>
      <w:r>
        <w:t xml:space="preserve">5.2 Clientes (CRUD + búsqueda)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2. Listar, buscar, registrar, obtener, editar y eliminar clientes: 6 peticiones, todas exitosas.</w:t>
      </w:r>
    </w:p>
    <w:p>
      <w:pPr>
        <w:pStyle w:val="Heading2"/>
        <w:spacing w:after="150" w:before="300"/>
      </w:pPr>
      <w:r>
        <w:t xml:space="preserve">5.3 Servicios de Barbería (CRUD)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3. Listar, registrar, obtener, editar y eliminar servicios: 5 peticiones, todas exitosas.</w:t>
      </w:r>
    </w:p>
    <w:p>
      <w:pPr>
        <w:pStyle w:val="Heading2"/>
        <w:spacing w:after="150" w:before="300"/>
      </w:pPr>
      <w:r>
        <w:t xml:space="preserve">5.4 Barberos (CRUD + citas asignadas)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 Listar, registrar, obtener, consultar citas asignadas, editar y eliminar barberos: 6 peticiones, todas exitosas.</w:t>
      </w:r>
    </w:p>
    <w:p>
      <w:pPr>
        <w:pStyle w:val="Heading2"/>
        <w:spacing w:after="150" w:before="300"/>
      </w:pPr>
      <w:r>
        <w:t xml:space="preserve">5.5 Citas (el servicio más completo del proyecto)</w:t>
      </w:r>
    </w:p>
    <w:p>
      <w:pPr>
        <w:spacing w:after="200"/>
      </w:pPr>
      <w:r>
        <w:t xml:space="preserve">Incluye la prueba de la regla de negocio más importante del sistema: el rechazo de una cita que choca en fecha, hora y barbero con una cita ya existente (HTTP 409).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5. Listar, filtrar por fecha, registrar, validar cruce de horario, obtener, editar, cambiar estado, cancelar y eliminar citas: 9 peticiones, todas exitosas.</w:t>
      </w:r>
    </w:p>
    <w:p>
      <w:pPr>
        <w:pStyle w:val="Heading2"/>
        <w:spacing w:after="150" w:before="300"/>
      </w:pPr>
      <w:r>
        <w:t xml:space="preserve">5.6 Inventario (CRUD + control de stock)</w:t>
      </w:r>
    </w:p>
    <w:p>
      <w:pPr>
        <w:spacing w:after="200"/>
      </w:pPr>
      <w:r>
        <w:t xml:space="preserve">Incluye la prueba de que el sistema rechaza dejar el stock de un producto en un valor negativo (HTTP 409).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6. Listar, registrar, obtener, actualizar stock (sumar y restar), editar y eliminar productos: 7 peticiones, todas exitosas.</w:t>
      </w:r>
    </w:p>
    <w:p>
      <w:pPr>
        <w:pStyle w:val="Heading2"/>
        <w:spacing w:after="150" w:before="300"/>
      </w:pPr>
      <w:r>
        <w:t xml:space="preserve">5.7 Pagos (registro + ingresos del día)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7. Consultar ingresos del día, listar pagos, crear una cita de apoyo, registrar el pago, obtenerlo y eliminarlo: 5 peticiones, todas exitosas.</w:t>
      </w:r>
    </w:p>
    <w:p>
      <w:pPr>
        <w:pStyle w:val="Heading2"/>
        <w:spacing w:after="150" w:before="300"/>
      </w:pPr>
      <w:r>
        <w:t xml:space="preserve">5.8 Reportes (indicadores y agregaciones)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8. Resumen del dashboard, servicios más vendidos, ingresos por mes y citas por estado: 4 peticiones, todas exitosas.</w:t>
      </w:r>
    </w:p>
    <w:p>
      <w:pPr>
        <w:pStyle w:val="Heading1"/>
        <w:spacing w:after="200" w:before="400"/>
      </w:pPr>
      <w:r>
        <w:t xml:space="preserve">Resumen Final de la Ejecución</w:t>
      </w:r>
    </w:p>
    <w:p>
      <w:pPr>
        <w:spacing w:after="200"/>
      </w:pPr>
      <w:r>
        <w:t xml:space="preserve">Al finalizar la ejecución de las 47 peticiones, Newman genera un resumen consolidado: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9. Resumen final: 47 requests, 47 test-scripts, 47 aserciones, 0 fallos, duración total 1.5 segundos aproximadamente.</w:t>
      </w:r>
    </w:p>
    <w:p>
      <w:pPr>
        <w:pStyle w:val="Heading1"/>
        <w:spacing w:after="200" w:before="400"/>
      </w:pPr>
      <w:r>
        <w:t xml:space="preserve">Reporte Visual de Resultados</w:t>
      </w:r>
    </w:p>
    <w:p>
      <w:pPr>
        <w:spacing w:after="200"/>
      </w:pPr>
      <w:r>
        <w:t xml:space="preserve">Adicionalmente se generó un reporte HTML visual (equivalente a la vista de resultados de una corrida dentro de la aplicación Postman) con el resumen consolidado de los 8 servicios.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10. Panel resumen del reporte: 47 requests totales, 47 aserciones, 0 pruebas fallidas, 0 omitidas.</w:t>
      </w:r>
    </w:p>
    <w:p>
      <w:pPr>
        <w:spacing w:after="80" w:before="150"/>
        <w:jc w:val="center"/>
      </w:pPr>
      <w:r>
        <w:drawing>
          <wp:inline distT="0" distB="0" distL="0" distR="0">
            <wp:extent cx="5143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11. Detalle de la información de archivo, descripción de la colección y tiempos de ejecución.</w:t>
      </w:r>
    </w:p>
    <w:p>
      <w:pPr>
        <w:pStyle w:val="Heading1"/>
        <w:spacing w:after="200" w:before="400"/>
      </w:pPr>
      <w:r>
        <w:t xml:space="preserve">Resumen de Resultados por Servicio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600"/>
        <w:gridCol w:w="1600"/>
        <w:gridCol w:w="1200"/>
        <w:gridCol w:w="1500"/>
      </w:tblGrid>
      <w:tr>
        <w:trPr>
          <w:tblHeader/>
        </w:trPr>
        <w:tc>
          <w:tcPr>
            <w:tcW w:type="dxa" w:w="5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Servicio</w:t>
            </w:r>
          </w:p>
        </w:tc>
        <w:tc>
          <w:tcPr>
            <w:tcW w:type="dxa" w:w="16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Peticiones</w:t>
            </w:r>
          </w:p>
        </w:tc>
        <w:tc>
          <w:tcPr>
            <w:tcW w:type="dxa" w:w="16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Aserciones</w:t>
            </w:r>
          </w:p>
        </w:tc>
        <w:tc>
          <w:tcPr>
            <w:tcW w:type="dxa" w:w="12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Fallos</w:t>
            </w:r>
          </w:p>
        </w:tc>
        <w:tc>
          <w:tcPr>
            <w:tcW w:type="dxa" w:w="1500"/>
            <w:shd w:fill="D4A537" w:val="clear"/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Servicios de Barbería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Barberos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Citas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Inventario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Pagos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vAlign w:val="center"/>
          </w:tcPr>
          <w:p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9"/>
                <w:szCs w:val="19"/>
              </w:rPr>
              <w:t xml:space="preserve">Correcto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Totales de la ejecución: 47 requests · 47 test-scripts · 47 aserciones · 0 fallos.</w:t>
      </w:r>
    </w:p>
    <w:p>
      <w:pPr>
        <w:pStyle w:val="Heading1"/>
        <w:spacing w:after="200" w:before="400"/>
      </w:pPr>
      <w:r>
        <w:t xml:space="preserve">Conclusiones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Los 8 servicios web construidos para el proyecto BARBIERE 11 (autenticación, clientes, servicios, barberos, citas, inventario, pagos y reportes) funcionan correctamente de manera integrada.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Las 47 aserciones automatizadas ejecutadas sobre los 40 endpoints del sistema pasaron exitosamente, sin ningún fallo, incluso al ejecutar la colección varias veces seguidas sobre la misma base de datos.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Se validaron correctamente las reglas de negocio críticas del sistema: el cruce de horarios en citas, el control de stock no negativo en inventario, y la finalización automática de una cita al registrar su pago.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El token JWT obtenido en el login funciona correctamente como mecanismo de autenticación para todos los servicios protegidos del sistema.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La API responde con los códigos de estado HTTP semánticamente correctos en todos los escenarios probados (200, 201, 400, 401, 404, 409).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La colección de pruebas queda disponible en formato estándar de Postman, lista para reutilizarse en el mantenimiento futuro del proyecto o para abrirse directamente en la aplicación de escritorio Postman.</w:t>
      </w:r>
    </w:p>
    <w:p>
      <w:pPr>
        <w:pStyle w:val="Heading1"/>
        <w:spacing w:after="200" w:before="400"/>
      </w:pPr>
      <w:r>
        <w:t xml:space="preserve">Anexos</w:t>
      </w:r>
    </w:p>
    <w:p>
      <w:pPr>
        <w:pStyle w:val="Heading2"/>
        <w:spacing w:after="150" w:before="300"/>
      </w:pPr>
      <w:r>
        <w:t xml:space="preserve">Video de demostración</w:t>
      </w:r>
    </w:p>
    <w:p>
      <w:pPr>
        <w:spacing w:after="200"/>
      </w:pPr>
      <w:r>
        <w:t xml:space="preserve">Se adjunta, dentro del archivo comprimido de esta entrega, un video llamado "demo_testing_api_completa.mp4" que muestra la ejecución completa del testing de los 8 servicios de la API y el reporte visual de resultados.</w:t>
      </w:r>
    </w:p>
    <w:p>
      <w:pPr>
        <w:pStyle w:val="Heading2"/>
        <w:spacing w:after="150" w:before="300"/>
      </w:pPr>
      <w:r>
        <w:t xml:space="preserve">Archivo de Endpoints</w:t>
      </w:r>
    </w:p>
    <w:p>
      <w:pPr>
        <w:spacing w:after="200"/>
      </w:pPr>
      <w:r>
        <w:t xml:space="preserve">El archivo "ENDPOINTS.txt", incluido en la raíz de esta entrega, documenta los 40 endpoints de los 8 servicios del proyecto, con su método HTTP, URL, cuerpo de petición y ejemplos de respuesta.</w:t>
      </w:r>
    </w:p>
    <w:p>
      <w:pPr>
        <w:pStyle w:val="Heading2"/>
        <w:spacing w:after="150" w:before="300"/>
      </w:pPr>
      <w:r>
        <w:t xml:space="preserve">Repositorio y control de versiones</w:t>
      </w:r>
    </w:p>
    <w:p>
      <w:pPr>
        <w:spacing w:after="200"/>
      </w:pPr>
      <w:r>
        <w:t xml:space="preserve">El proyecto se gestiona con Git. El enlace del repositorio remoto se encuentra en el archivo "enlace_repositorio.txt" incluido en esta entrega.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88eb633d5e24904633e68219c50e11717e3371.png"/><Relationship Id="rId8" Type="http://schemas.openxmlformats.org/officeDocument/2006/relationships/image" Target="media/ec9b5353c94a2273cad15c59295514a8b2243e7f.png"/><Relationship Id="rId9" Type="http://schemas.openxmlformats.org/officeDocument/2006/relationships/image" Target="media/9e908fbd3bd24b3cf5c4c8957b25414fb2ca4f51.png"/><Relationship Id="rId10" Type="http://schemas.openxmlformats.org/officeDocument/2006/relationships/image" Target="media/af3f0714f68ae2afa939bd771290a9e50ce86f53.png"/><Relationship Id="rId11" Type="http://schemas.openxmlformats.org/officeDocument/2006/relationships/image" Target="media/beb483d054f6094aeb46e61f3dd1074a1d25deec.png"/><Relationship Id="rId12" Type="http://schemas.openxmlformats.org/officeDocument/2006/relationships/image" Target="media/542f1b303e62863e2eaaff4f2f736a73b1e7afab.png"/><Relationship Id="rId13" Type="http://schemas.openxmlformats.org/officeDocument/2006/relationships/image" Target="media/a064056b8f557e5ab8eece6a260294ea63de935b.png"/><Relationship Id="rId14" Type="http://schemas.openxmlformats.org/officeDocument/2006/relationships/image" Target="media/c748c49b6c565bb49adfdc265098674458c952aa.png"/><Relationship Id="rId15" Type="http://schemas.openxmlformats.org/officeDocument/2006/relationships/image" Target="media/a67d54871807202a8f65ffee0fb093587a3f67fc.png"/><Relationship Id="rId16" Type="http://schemas.openxmlformats.org/officeDocument/2006/relationships/image" Target="media/ade296603f74deed42d7aee5412ff75aa53bf98d.png"/><Relationship Id="rId17" Type="http://schemas.openxmlformats.org/officeDocument/2006/relationships/image" Target="media/068464bf6b67ee87d89521385e594c2d22a4c6e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2026-07-13T23:18:22.402Z</dcterms:created>
  <dcterms:modified xsi:type="dcterms:W3CDTF">2026-07-13T23:18:22.403Z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