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1F4E79"/>
          <w:sz w:val="72"/>
          <w:szCs w:val="72"/>
        </w:rPr>
        <w:t xml:space="preserve">IPR</w:t>
      </w:r>
    </w:p>
    <w:p>
      <w:pPr>
        <w:spacing w:after="80"/>
      </w:pPr>
      <w:r>
        <w:rPr>
          <w:b/>
          <w:bCs/>
          <w:color w:val="2E75B6"/>
          <w:sz w:val="34"/>
          <w:szCs w:val="34"/>
        </w:rPr>
        <w:t xml:space="preserve">INFORMATION PRODUCT / PURPOSE REQUIREMENTS</w:t>
      </w:r>
    </w:p>
    <w:p>
      <w:pPr>
        <w:pBdr>
          <w:bottom w:val="single" w:color="2E75B6" w:sz="12" w:space="6"/>
        </w:pBdr>
        <w:spacing w:after="240"/>
      </w:pPr>
      <w:r>
        <w:rPr>
          <w:color w:val="595959"/>
          <w:sz w:val="24"/>
          <w:szCs w:val="24"/>
        </w:rPr>
        <w:t xml:space="preserve">Requisitos de Información del Cliente (Appointing Party) — Edificaciones privadas</w:t>
      </w:r>
    </w:p>
    <w:p>
      <w:pPr>
        <w:spacing w:after="200" w:before="0" w:line="276"/>
      </w:pPr>
      <w:r>
        <w:rPr>
          <w:b/>
          <w:bCs/>
          <w:sz w:val="28"/>
          <w:szCs w:val="28"/>
        </w:rPr>
        <w:t xml:space="preserve">[NOMBRE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Tipo de activo</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8"/>
                <w:szCs w:val="18"/>
              </w:rPr>
              <w:t xml:space="preserve">Edificación privada</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Fase del proyecto</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8"/>
                <w:szCs w:val="18"/>
              </w:rPr>
              <w:t xml:space="preserve">Diseño — Anteproyecto y Diseño Detallado (extensible a As-built y AIM según los objetivos marcados en 1.1)</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Disciplinas cubiertas</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8"/>
                <w:szCs w:val="18"/>
              </w:rPr>
              <w:t xml:space="preserve">Arquitectura · Estructuras · MEP (Mecánico, Eléctrico, Sanitario) · otras que el proyecto declare</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Marco normativo</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8"/>
                <w:szCs w:val="18"/>
              </w:rPr>
              <w:t xml:space="preserve">ISO 19650-2:2018 y -3:2020 (vigente) · ISO 7817-1:2024 (LOIN) · terminología alineada al DIS ISO 19650 (marzo 2026)</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Respuesta esperada</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8"/>
                <w:szCs w:val="18"/>
              </w:rPr>
              <w:t xml:space="preserve">IPP — Information Production Plan (≡ BEP), configurado según 2.4</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Appointing Party (Cliente)</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8"/>
                <w:szCs w:val="18"/>
              </w:rPr>
              <w:t xml:space="preserve">[Razón social]</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Preparado por</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8"/>
                <w:szCs w:val="18"/>
              </w:rPr>
              <w:t xml:space="preserve">Information Manager — [Nombre / Empresa]</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8"/>
                <w:szCs w:val="18"/>
              </w:rPr>
              <w:t xml:space="preserve">Estado del documento</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8"/>
                <w:szCs w:val="18"/>
              </w:rPr>
              <w:t xml:space="preserve">[Versión / Revisión / Fecha]</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90"/>
              <w:left w:type="dxa" w:w="180"/>
              <w:bottom w:type="dxa" w:w="90"/>
              <w:right w:type="dxa" w:w="160"/>
            </w:tcMar>
          </w:tcPr>
          <w:p>
            <w:pPr>
              <w:spacing w:after="50"/>
            </w:pPr>
            <w:r>
              <w:rPr>
                <w:b/>
                <w:bCs/>
                <w:color w:val="C98A00"/>
                <w:sz w:val="19"/>
                <w:szCs w:val="19"/>
              </w:rPr>
              <w:t xml:space="preserve">Nota sobre terminología y estado normativo</w:t>
            </w:r>
          </w:p>
          <w:p>
            <w:pPr>
              <w:spacing w:after="50" w:line="252"/>
            </w:pPr>
            <w:r>
              <w:rPr>
                <w:sz w:val="18"/>
                <w:szCs w:val="18"/>
              </w:rPr>
              <w:t xml:space="preserve">Este documento usa la denominación </w:t>
            </w:r>
            <w:r>
              <w:rPr>
                <w:b/>
                <w:bCs/>
                <w:sz w:val="18"/>
                <w:szCs w:val="18"/>
              </w:rPr>
              <w:t xml:space="preserve">IPR (Information Product/Purpose Requirements)</w:t>
            </w:r>
            <w:r>
              <w:rPr>
                <w:sz w:val="18"/>
                <w:szCs w:val="18"/>
              </w:rPr>
              <w:t xml:space="preserve">, propuesta en el Draft International Standard de revisión de ISO 19650 (publicado para consulta el 10 de marzo de 2026; publicación definitiva proyectada para 2027). </w:t>
            </w:r>
            <w:r>
              <w:rPr>
                <w:b/>
                <w:bCs/>
                <w:sz w:val="18"/>
                <w:szCs w:val="18"/>
              </w:rPr>
              <w:t xml:space="preserve">Esa revisión aún no es norma vigente.</w:t>
            </w:r>
          </w:p>
          <w:p>
            <w:pPr>
              <w:spacing w:after="50" w:line="252"/>
            </w:pPr>
            <w:r>
              <w:rPr>
                <w:sz w:val="18"/>
                <w:szCs w:val="18"/>
              </w:rPr>
              <w:t xml:space="preserve">Bajo el marco contractualmente aplicable hoy (ISO 19650-2:2018) este mismo documento se denomina </w:t>
            </w:r>
            <w:r>
              <w:rPr>
                <w:b/>
                <w:bCs/>
                <w:sz w:val="18"/>
                <w:szCs w:val="18"/>
              </w:rPr>
              <w:t xml:space="preserve">EIR (Exchange Information Requirements)</w:t>
            </w:r>
            <w:r>
              <w:rPr>
                <w:sz w:val="18"/>
                <w:szCs w:val="18"/>
              </w:rPr>
              <w:t xml:space="preserve">. Su contenido y función son equivalentes: puede presentarse y hacerse valer como EIR sin modificación. Del mismo modo, IPP ≡ BEP.</w:t>
            </w:r>
          </w:p>
        </w:tc>
      </w:tr>
    </w:tbl>
    <w:p>
      <w:pPr>
        <w:pStyle w:val="Heading1"/>
        <w:pageBreakBefore/>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rPr>
          <w:i/>
          <w:iCs/>
          <w:color w:val="595959"/>
          <w:sz w:val="16"/>
          <w:szCs w:val="16"/>
        </w:rPr>
        <w:t xml:space="preserve">Si el contenido aparece vacío, haga clic derecho sobre él y elija “Actualizar campo”.</w:t>
      </w:r>
    </w:p>
    <w:p>
      <w:pPr>
        <w:pStyle w:val="Heading1"/>
        <w:keepNext/>
        <w:pageBreakBefore/>
      </w:pPr>
      <w:r>
        <w:t xml:space="preserve">1. Objetivos estratégicos de negocio</w:t>
      </w:r>
    </w:p>
    <w:p>
      <w:pPr>
        <w:spacing w:after="120" w:before="0" w:line="276"/>
      </w:pPr>
      <w:r>
        <w:rPr>
          <w:sz w:val="20"/>
          <w:szCs w:val="20"/>
        </w:rPr>
        <w:t xml:space="preserve">Antes de especificar qué información se requiere, este documento establece </w:t>
      </w:r>
      <w:r>
        <w:rPr>
          <w:b/>
          <w:bCs/>
          <w:sz w:val="20"/>
          <w:szCs w:val="20"/>
        </w:rPr>
        <w:t xml:space="preserve">por qué</w:t>
      </w:r>
      <w:r>
        <w:rPr>
          <w:sz w:val="20"/>
          <w:szCs w:val="20"/>
        </w:rPr>
        <w:t xml:space="preserve"> se requiere. Todo requisito de las secciones siguientes se traza a al menos uno de los objetivos marcados en 1.1. Un requisito que no sirve a ningún objetivo no se incluye: sería sobreproducción de información.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90"/>
              <w:right w:type="dxa" w:w="160"/>
            </w:tcMar>
          </w:tcPr>
          <w:p>
            <w:pPr>
              <w:spacing w:after="50"/>
            </w:pPr>
            <w:r>
              <w:rPr>
                <w:b/>
                <w:bCs/>
                <w:color w:val="2E75B6"/>
                <w:sz w:val="19"/>
                <w:szCs w:val="19"/>
              </w:rPr>
              <w:t xml:space="preserve">Principio rector</w:t>
            </w:r>
          </w:p>
          <w:p>
            <w:pPr>
              <w:spacing w:after="50" w:line="252"/>
            </w:pPr>
            <w:r>
              <w:rPr>
                <w:sz w:val="18"/>
                <w:szCs w:val="18"/>
              </w:rPr>
              <w:t xml:space="preserve">Cada requisito de información responde a un Plan de Usos (Plan of Use) explícito. No se solicita geometría, dato o documento “por defecto” o “por si acaso”: se solicita porque un proceso de negocio identificado —metrado, coordinación, licenciamiento, operación— lo consume en un momento determinado del proyecto.</w:t>
            </w:r>
          </w:p>
        </w:tc>
      </w:tr>
    </w:tbl>
    <w:p>
      <w:pPr>
        <w:spacing w:after="120"/>
      </w:pPr>
    </w:p>
    <w:p>
      <w:pPr>
        <w:pStyle w:val="Heading2"/>
        <w:keepNext/>
      </w:pPr>
      <w:r>
        <w:t xml:space="preserve">1.1 Objetivos del cliente para este proyecto</w:t>
      </w:r>
    </w:p>
    <w:p>
      <w:pPr>
        <w:spacing w:after="80" w:before="0" w:line="276"/>
      </w:pPr>
      <w:r>
        <w:rPr>
          <w:sz w:val="20"/>
          <w:szCs w:val="20"/>
        </w:rPr>
        <w:t xml:space="preserve">El Appointing Party marca los objetivos que declara para este proyecto. Cada objetivo identifica cómo lo habilita la información y quién consume el dato. El IPP activa sus módulos a partir de esta selección.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78"/>
        <w:gridCol w:w="2505"/>
        <w:gridCol w:w="3662"/>
        <w:gridCol w:w="2219"/>
      </w:tblGrid>
      <w:tr>
        <w:trPr>
          <w:cantSplit/>
          <w:tblHeader/>
        </w:trPr>
        <w:tc>
          <w:tcPr>
            <w:tcW w:type="dxa" w:w="67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Marcar</w:t>
            </w:r>
          </w:p>
        </w:tc>
        <w:tc>
          <w:tcPr>
            <w:tcW w:type="dxa" w:w="57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ID</w:t>
            </w:r>
          </w:p>
        </w:tc>
        <w:tc>
          <w:tcPr>
            <w:tcW w:type="dxa" w:w="25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Objetivo estratégico</w:t>
            </w:r>
          </w:p>
        </w:tc>
        <w:tc>
          <w:tcPr>
            <w:tcW w:type="dxa" w:w="366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Cómo lo habilita la información</w:t>
            </w:r>
          </w:p>
        </w:tc>
        <w:tc>
          <w:tcPr>
            <w:tcW w:type="dxa" w:w="22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Consumidor del dato</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O1</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Coordinación multidisciplinar y constructibilidad sin retrabajo en obra</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Detección de interferencias entre Arquitectura, Estructuras y MEP antes de la construcción.</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Gestor de especialidades, proyectistas</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O2</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Certeza de costo temprana y confiable (5D)</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Metrados extraídos de propiedades alfanuméricas del modelo, no estimados sobre planos 2D.</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Presupuestista, cliente</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O3</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Cumplimiento normativo y licenciamiento sin observaciones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Parámetros normativos (áreas, alturas, aforos) verificables en el modelo antes del trámite.</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Arquitecto, entidad licenciante</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O4</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Documentación de construcción generada desde el modelo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Planos, cortes y cuadros extraídos del modelo, sin doble digitación.</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Contratista</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O5</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Validación del diseño con cliente y usuarios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Vistas y recorridos 3D que sustentan decisiones de aprobación.</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Cliente, usuarios</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O6</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Continuidad de la información hacia la operación (AIM)</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Datos de diseño estructurados desde el día uno para alimentar el Asset Information Model, sin recaptura manual.</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Operador / FM</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O7</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Gemelo digital</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Datos en tiempo real asociados a objetos del modelo, con propietario del dato definido.</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Operador / FM</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O8</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Control y confiabilidad de la producción de diseño (VDC / Last Planner)</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Planificación de la producción de información medible semana a semana.</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Lead Appointed Party, cliente</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O9</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Secuenciación constructiva 4D o análisis energético 6D (por adenda)</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Información vinculada a cronograma o a simulación de desempeño.</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Planificador, cliente</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O10</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Gestión de riesgos del proceso de información (proyecto complejo)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Registro de riesgos del proceso con responsables y plan de respuesta.</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Information Manager, cliente</w:t>
            </w:r>
          </w:p>
        </w:tc>
      </w:tr>
      <w:tr>
        <w:trPr>
          <w:cantSplit/>
        </w:trPr>
        <w:tc>
          <w:tcPr>
            <w:tcW w:type="dxa" w:w="6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O11</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Protección de información sensible o confidencial</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Control de acceso y trazabilidad sobre información restringida.</w:t>
            </w:r>
          </w:p>
        </w:tc>
        <w:tc>
          <w:tcPr>
            <w:tcW w:type="dxa" w:w="22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Cliente</w:t>
            </w:r>
          </w:p>
        </w:tc>
      </w:tr>
      <w:tr>
        <w:trPr>
          <w:cantSplit/>
        </w:trPr>
        <w:tc>
          <w:tcPr>
            <w:tcW w:type="dxa" w:w="6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O12</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Auditoría o QA formal exigido por contrato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Informe de calidad por hito, verificable y reproducible.</w:t>
            </w:r>
          </w:p>
        </w:tc>
        <w:tc>
          <w:tcPr>
            <w:tcW w:type="dxa" w:w="22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Cliente</w:t>
            </w:r>
          </w:p>
        </w:tc>
      </w:tr>
    </w:tbl>
    <w:p>
      <w:pPr>
        <w:spacing w:after="140"/>
      </w:pPr>
    </w:p>
    <w:p>
      <w:pPr>
        <w:pStyle w:val="Heading2"/>
        <w:keepNext/>
      </w:pPr>
      <w:r>
        <w:t xml:space="preserve">1.2 Decisiones de diseño basadas en evidencia</w:t>
      </w:r>
    </w:p>
    <w:p>
      <w:pPr>
        <w:spacing w:after="120" w:before="0" w:line="276"/>
      </w:pPr>
      <w:r>
        <w:rPr>
          <w:sz w:val="20"/>
          <w:szCs w:val="20"/>
        </w:rPr>
        <w:t xml:space="preserve">Los reportes de coordinación y de auditoría de modelos son la base objetiva de las reuniones ICE / Big Room. Ningún objeto se especifica a un nivel de detalle mayor del que su propósito declarado exige (sección 4): esa es la forma en que este IPR reduce el desperdicio de recursos del proyecto.</w:t>
      </w:r>
    </w:p>
    <w:p>
      <w:pPr>
        <w:pStyle w:val="Heading1"/>
        <w:keepNext/>
        <w:pageBreakBefore/>
      </w:pPr>
      <w:r>
        <w:t xml:space="preserve">2. Propósito y alcance del IPR</w:t>
      </w:r>
    </w:p>
    <w:p>
      <w:pPr>
        <w:pStyle w:val="Heading2"/>
        <w:keepNext/>
      </w:pPr>
      <w:r>
        <w:t xml:space="preserve">2.1 Propósito del documento</w:t>
      </w:r>
    </w:p>
    <w:p>
      <w:pPr>
        <w:spacing w:after="120" w:before="0" w:line="276"/>
      </w:pPr>
      <w:r>
        <w:rPr>
          <w:sz w:val="20"/>
          <w:szCs w:val="20"/>
        </w:rPr>
        <w:t xml:space="preserve">Este IPR establece los requisitos de información que el Appointing Party (cliente) exige a los equipos designados (Lead Appointed Party y Appointed Parties). Reemplaza las etiquetas genéricas de nivel de desarrollo (LOD/LOI) por una especificación estructurada, verificable y trazable a un propósito de uso, conforme a ISO 7817-1:2024 (Level of Information Need — Concepts and principles).</w:t>
      </w:r>
    </w:p>
    <w:p>
      <w:pPr>
        <w:pStyle w:val="Heading2"/>
        <w:keepNext/>
      </w:pPr>
      <w:r>
        <w:t xml:space="preserve">2.2 Alcance</w:t>
      </w:r>
    </w:p>
    <w:p>
      <w:pPr>
        <w:pStyle w:val="ListParagraph"/>
        <w:numPr>
          <w:ilvl w:val="0"/>
          <w:numId w:val="2"/>
        </w:numPr>
        <w:spacing w:after="60" w:line="264"/>
      </w:pPr>
      <w:r>
        <w:rPr>
          <w:b/>
          <w:bCs/>
          <w:sz w:val="20"/>
          <w:szCs w:val="20"/>
        </w:rPr>
        <w:t xml:space="preserve">Fase:</w:t>
      </w:r>
      <w:r>
        <w:rPr>
          <w:sz w:val="20"/>
          <w:szCs w:val="20"/>
        </w:rPr>
        <w:t xml:space="preserve"> Diseño — Anteproyecto y Diseño Detallado; As-built y AIM cuando se marquen O6 u O7.</w:t>
      </w:r>
    </w:p>
    <w:p>
      <w:pPr>
        <w:pStyle w:val="ListParagraph"/>
        <w:numPr>
          <w:ilvl w:val="0"/>
          <w:numId w:val="2"/>
        </w:numPr>
        <w:spacing w:after="60" w:line="264"/>
      </w:pPr>
      <w:r>
        <w:rPr>
          <w:b/>
          <w:bCs/>
          <w:sz w:val="20"/>
          <w:szCs w:val="20"/>
        </w:rPr>
        <w:t xml:space="preserve">Disciplinas:</w:t>
      </w:r>
      <w:r>
        <w:rPr>
          <w:sz w:val="20"/>
          <w:szCs w:val="20"/>
        </w:rPr>
        <w:t xml:space="preserve"> Arquitectura, Estructuras y MEP, incluidas sus interfaces de coordinación; otras disciplinas se incorporan con la misma estructura de anexos.</w:t>
      </w:r>
    </w:p>
    <w:p>
      <w:pPr>
        <w:pStyle w:val="ListParagraph"/>
        <w:numPr>
          <w:ilvl w:val="0"/>
          <w:numId w:val="2"/>
        </w:numPr>
        <w:spacing w:after="60" w:line="264"/>
      </w:pPr>
      <w:r>
        <w:rPr>
          <w:b/>
          <w:bCs/>
          <w:sz w:val="20"/>
          <w:szCs w:val="20"/>
        </w:rPr>
        <w:t xml:space="preserve">Hitos de entrega:</w:t>
      </w:r>
      <w:r>
        <w:rPr>
          <w:sz w:val="20"/>
          <w:szCs w:val="20"/>
        </w:rPr>
        <w:t xml:space="preserve"> H1–H5 (sección 6.1).</w:t>
      </w:r>
    </w:p>
    <w:p>
      <w:pPr>
        <w:pStyle w:val="ListParagraph"/>
        <w:numPr>
          <w:ilvl w:val="0"/>
          <w:numId w:val="2"/>
        </w:numPr>
        <w:spacing w:after="60" w:line="264"/>
      </w:pPr>
      <w:r>
        <w:rPr>
          <w:b/>
          <w:bCs/>
          <w:sz w:val="20"/>
          <w:szCs w:val="20"/>
        </w:rPr>
        <w:t xml:space="preserve">Plan de Usos:</w:t>
      </w:r>
      <w:r>
        <w:rPr>
          <w:sz w:val="20"/>
          <w:szCs w:val="20"/>
        </w:rPr>
        <w:t xml:space="preserve"> los propósitos de la tabla 2.3. Los propósitos marcados como activos tienen su LOIN en los Anexos A–E.</w:t>
      </w:r>
    </w:p>
    <w:p>
      <w:pPr>
        <w:pStyle w:val="Heading2"/>
        <w:keepNext/>
      </w:pPr>
      <w:r>
        <w:t xml:space="preserve">2.3 Plan de Usos: propósitos de información</w:t>
      </w:r>
    </w:p>
    <w:p>
      <w:pPr>
        <w:spacing w:after="80" w:before="0" w:line="276"/>
      </w:pPr>
      <w:r>
        <w:rPr>
          <w:sz w:val="20"/>
          <w:szCs w:val="20"/>
        </w:rPr>
        <w:t xml:space="preserve">Cada propósito activo declara quién consume la información, qué decisión habilita y en qué hitos. Si un propósito no puede identificar un consumidor, no se activa.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216"/>
        <w:gridCol w:w="771"/>
        <w:gridCol w:w="1542"/>
        <w:gridCol w:w="2795"/>
        <w:gridCol w:w="1736"/>
      </w:tblGrid>
      <w:tr>
        <w:trPr>
          <w:cantSplit/>
          <w:tblHeader/>
        </w:trPr>
        <w:tc>
          <w:tcPr>
            <w:tcW w:type="dxa" w:w="57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Activo</w:t>
            </w:r>
          </w:p>
        </w:tc>
        <w:tc>
          <w:tcPr>
            <w:tcW w:type="dxa" w:w="221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Propósito</w:t>
            </w:r>
          </w:p>
        </w:tc>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Objetivo</w:t>
            </w:r>
          </w:p>
        </w:tc>
        <w:tc>
          <w:tcPr>
            <w:tcW w:type="dxa" w:w="15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Consumidor</w:t>
            </w:r>
          </w:p>
        </w:tc>
        <w:tc>
          <w:tcPr>
            <w:tcW w:type="dxa" w:w="279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Decisión que habilita</w:t>
            </w:r>
          </w:p>
        </w:tc>
        <w:tc>
          <w:tcPr>
            <w:tcW w:type="dxa" w:w="17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Hitos</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[X]</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P1</w:t>
            </w:r>
            <w:r>
              <w:rPr>
                <w:sz w:val="16"/>
                <w:szCs w:val="16"/>
              </w:rPr>
              <w:t xml:space="preserve"> Coordinación e interferencias (clash detection)</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O1</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Gestor de especialidades, proyectistas</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¿Qué elemento se mueve y quién cede espacio antes de obra?</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H2 (mayores), H3 (formal), H4 (cierre)</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[X]</w:t>
            </w:r>
          </w:p>
        </w:tc>
        <w:tc>
          <w:tcPr>
            <w:tcW w:type="dxa" w:w="22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P2</w:t>
            </w:r>
            <w:r>
              <w:rPr>
                <w:sz w:val="16"/>
                <w:szCs w:val="16"/>
              </w:rPr>
              <w:t xml:space="preserve"> Cuantificación y metrados (QTO)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O2</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Presupuestista, cliente</w:t>
            </w:r>
          </w:p>
        </w:tc>
        <w:tc>
          <w:tcPr>
            <w:tcW w:type="dxa" w:w="27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¿El presupuesto de control es confiable? ¿Se aprueba el expediente?</w:t>
            </w:r>
          </w:p>
        </w:tc>
        <w:tc>
          <w:tcPr>
            <w:tcW w:type="dxa" w:w="17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H2 (orden de magnitud), H3 (control), H4 (expediente)</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P3</w:t>
            </w:r>
            <w:r>
              <w:rPr>
                <w:sz w:val="16"/>
                <w:szCs w:val="16"/>
              </w:rPr>
              <w:t xml:space="preserve"> Espacios (rooms / spaces)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O2, O3, O6</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Arquitecto, FM, presupuestista</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¿Cada ambiente cumple programa y acabados? ¿Qué espacio gestiona FM?</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H2–H4</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22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P4</w:t>
            </w:r>
            <w:r>
              <w:rPr>
                <w:sz w:val="16"/>
                <w:szCs w:val="16"/>
              </w:rPr>
              <w:t xml:space="preserve"> Cumplimiento normativo y licenciamiento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O3</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Arquitecto, entidad licenciante</w:t>
            </w:r>
          </w:p>
        </w:tc>
        <w:tc>
          <w:tcPr>
            <w:tcW w:type="dxa" w:w="27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¿Puede presentarse el proyecto sin observaciones?</w:t>
            </w:r>
          </w:p>
        </w:tc>
        <w:tc>
          <w:tcPr>
            <w:tcW w:type="dxa" w:w="17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H2, H3</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P5</w:t>
            </w:r>
            <w:r>
              <w:rPr>
                <w:sz w:val="16"/>
                <w:szCs w:val="16"/>
              </w:rPr>
              <w:t xml:space="preserve"> Documentación gráfica y comunicación 3D</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O4, O5</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Contratista, cliente</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¿Hay documentación suficiente para construir? ¿El cliente aprueba la propuesta?</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H3, H4</w:t>
            </w:r>
          </w:p>
        </w:tc>
      </w:tr>
      <w:tr>
        <w:trPr>
          <w:cantSplit/>
        </w:trPr>
        <w:tc>
          <w:tcPr>
            <w:tcW w:type="dxa" w:w="5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22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P6</w:t>
            </w:r>
            <w:r>
              <w:rPr>
                <w:sz w:val="16"/>
                <w:szCs w:val="16"/>
              </w:rPr>
              <w:t xml:space="preserve"> Extensiones dimensionales (4D / 6D)</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O9</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Planificador, cliente</w:t>
            </w:r>
          </w:p>
        </w:tc>
        <w:tc>
          <w:tcPr>
            <w:tcW w:type="dxa" w:w="27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¿Qué secuencia o desempeño energético se adopta?</w:t>
            </w:r>
          </w:p>
        </w:tc>
        <w:tc>
          <w:tcPr>
            <w:tcW w:type="dxa" w:w="17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Por adenda</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 ]</w:t>
            </w:r>
          </w:p>
        </w:tc>
        <w:tc>
          <w:tcPr>
            <w:tcW w:type="dxa" w:w="221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P7</w:t>
            </w:r>
            <w:r>
              <w:rPr>
                <w:sz w:val="16"/>
                <w:szCs w:val="16"/>
              </w:rPr>
              <w:t xml:space="preserve"> Información de activos y AIM / gemelo digital</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O6, O7</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Operador / FM</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¿Qué activos se mantienen y con qué datos, desde qué hito?</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H4, H5</w:t>
            </w:r>
          </w:p>
        </w:tc>
      </w:tr>
    </w:tbl>
    <w:p>
      <w:pPr>
        <w:spacing w:after="140"/>
      </w:pPr>
    </w:p>
    <w:p>
      <w:pPr>
        <w:spacing w:after="120" w:before="0" w:line="276"/>
      </w:pPr>
      <w:r>
        <w:rPr>
          <w:sz w:val="20"/>
          <w:szCs w:val="20"/>
        </w:rPr>
        <w:t xml:space="preserve">P1 y P2 son los propósitos base de este IPR y cuentan con matrices LOIN completas (Anexos A–C), requisitos de cuantificación (Anexo D) y de espacios (Anexo E). Los demás propósitos se activan al marcarse sus objetivos en 1.1 y se especifican con la misma estructura de matriz.</w:t>
      </w:r>
    </w:p>
    <w:p>
      <w:pPr>
        <w:pStyle w:val="Heading2"/>
        <w:keepNext/>
      </w:pPr>
      <w:r>
        <w:t xml:space="preserve">2.4 Configuración del IPP exigida</w:t>
      </w:r>
    </w:p>
    <w:p>
      <w:pPr>
        <w:spacing w:after="80" w:before="0" w:line="276"/>
      </w:pPr>
      <w:r>
        <w:rPr>
          <w:sz w:val="20"/>
          <w:szCs w:val="20"/>
        </w:rPr>
        <w:t xml:space="preserve">El IPP que responde a este IPR tiene estructura modular. El Appointing Party exige la siguiente configuración mínima; el Lead Appointed Party la completa y la registra en la Parte 0 del IPP.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156"/>
        <w:gridCol w:w="2698"/>
        <w:gridCol w:w="4435"/>
      </w:tblGrid>
      <w:tr>
        <w:trPr>
          <w:cantSplit/>
          <w:tblHeader/>
        </w:trPr>
        <w:tc>
          <w:tcPr>
            <w:tcW w:type="dxa" w:w="13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Capa del IPP</w:t>
            </w:r>
          </w:p>
        </w:tc>
        <w:tc>
          <w:tcPr>
            <w:tcW w:type="dxa" w:w="11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Módulos</w:t>
            </w:r>
          </w:p>
        </w:tc>
        <w:tc>
          <w:tcPr>
            <w:tcW w:type="dxa" w:w="2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Condición</w:t>
            </w:r>
          </w:p>
        </w:tc>
        <w:tc>
          <w:tcPr>
            <w:tcW w:type="dxa" w:w="44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Se exige</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Núcleo</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N1–N7</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Siempre</w:t>
            </w:r>
          </w:p>
        </w:tc>
        <w:tc>
          <w:tcPr>
            <w:tcW w:type="dxa" w:w="4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Identificación y partes, Plan de Usos, LOIN, hitos y TIDP/MIDP, CDE y nomenclatura, roles, verificación y mejora continua.</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Propósito</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P1 … P7</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Un módulo por cada objetivo marcado en 1.1</w:t>
            </w:r>
          </w:p>
        </w:tc>
        <w:tc>
          <w:tcPr>
            <w:tcW w:type="dxa" w:w="44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P1 si O1 · P2 si O2 · P3 si O2/O3/O6 · P4 si O3 · P5 si O4/O5 · P6 si O9 · P7 si O6/O7.</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Soporte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S1 … S6</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Según la condición del proyecto</w:t>
            </w:r>
          </w:p>
        </w:tc>
        <w:tc>
          <w:tcPr>
            <w:tcW w:type="dxa" w:w="44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S1 con más de dos disciplinas · </w:t>
            </w:r>
            <w:r>
              <w:rPr>
                <w:b/>
                <w:bCs/>
                <w:sz w:val="16"/>
                <w:szCs w:val="16"/>
              </w:rPr>
              <w:t xml:space="preserve">S2 obligatorio</w:t>
            </w:r>
            <w:r>
              <w:rPr>
                <w:sz w:val="16"/>
                <w:szCs w:val="16"/>
              </w:rPr>
              <w:t xml:space="preserve"> si P2, P3 o P7 están activos · S3 si O11 · S4 si O12 o ≥ 3 disciplinas · S5 si O10 · S6 si O8.</w:t>
            </w:r>
          </w:p>
        </w:tc>
      </w:tr>
    </w:tbl>
    <w:p>
      <w:pPr>
        <w:spacing w:after="140"/>
      </w:pPr>
    </w:p>
    <w:p>
      <w:pPr>
        <w:pStyle w:val="Heading2"/>
        <w:keepNext/>
      </w:pPr>
      <w:r>
        <w:t xml:space="preserve">2.5 A quién aplica</w:t>
      </w:r>
    </w:p>
    <w:p>
      <w:pPr>
        <w:spacing w:after="120" w:before="0" w:line="276"/>
      </w:pPr>
      <w:r>
        <w:rPr>
          <w:sz w:val="20"/>
          <w:szCs w:val="20"/>
        </w:rPr>
        <w:t xml:space="preserve">Este IPR aplica a todo Lead Appointed Party y Appointed Party que participe en la producción de información. Se responde formalmente con un Information Production Plan (IPP — equivalente funcional del BIM Execution Plan bajo la norma vigente), en el que el equipo demuestra que puede cumplirlo.</w:t>
      </w:r>
    </w:p>
    <w:p>
      <w:pPr>
        <w:pStyle w:val="Heading1"/>
        <w:keepNext/>
        <w:pageBreakBefore/>
      </w:pPr>
      <w:r>
        <w:t xml:space="preserve">3. Requisitos de gestión de información y gobernanza</w:t>
      </w:r>
    </w:p>
    <w:p>
      <w:pPr>
        <w:pStyle w:val="Heading2"/>
        <w:keepNext/>
      </w:pPr>
      <w:r>
        <w:t xml:space="preserve">3.1 Roles y responsabilidades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Rol (ISO 19650 / DIS 2026)</w:t>
            </w:r>
          </w:p>
        </w:tc>
        <w:tc>
          <w:tcPr>
            <w:tcW w:type="dxa" w:w="69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Responsabilidad principal en este proyecto</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Appointing Party (Cliente)</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Define el IPR, aprueba el IPP y las matrices LOIN, responde las consultas de requisitos en los plazos de 3.4, declara sus requisitos operativos (sección 8) y gobierna el AIM durante el ciclo de vida del activo.</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Lead Appointed Party</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Coordina la respuesta multidisciplinar al IPR, consolida el MIDP, administra el CDE del proyecto y mantiene la configuración del IPP.</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Appointed Party (por disciplina)</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Produce su información conforme al LOIN especificado y responde con su TIDP.</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Information Manager</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Audita la calidad de los modelos, gestiona el CDE, facilita las sesiones ICE, modera la convergencia entre disciplinas y mantiene el registro de lecciones aprendidas.</w:t>
            </w:r>
          </w:p>
        </w:tc>
      </w:tr>
    </w:tbl>
    <w:p>
      <w:pPr>
        <w:spacing w:after="140"/>
      </w:pPr>
    </w:p>
    <w:p>
      <w:pPr>
        <w:pStyle w:val="Heading2"/>
        <w:keepNext/>
      </w:pPr>
      <w:r>
        <w:t xml:space="preserve">3.2 Mejora continua</w:t>
      </w:r>
    </w:p>
    <w:p>
      <w:pPr>
        <w:spacing w:after="120" w:before="0" w:line="276"/>
      </w:pPr>
      <w:r>
        <w:rPr>
          <w:sz w:val="20"/>
          <w:szCs w:val="20"/>
        </w:rPr>
        <w:t xml:space="preserve">La gestión de información es un proceso que mejora en ciclos cortos (PDCA — Plan, Do, Check, Act). Cada reunión de coordinación (ICE) revisa también el proceso: estándares, plantillas y flujos del CDE, además de los clashes puntuales. Los hallazgos —clashes recurrentes, errores de nomenclatura, desviaciones del LOIN— quedan documentados de forma estructurada como lección aprendida reutilizable, con categoría, causa y acción, y se incorporan a los estándares del proyecto y de la organización.</w:t>
      </w:r>
    </w:p>
    <w:p>
      <w:pPr>
        <w:pStyle w:val="Heading2"/>
        <w:keepNext/>
      </w:pPr>
      <w:r>
        <w:t xml:space="preserve">3.3 Reporte temprano de errores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6F4F1" w:color="auto" w:val="clear"/>
            <w:tcMar>
              <w:top w:type="dxa" w:w="90"/>
              <w:left w:type="dxa" w:w="180"/>
              <w:bottom w:type="dxa" w:w="90"/>
              <w:right w:type="dxa" w:w="160"/>
            </w:tcMar>
          </w:tcPr>
          <w:p>
            <w:pPr>
              <w:spacing w:after="50"/>
            </w:pPr>
            <w:r>
              <w:rPr>
                <w:b/>
                <w:bCs/>
                <w:color w:val="1B7F79"/>
                <w:sz w:val="19"/>
                <w:szCs w:val="19"/>
              </w:rPr>
              <w:t xml:space="preserve">Protocolo de reporte sin estigma</w:t>
            </w:r>
          </w:p>
          <w:p>
            <w:pPr>
              <w:spacing w:after="50" w:line="252"/>
            </w:pPr>
            <w:r>
              <w:rPr>
                <w:sz w:val="18"/>
                <w:szCs w:val="18"/>
              </w:rPr>
              <w:t xml:space="preserve">Detectar y comunicar un error, un clash o una inconsistencia lo antes posible es un comportamiento valioso del equipo. El costo de un error crece cuanto más tarde se detecta, de la coordinación digital a la obra física. El CDE y las sesiones ICE se diseñan para que reportar un problema apenas se detecta sea visible, simple y sin consecuencia punitiva para quien lo reporta. Las observaciones se clasifican con una única escala de criticidad.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397"/>
        <w:gridCol w:w="2507"/>
      </w:tblGrid>
      <w:tr>
        <w:trPr>
          <w:cantSplit/>
          <w:tblHeader/>
        </w:trPr>
        <w:tc>
          <w:tcPr>
            <w:tcW w:type="dxa" w:w="173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Criticidad</w:t>
            </w:r>
          </w:p>
        </w:tc>
        <w:tc>
          <w:tcPr>
            <w:tcW w:type="dxa" w:w="539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Definición</w:t>
            </w:r>
          </w:p>
        </w:tc>
        <w:tc>
          <w:tcPr>
            <w:tcW w:type="dxa" w:w="250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Plazo de respuesta</w:t>
            </w:r>
          </w:p>
        </w:tc>
      </w:tr>
      <w:tr>
        <w:trPr>
          <w:cantSplit/>
        </w:trPr>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GRAVE</w:t>
            </w:r>
          </w:p>
        </w:tc>
        <w:tc>
          <w:tcPr>
            <w:tcW w:type="dxa" w:w="53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Impide la construcción, el licenciamiento o un hito.</w:t>
            </w:r>
          </w:p>
        </w:tc>
        <w:tc>
          <w:tcPr>
            <w:tcW w:type="dxa" w:w="25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2 días hábiles</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MEDIA</w:t>
            </w:r>
          </w:p>
        </w:tc>
        <w:tc>
          <w:tcPr>
            <w:tcW w:type="dxa" w:w="53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Exige coordinación entre disciplinas sin detener un hito.</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3 días hábiles</w:t>
            </w:r>
          </w:p>
        </w:tc>
      </w:tr>
      <w:tr>
        <w:trPr>
          <w:cantSplit/>
        </w:trPr>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LEVE</w:t>
            </w:r>
          </w:p>
        </w:tc>
        <w:tc>
          <w:tcPr>
            <w:tcW w:type="dxa" w:w="539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Corrección local de una disciplina.</w:t>
            </w:r>
          </w:p>
        </w:tc>
        <w:tc>
          <w:tcPr>
            <w:tcW w:type="dxa" w:w="250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5 días hábiles</w:t>
            </w:r>
          </w:p>
        </w:tc>
      </w:tr>
    </w:tbl>
    <w:p>
      <w:pPr>
        <w:spacing w:after="140"/>
      </w:pPr>
    </w:p>
    <w:p>
      <w:pPr>
        <w:pStyle w:val="Heading2"/>
        <w:keepNext/>
      </w:pPr>
      <w:r>
        <w:t xml:space="preserve">3.4 Control de cambios y adendas</w:t>
      </w:r>
    </w:p>
    <w:p>
      <w:pPr>
        <w:spacing w:after="120" w:before="0" w:line="276"/>
      </w:pPr>
      <w:r>
        <w:rPr>
          <w:sz w:val="20"/>
          <w:szCs w:val="20"/>
        </w:rPr>
        <w:t xml:space="preserve">Los cambios al IPR se emiten como adenda numerada, con fecha, módulos del IPP afectados y hito desde el que rigen. El Appointing Party responde las consultas sobre requisitos en un máximo de 3 días hábiles; una decisión provisional queda registrada como tal y se revisa en el siguiente hito. Las adendas incorporan propósitos nuevos (energía, 4D, FM) usando la estructura de matriz de los Anexos A–C.</w:t>
      </w:r>
    </w:p>
    <w:p>
      <w:pPr>
        <w:pStyle w:val="Heading1"/>
        <w:keepNext/>
        <w:pageBreakBefore/>
      </w:pPr>
      <w:r>
        <w:t xml:space="preserve">4. Nivel de Información Necesario (LOIN) por disciplina</w:t>
      </w:r>
    </w:p>
    <w:p>
      <w:pPr>
        <w:spacing w:after="120" w:before="0" w:line="276"/>
      </w:pPr>
      <w:r>
        <w:rPr>
          <w:b/>
          <w:bCs/>
          <w:sz w:val="20"/>
          <w:szCs w:val="20"/>
        </w:rPr>
        <w:t xml:space="preserve">Principio rector:</w:t>
      </w:r>
      <w:r>
        <w:rPr>
          <w:sz w:val="20"/>
          <w:szCs w:val="20"/>
        </w:rPr>
        <w:t xml:space="preserve"> este IPR especifica requisitos de información conforme a ISO 7817-1:2024 y no mediante etiquetas genéricas (“LOD 300”, “LOI 3”). La norma establece que un acrónimo o número único simplifica en exceso algo multidimensional. Cada objeto se especifica con tres pilares independientes y, dentro del geométrico, cinco aspectos también independientes.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Pr>
        <w:tc>
          <w:tcPr>
            <w:tcW w:type="dxa" w:w="3212"/>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jc w:val="center"/>
            </w:pPr>
            <w:r>
              <w:rPr>
                <w:b/>
                <w:bCs/>
                <w:sz w:val="18"/>
                <w:szCs w:val="18"/>
              </w:rPr>
              <w:t xml:space="preserve">1. GEOMÉTRICA</w:t>
            </w:r>
          </w:p>
          <w:p>
            <w:pPr>
              <w:spacing w:after="20" w:before="20" w:line="240"/>
              <w:jc w:val="center"/>
            </w:pPr>
            <w:r>
              <w:rPr>
                <w:sz w:val="18"/>
                <w:szCs w:val="18"/>
              </w:rPr>
              <w:t xml:space="preserve">Forma, tamaño, posición</w:t>
            </w:r>
          </w:p>
        </w:tc>
        <w:tc>
          <w:tcPr>
            <w:tcW w:type="dxa" w:w="3212"/>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jc w:val="center"/>
            </w:pPr>
            <w:r>
              <w:rPr>
                <w:b/>
                <w:bCs/>
                <w:sz w:val="18"/>
                <w:szCs w:val="18"/>
              </w:rPr>
              <w:t xml:space="preserve">2. ALFANUMÉRICA</w:t>
            </w:r>
          </w:p>
          <w:p>
            <w:pPr>
              <w:spacing w:after="20" w:before="20" w:line="240"/>
              <w:jc w:val="center"/>
            </w:pPr>
            <w:r>
              <w:rPr>
                <w:sz w:val="18"/>
                <w:szCs w:val="18"/>
              </w:rPr>
              <w:t xml:space="preserve">Identificación y propiedades</w:t>
            </w:r>
          </w:p>
        </w:tc>
        <w:tc>
          <w:tcPr>
            <w:tcW w:type="dxa" w:w="3214"/>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jc w:val="center"/>
            </w:pPr>
            <w:r>
              <w:rPr>
                <w:b/>
                <w:bCs/>
                <w:sz w:val="18"/>
                <w:szCs w:val="18"/>
              </w:rPr>
              <w:t xml:space="preserve">3. DOCUMENTACIÓN</w:t>
            </w:r>
          </w:p>
          <w:p>
            <w:pPr>
              <w:spacing w:after="20" w:before="20" w:line="240"/>
              <w:jc w:val="center"/>
            </w:pPr>
            <w:r>
              <w:rPr>
                <w:sz w:val="18"/>
                <w:szCs w:val="18"/>
              </w:rPr>
              <w:t xml:space="preserve">Informes, fichas, certificados</w:t>
            </w:r>
          </w:p>
        </w:tc>
      </w:tr>
    </w:tbl>
    <w:p>
      <w:pPr>
        <w:spacing w:after="100"/>
      </w:pPr>
    </w:p>
    <w:p>
      <w:pPr>
        <w:pStyle w:val="Heading2"/>
        <w:keepNext/>
      </w:pPr>
      <w:r>
        <w:t xml:space="preserve">4.1 Los cinco aspectos de la información geométrica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084"/>
        <w:gridCol w:w="4049"/>
      </w:tblGrid>
      <w:tr>
        <w:trPr>
          <w:cantSplit/>
          <w:tblHeader/>
        </w:trPr>
        <w:tc>
          <w:tcPr>
            <w:tcW w:type="dxa" w:w="25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Aspecto</w:t>
            </w:r>
          </w:p>
        </w:tc>
        <w:tc>
          <w:tcPr>
            <w:tcW w:type="dxa" w:w="308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Rango de valores</w:t>
            </w:r>
          </w:p>
        </w:tc>
        <w:tc>
          <w:tcPr>
            <w:tcW w:type="dxa" w:w="40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Pregunta que resuelve</w:t>
            </w:r>
          </w:p>
        </w:tc>
      </w:tr>
      <w:tr>
        <w:trPr>
          <w:cantSplit/>
        </w:trPr>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Detalle (Detail)</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Simplificado → detallado</w:t>
            </w:r>
          </w:p>
        </w:tc>
        <w:tc>
          <w:tcPr>
            <w:tcW w:type="dxa" w:w="4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¿Cuánto se parece a la forma real del objeto?</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Dimensionalidad</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0D · 1D · 2D · 3D</w:t>
            </w:r>
          </w:p>
        </w:tc>
        <w:tc>
          <w:tcPr>
            <w:tcW w:type="dxa" w:w="40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¿Punto, línea, superficie o volumen?</w:t>
            </w:r>
          </w:p>
        </w:tc>
      </w:tr>
      <w:tr>
        <w:trPr>
          <w:cantSplit/>
        </w:trPr>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Ubicación (Location)</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Absoluta / relativa</w:t>
            </w:r>
          </w:p>
        </w:tc>
        <w:tc>
          <w:tcPr>
            <w:tcW w:type="dxa" w:w="4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¿Respecto al proyecto o respecto a otro objeto?</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Apariencia (Appearance)</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Simbólica → realista</w:t>
            </w:r>
          </w:p>
        </w:tc>
        <w:tc>
          <w:tcPr>
            <w:tcW w:type="dxa" w:w="40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¿Necesita verse real o basta un color o símbolo?</w:t>
            </w:r>
          </w:p>
        </w:tc>
      </w:tr>
      <w:tr>
        <w:trPr>
          <w:cantSplit/>
        </w:trPr>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Comportamiento paramétrico</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Explícito / constructivo / paramétrico</w:t>
            </w:r>
          </w:p>
        </w:tc>
        <w:tc>
          <w:tcPr>
            <w:tcW w:type="dxa" w:w="40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¿Debe ajustarse automáticamente si cambia el diseño?</w:t>
            </w:r>
          </w:p>
        </w:tc>
      </w:tr>
    </w:tbl>
    <w:p>
      <w:pPr>
        <w:spacing w:after="140"/>
      </w:pPr>
    </w:p>
    <w:p>
      <w:pPr>
        <w:spacing w:after="120" w:before="0" w:line="276"/>
      </w:pPr>
      <w:r>
        <w:rPr>
          <w:sz w:val="20"/>
          <w:szCs w:val="20"/>
        </w:rPr>
        <w:t xml:space="preserve">Los cinco aspectos son independientes entre sí: especificar uno no implica los demás.</w:t>
      </w:r>
    </w:p>
    <w:p>
      <w:pPr>
        <w:pStyle w:val="Heading2"/>
        <w:keepNext/>
      </w:pPr>
      <w:r>
        <w:t xml:space="preserve">4.2 Prerrequisitos de todo LOIN</w:t>
      </w:r>
    </w:p>
    <w:p>
      <w:pPr>
        <w:spacing w:after="80" w:before="0" w:line="276"/>
      </w:pPr>
      <w:r>
        <w:rPr>
          <w:sz w:val="20"/>
          <w:szCs w:val="20"/>
        </w:rPr>
        <w:t xml:space="preserve">Ningún nivel de información se especifica sin responder, para cada objeto o grupo de objetos, las cuatro preguntas de ISO 7817-1 (cláusula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5976"/>
      </w:tblGrid>
      <w:tr>
        <w:trPr>
          <w:cantSplit/>
          <w:tblHeader/>
        </w:trPr>
        <w:tc>
          <w:tcPr>
            <w:tcW w:type="dxa" w:w="15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Pregunta</w:t>
            </w:r>
          </w:p>
        </w:tc>
        <w:tc>
          <w:tcPr>
            <w:tcW w:type="dxa" w:w="21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Prerrequisito</w:t>
            </w:r>
          </w:p>
        </w:tc>
        <w:tc>
          <w:tcPr>
            <w:tcW w:type="dxa" w:w="597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Aplicación en este proyecto</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¿Por qué?</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Propósito</w:t>
            </w:r>
          </w:p>
        </w:tc>
        <w:tc>
          <w:tcPr>
            <w:tcW w:type="dxa" w:w="59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Propósitos activos de la tabla 2.3 (P1, P2 y los marcados en 1.1).</w:t>
            </w:r>
          </w:p>
        </w:tc>
      </w:tr>
      <w:tr>
        <w:trPr>
          <w:cantSplit/>
        </w:trPr>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¿Cuándo?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Hito de entrega</w:t>
            </w:r>
          </w:p>
        </w:tc>
        <w:tc>
          <w:tcPr>
            <w:tcW w:type="dxa" w:w="59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H1–H5 de la sección 6.1.</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¿Quién?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Actor</w:t>
            </w:r>
          </w:p>
        </w:tc>
        <w:tc>
          <w:tcPr>
            <w:tcW w:type="dxa" w:w="597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Appointed Party responsable según disciplina (3.1).</w:t>
            </w:r>
          </w:p>
        </w:tc>
      </w:tr>
      <w:tr>
        <w:trPr>
          <w:cantSplit/>
        </w:trPr>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¿Qué?</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Objeto</w:t>
            </w:r>
          </w:p>
        </w:tc>
        <w:tc>
          <w:tcPr>
            <w:tcW w:type="dxa" w:w="59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Elemento dentro de la estructura de desglose de cada disciplina (Anexos A–C).</w:t>
            </w:r>
          </w:p>
        </w:tc>
      </w:tr>
    </w:tbl>
    <w:p>
      <w:pPr>
        <w:spacing w:after="140"/>
      </w:pPr>
    </w:p>
    <w:p>
      <w:pPr>
        <w:pStyle w:val="Heading2"/>
        <w:keepNext/>
      </w:pPr>
      <w:r>
        <w:t xml:space="preserve">4.3 Propósitos definidos con matriz LOIN</w:t>
      </w:r>
    </w:p>
    <w:p>
      <w:pPr>
        <w:pStyle w:val="ListParagraph"/>
        <w:numPr>
          <w:ilvl w:val="0"/>
          <w:numId w:val="2"/>
        </w:numPr>
        <w:spacing w:after="60" w:line="264"/>
      </w:pPr>
      <w:r>
        <w:rPr>
          <w:b/>
          <w:bCs/>
          <w:sz w:val="20"/>
          <w:szCs w:val="20"/>
        </w:rPr>
        <w:t xml:space="preserve">P1 — Análisis de interferencias (clash detection):</w:t>
      </w:r>
      <w:r>
        <w:rPr>
          <w:sz w:val="20"/>
          <w:szCs w:val="20"/>
        </w:rPr>
        <w:t xml:space="preserve"> verificación geométrica y espacial entre disciplinas para prevenir conflictos antes de obra. Las reglas de clash derivan del LOIN.</w:t>
      </w:r>
    </w:p>
    <w:p>
      <w:pPr>
        <w:pStyle w:val="ListParagraph"/>
        <w:numPr>
          <w:ilvl w:val="0"/>
          <w:numId w:val="2"/>
        </w:numPr>
        <w:spacing w:after="60" w:line="264"/>
      </w:pPr>
      <w:r>
        <w:rPr>
          <w:b/>
          <w:bCs/>
          <w:sz w:val="20"/>
          <w:szCs w:val="20"/>
        </w:rPr>
        <w:t xml:space="preserve">P2 — Cuantificación y metrados:</w:t>
      </w:r>
      <w:r>
        <w:rPr>
          <w:sz w:val="20"/>
          <w:szCs w:val="20"/>
        </w:rPr>
        <w:t xml:space="preserve"> extracción de cantidades desde propiedades alfanuméricas del modelo, no desde geometría aproximada (Anexo D).</w:t>
      </w:r>
    </w:p>
    <w:p>
      <w:pPr>
        <w:pStyle w:val="ListParagraph"/>
        <w:numPr>
          <w:ilvl w:val="0"/>
          <w:numId w:val="2"/>
        </w:numPr>
        <w:spacing w:after="60" w:line="264"/>
      </w:pPr>
      <w:r>
        <w:rPr>
          <w:b/>
          <w:bCs/>
          <w:sz w:val="20"/>
          <w:szCs w:val="20"/>
        </w:rPr>
        <w:t xml:space="preserve">P3 — Espacios:</w:t>
      </w:r>
      <w:r>
        <w:rPr>
          <w:sz w:val="20"/>
          <w:szCs w:val="20"/>
        </w:rPr>
        <w:t xml:space="preserve"> el ambiente como objeto de información único que consumen P2, P4 y P7 (Anexo E).</w:t>
      </w:r>
    </w:p>
    <w:p>
      <w:pPr>
        <w:spacing w:after="120" w:before="0" w:line="276"/>
      </w:pPr>
      <w:r>
        <w:rPr>
          <w:sz w:val="20"/>
          <w:szCs w:val="20"/>
        </w:rPr>
        <w:t xml:space="preserve">Las matrices de los Anexos A (Arquitectura), B (Estructuras) y C (MEP) presentan, por grupo de objetos y propósito, los cinco aspectos geométricos, la información alfanumérica, la documentación y el hito de primera entrega.</w:t>
      </w:r>
    </w:p>
    <w:p>
      <w:pPr>
        <w:pStyle w:val="Heading2"/>
        <w:keepNext/>
      </w:pPr>
      <w:r>
        <w:t xml:space="preserve">4.4 Jerarquía de prevalencia entre contenedores</w:t>
      </w:r>
    </w:p>
    <w:p>
      <w:pPr>
        <w:spacing w:after="120" w:before="0" w:line="276"/>
      </w:pPr>
      <w:r>
        <w:rPr>
          <w:sz w:val="20"/>
          <w:szCs w:val="20"/>
        </w:rPr>
        <w:t xml:space="preserve">Cuando la geometría, las propiedades y la documentación de un mismo objeto parecen contradecirse, prevalece en este orden: (1) propiedad alfanumérica aprobada en el CDE en estado Published; (2) geometría del modelo en estado Published; (3) documento de soporte. La discrepancia se reporta como observación (3.3) y se resuelve en la siguiente sesión ICE.</w:t>
      </w:r>
    </w:p>
    <w:p>
      <w:pPr>
        <w:pStyle w:val="Heading2"/>
        <w:keepNext/>
      </w:pPr>
      <w:r>
        <w:t xml:space="preserve">4.5 Verificación y validación</w:t>
      </w:r>
    </w:p>
    <w:p>
      <w:pPr>
        <w:pStyle w:val="ListParagraph"/>
        <w:numPr>
          <w:ilvl w:val="0"/>
          <w:numId w:val="2"/>
        </w:numPr>
        <w:spacing w:after="60" w:line="264"/>
      </w:pPr>
      <w:r>
        <w:rPr>
          <w:b/>
          <w:bCs/>
          <w:sz w:val="20"/>
          <w:szCs w:val="20"/>
        </w:rPr>
        <w:t xml:space="preserve">Verificación:</w:t>
      </w:r>
      <w:r>
        <w:rPr>
          <w:sz w:val="20"/>
          <w:szCs w:val="20"/>
        </w:rPr>
        <w:t xml:space="preserve"> ¿está presente lo requerido? Se ejecuta contra el LOIN de los Anexos (5.3).</w:t>
      </w:r>
    </w:p>
    <w:p>
      <w:pPr>
        <w:pStyle w:val="ListParagraph"/>
        <w:numPr>
          <w:ilvl w:val="0"/>
          <w:numId w:val="2"/>
        </w:numPr>
        <w:spacing w:after="60" w:line="264"/>
      </w:pPr>
      <w:r>
        <w:rPr>
          <w:b/>
          <w:bCs/>
          <w:sz w:val="20"/>
          <w:szCs w:val="20"/>
        </w:rPr>
        <w:t xml:space="preserve">Validación:</w:t>
      </w:r>
      <w:r>
        <w:rPr>
          <w:sz w:val="20"/>
          <w:szCs w:val="20"/>
        </w:rPr>
        <w:t xml:space="preserve"> ¿lo entregado sirve para el uso previsto? Se ejecuta contra el propósito declarado en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A" w:color="auto" w:val="clear"/>
            <w:tcMar>
              <w:top w:type="dxa" w:w="90"/>
              <w:left w:type="dxa" w:w="180"/>
              <w:bottom w:type="dxa" w:w="90"/>
              <w:right w:type="dxa" w:w="160"/>
            </w:tcMar>
          </w:tcPr>
          <w:p>
            <w:pPr>
              <w:spacing w:after="50"/>
            </w:pPr>
            <w:r>
              <w:rPr>
                <w:b/>
                <w:bCs/>
                <w:color w:val="2E75B6"/>
                <w:sz w:val="19"/>
                <w:szCs w:val="19"/>
              </w:rPr>
              <w:t xml:space="preserve">Sobre el uso de “No aplicable”</w:t>
            </w:r>
          </w:p>
          <w:p>
            <w:pPr>
              <w:spacing w:after="50" w:line="252"/>
            </w:pPr>
            <w:r>
              <w:rPr>
                <w:sz w:val="18"/>
                <w:szCs w:val="18"/>
              </w:rPr>
              <w:t xml:space="preserve">Cuando un aspecto no aporta valor a ningún propósito declarado para un objeto, se marca explícitamente como </w:t>
            </w:r>
            <w:r>
              <w:rPr>
                <w:b/>
                <w:bCs/>
                <w:sz w:val="18"/>
                <w:szCs w:val="18"/>
              </w:rPr>
              <w:t xml:space="preserve">No aplicable</w:t>
            </w:r>
            <w:r>
              <w:rPr>
                <w:sz w:val="18"/>
                <w:szCs w:val="18"/>
              </w:rPr>
              <w:t xml:space="preserve"> en las matrices. Es la herramienta principal de este IPR para prevenir la sobreentrega de información, y una respuesta legítima y esperada. Un mismo objeto puede tener LOIN distintos para propósitos distintos dentro del mismo hito.</w:t>
            </w:r>
          </w:p>
        </w:tc>
      </w:tr>
    </w:tbl>
    <w:p>
      <w:pPr>
        <w:pStyle w:val="Heading1"/>
        <w:keepNext/>
        <w:pageBreakBefore/>
      </w:pPr>
      <w:r>
        <w:t xml:space="preserve">5. Requisitos del CDE y formatos abiertos</w:t>
      </w:r>
    </w:p>
    <w:p>
      <w:pPr>
        <w:pStyle w:val="Heading2"/>
        <w:keepNext/>
      </w:pPr>
      <w:r>
        <w:t xml:space="preserve">5.1 Estados del CDE</w:t>
      </w:r>
    </w:p>
    <w:p>
      <w:pPr>
        <w:spacing w:after="80" w:before="0" w:line="276"/>
      </w:pPr>
      <w:r>
        <w:rPr>
          <w:sz w:val="20"/>
          <w:szCs w:val="20"/>
        </w:rPr>
        <w:t xml:space="preserve">El CDE opera con los cuatro estados de ISO 19650-2, cuya lógica se mantiene en el DIS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Estado</w:t>
            </w:r>
          </w:p>
        </w:tc>
        <w:tc>
          <w:tcPr>
            <w:tcW w:type="dxa" w:w="69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Función</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Work in Progress (WIP)</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Trabajo interno de cada disciplina, no visible a otras partes.</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Shared</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Información compartida para coordinación, aún no aprobada para uso posterior.</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Published</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Información autorizada y aprobada para uso por otras partes o para construcción.</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Archived</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Registro histórico de cada revisión, con trazabilidad completa de versiones.</w:t>
            </w:r>
          </w:p>
        </w:tc>
      </w:tr>
    </w:tbl>
    <w:p>
      <w:pPr>
        <w:spacing w:after="140"/>
      </w:pPr>
    </w:p>
    <w:p>
      <w:pPr>
        <w:pStyle w:val="Heading2"/>
        <w:keepNext/>
      </w:pPr>
      <w:r>
        <w:t xml:space="preserve">5.2 Formatos abiertos (openBIM)</w:t>
      </w:r>
    </w:p>
    <w:p>
      <w:pPr>
        <w:spacing w:after="80" w:before="0" w:line="276"/>
      </w:pPr>
      <w:r>
        <w:rPr>
          <w:sz w:val="20"/>
          <w:szCs w:val="20"/>
        </w:rPr>
        <w:t xml:space="preserve">Se priorizan los formatos abiertos de buildingSMART para garantizar interoperabilidad e independencia de proveedor a lo largo del ciclo de vida del 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Formato</w:t>
            </w:r>
          </w:p>
        </w:tc>
        <w:tc>
          <w:tcPr>
            <w:tcW w:type="dxa" w:w="751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Uso exigido</w:t>
            </w:r>
          </w:p>
        </w:tc>
      </w:tr>
      <w:tr>
        <w:trPr>
          <w:cantSplit/>
        </w:trPr>
        <w:tc>
          <w:tcPr>
            <w:tcW w:type="dxa" w:w="2120"/>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IFC 4.x</w:t>
            </w:r>
          </w:p>
        </w:tc>
        <w:tc>
          <w:tcPr>
            <w:tcW w:type="dxa" w:w="7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Formato obligatorio de intercambio para modelos federados, independientemente del software de autoría de cada Appointed Party. El formato nativo se conserva en WIP.</w:t>
            </w:r>
          </w:p>
        </w:tc>
      </w:tr>
      <w:tr>
        <w:trPr>
          <w:cantSplit/>
        </w:trPr>
        <w:tc>
          <w:tcPr>
            <w:tcW w:type="dxa" w:w="2120"/>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BCF 2.1 / 3.0</w:t>
            </w:r>
          </w:p>
        </w:tc>
        <w:tc>
          <w:tcPr>
            <w:tcW w:type="dxa" w:w="75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Gestión de incidencias y clashes de forma neutral entre plataformas.</w:t>
            </w:r>
          </w:p>
        </w:tc>
      </w:tr>
      <w:tr>
        <w:trPr>
          <w:cantSplit/>
        </w:trPr>
        <w:tc>
          <w:tcPr>
            <w:tcW w:type="dxa" w:w="2120"/>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IDS</w:t>
            </w:r>
          </w:p>
        </w:tc>
        <w:tc>
          <w:tcPr>
            <w:tcW w:type="dxa" w:w="7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Validación automatizada de que los IFC entregados cumplen los requisitos alfanuméricos y de clasificación de los Anexos A–E.</w:t>
            </w:r>
          </w:p>
        </w:tc>
      </w:tr>
      <w:tr>
        <w:trPr>
          <w:cantSplit/>
        </w:trPr>
        <w:tc>
          <w:tcPr>
            <w:tcW w:type="dxa" w:w="2120"/>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bSDD</w:t>
            </w:r>
          </w:p>
        </w:tc>
        <w:tc>
          <w:tcPr>
            <w:tcW w:type="dxa" w:w="75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Referencia de clasificación y propiedades estandarizadas entre disciplinas y con el AIM.</w:t>
            </w:r>
          </w:p>
        </w:tc>
      </w:tr>
      <w:tr>
        <w:trPr>
          <w:cantSplit/>
        </w:trPr>
        <w:tc>
          <w:tcPr>
            <w:tcW w:type="dxa" w:w="2120"/>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XLSX / CSV, PDF, DWG</w:t>
            </w:r>
          </w:p>
        </w:tc>
        <w:tc>
          <w:tcPr>
            <w:tcW w:type="dxa" w:w="751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Tablas de metrados, documentos y planos derivados del modelo.</w:t>
            </w:r>
          </w:p>
        </w:tc>
      </w:tr>
    </w:tbl>
    <w:p>
      <w:pPr>
        <w:spacing w:after="140"/>
      </w:pPr>
    </w:p>
    <w:p>
      <w:pPr>
        <w:pStyle w:val="Heading2"/>
        <w:keepNext/>
      </w:pPr>
      <w:r>
        <w:t xml:space="preserve">5.3 Auditoría de calidad de modelos</w:t>
      </w:r>
    </w:p>
    <w:p>
      <w:pPr>
        <w:spacing w:after="120" w:before="0" w:line="276"/>
      </w:pPr>
      <w:r>
        <w:rPr>
          <w:sz w:val="20"/>
          <w:szCs w:val="20"/>
        </w:rPr>
        <w:t xml:space="preserve">Cada entrega a estado Shared se audita contra el LOIN especificado: clasificación de elementos, presencia de propiedades obligatorias, nomenclatura, geometría inválida y duplicados. Los reportes se comunican al equipo como herramienta de soporte, conforme al principio de respeto por las personas (3.3).</w:t>
      </w:r>
    </w:p>
    <w:p>
      <w:pPr>
        <w:pStyle w:val="Heading2"/>
        <w:keepNext/>
      </w:pPr>
      <w:r>
        <w:t xml:space="preserve">5.4 Georreferenciación y origen compartido</w:t>
      </w:r>
    </w:p>
    <w:p>
      <w:pPr>
        <w:spacing w:after="120" w:before="0" w:line="276"/>
      </w:pPr>
      <w:r>
        <w:rPr>
          <w:sz w:val="20"/>
          <w:szCs w:val="20"/>
        </w:rPr>
        <w:t xml:space="preserve">Todos los modelos comparten un único origen de proyecto (Project Base Point) y un Survey Point vinculado al levantamiento topográfico firmado. El Coordinador de Arquitectura es custodio de esos puntos y publica la plantilla de referencia en estado Published antes de iniciar el modelado. Un modelo desalineado vuelve a WIP.</w:t>
      </w:r>
    </w:p>
    <w:p>
      <w:pPr>
        <w:pStyle w:val="Heading2"/>
        <w:keepNext/>
      </w:pPr>
      <w:r>
        <w:t xml:space="preserve">5.5 Nomenclatura de contenedores</w:t>
      </w:r>
    </w:p>
    <w:p>
      <w:pPr>
        <w:spacing w:after="60" w:before="0" w:line="276"/>
      </w:pPr>
      <w:r>
        <w:rPr>
          <w:b/>
          <w:bCs/>
          <w:sz w:val="20"/>
          <w:szCs w:val="20"/>
        </w:rPr>
        <w:t xml:space="preserve">[PROY]-[ORIG]-[ZONA]-[NIVEL]-[ROL]-[TIPO]-[NNN]_[REV].[ext]</w:t>
      </w:r>
      <w:r>
        <w:rPr>
          <w:sz w:val="20"/>
          <w:szCs w:val="20"/>
        </w:rPr>
        <w:t xml:space="preserve">   Ejemplo: EDIF001-A-00-ZZ-A-M3-001_R03.ifc</w:t>
      </w:r>
    </w:p>
    <w:p>
      <w:pPr>
        <w:spacing w:after="120" w:before="0" w:line="276"/>
      </w:pPr>
      <w:r>
        <w:rPr>
          <w:sz w:val="20"/>
          <w:szCs w:val="20"/>
        </w:rPr>
        <w:t xml:space="preserve">Fase y estado se registran como metadatos del CDE; el hito ya los define y no se duplican en el nombre.</w:t>
      </w:r>
    </w:p>
    <w:p>
      <w:pPr>
        <w:pStyle w:val="Heading2"/>
        <w:keepNext/>
      </w:pPr>
      <w:r>
        <w:t xml:space="preserve">5.6 Seguridad de la información</w:t>
      </w:r>
    </w:p>
    <w:p>
      <w:pPr>
        <w:spacing w:after="120" w:before="0" w:line="276"/>
      </w:pPr>
      <w:r>
        <w:rPr>
          <w:sz w:val="20"/>
          <w:szCs w:val="20"/>
        </w:rPr>
        <w:t xml:space="preserve">Si se marca O11, el IPP activa el módulo S3 conforme a ISO 19650-5: clasificación de la información sensible, control de acceso por rol y registro de trazabilidad en el CDE.</w:t>
      </w:r>
    </w:p>
    <w:p>
      <w:pPr>
        <w:pStyle w:val="Heading1"/>
        <w:keepNext/>
        <w:pageBreakBefore/>
      </w:pPr>
      <w:r>
        <w:t xml:space="preserve">6. Planificación de entrega: hitos, TIDP y MIDP</w:t>
      </w:r>
    </w:p>
    <w:p>
      <w:pPr>
        <w:pStyle w:val="Heading2"/>
        <w:keepNext/>
      </w:pPr>
      <w:r>
        <w:t xml:space="preserve">6.1 Hitos de entrega de información</w:t>
      </w:r>
    </w:p>
    <w:p>
      <w:pPr>
        <w:spacing w:after="80" w:before="0" w:line="276"/>
      </w:pPr>
      <w:r>
        <w:rPr>
          <w:sz w:val="20"/>
          <w:szCs w:val="20"/>
        </w:rPr>
        <w:t xml:space="preserve">Este IPR define un único conjunto de hitos, H1–H5. Todos los requisitos y matrices los citan.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927"/>
        <w:gridCol w:w="2120"/>
        <w:gridCol w:w="1349"/>
        <w:gridCol w:w="771"/>
        <w:gridCol w:w="2122"/>
      </w:tblGrid>
      <w:tr>
        <w:trPr>
          <w:cantSplit/>
          <w:tblHeader/>
        </w:trPr>
        <w:tc>
          <w:tcPr>
            <w:tcW w:type="dxa" w:w="13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Hito</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Descripción</w:t>
            </w:r>
          </w:p>
        </w:tc>
        <w:tc>
          <w:tcPr>
            <w:tcW w:type="dxa" w:w="21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Propósito dominante</w:t>
            </w:r>
          </w:p>
        </w:tc>
        <w:tc>
          <w:tcPr>
            <w:tcW w:type="dxa" w:w="13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Estado CDE al cierre</w:t>
            </w:r>
          </w:p>
        </w:tc>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Fecha</w:t>
            </w:r>
          </w:p>
        </w:tc>
        <w:tc>
          <w:tcPr>
            <w:tcW w:type="dxa" w:w="212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Aprobación asociada</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H1</w:t>
            </w:r>
            <w:r>
              <w:rPr>
                <w:sz w:val="16"/>
                <w:szCs w:val="16"/>
              </w:rPr>
              <w:t xml:space="preserve"> Cabida</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Estudio de cabida / factibilidad volumétrica.</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Validar masa edificable, retiros y normativa.</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Shared</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[fecha]</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Visto bueno de factibilidad</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H2</w:t>
            </w:r>
            <w:r>
              <w:rPr>
                <w:sz w:val="16"/>
                <w:szCs w:val="16"/>
              </w:rPr>
              <w:t xml:space="preserve"> Anteproyecto</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Anteproyecto arquitectónico y de ingenierías.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Primeras interferencias mayores; metrados de orden de magnitud.</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Shared</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[fecha]</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Aprobación de anteproyecto</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H3</w:t>
            </w:r>
            <w:r>
              <w:rPr>
                <w:sz w:val="16"/>
                <w:szCs w:val="16"/>
              </w:rPr>
              <w:t xml:space="preserve"> Proyecto para revisión</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Proyecto para revisión del cliente y entidades.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Clash detection formal; metrados de control.</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Shared → Published (metrado de control)</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[fecha]</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Cierre de coordinación y aprobación del metrado de control</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H4</w:t>
            </w:r>
            <w:r>
              <w:rPr>
                <w:sz w:val="16"/>
                <w:szCs w:val="16"/>
              </w:rPr>
              <w:t xml:space="preserve"> Proyecto detallado / de obra</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Expediente técnico para construcción.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Modelo coordinado sin interferencias abiertas; metrados de expediente.</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Published</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[fecha]</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Aprobación de expediente técnico</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H5</w:t>
            </w:r>
            <w:r>
              <w:rPr>
                <w:sz w:val="16"/>
                <w:szCs w:val="16"/>
              </w:rPr>
              <w:t xml:space="preserve"> As-built (opcional)</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Modelo verificado en obra y datos de activos.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Gestión de activos (P7) y cierre de AIM.</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Published</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[fecha]</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Recepción de información</w:t>
            </w:r>
          </w:p>
        </w:tc>
      </w:tr>
    </w:tbl>
    <w:p>
      <w:pPr>
        <w:spacing w:after="140"/>
      </w:pPr>
    </w:p>
    <w:p>
      <w:pPr>
        <w:spacing w:after="120" w:before="0" w:line="276"/>
      </w:pPr>
      <w:r>
        <w:rPr>
          <w:sz w:val="20"/>
          <w:szCs w:val="20"/>
        </w:rPr>
        <w:t xml:space="preserve">Los nombres de los hitos pueden adaptarse al contrato; cada hito mantiene su propósito dominante y su estado CDE.</w:t>
      </w:r>
    </w:p>
    <w:p>
      <w:pPr>
        <w:pStyle w:val="Heading2"/>
        <w:keepNext/>
      </w:pPr>
      <w:r>
        <w:t xml:space="preserve">6.2 TIDP y MIDP</w:t>
      </w:r>
    </w:p>
    <w:p>
      <w:pPr>
        <w:spacing w:after="80" w:before="0" w:line="276"/>
      </w:pPr>
      <w:r>
        <w:rPr>
          <w:sz w:val="20"/>
          <w:szCs w:val="20"/>
        </w:rPr>
        <w:t xml:space="preserve">Cada Appointed Party responde con su Task Information Delivery Plan (TIDP), que el Lead Appointed Party consolida en el Master Information Delivery Plan (MIDP). Ambos mantienen su nombre en el DIS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Elemento del TIDP/MIDP</w:t>
            </w:r>
          </w:p>
        </w:tc>
        <w:tc>
          <w:tcPr>
            <w:tcW w:type="dxa" w:w="674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Contenido esperado</w:t>
            </w:r>
          </w:p>
        </w:tc>
      </w:tr>
      <w:tr>
        <w:trPr>
          <w:cantSplit/>
        </w:trPr>
        <w:tc>
          <w:tcPr>
            <w:tcW w:type="dxa" w:w="2891"/>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Matriz de contenedores</w:t>
            </w:r>
          </w:p>
        </w:tc>
        <w:tc>
          <w:tcPr>
            <w:tcW w:type="dxa" w:w="67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Código único por contenedor (5.5), disciplina responsable, hito de entrega.</w:t>
            </w:r>
          </w:p>
        </w:tc>
      </w:tr>
      <w:tr>
        <w:trPr>
          <w:cantSplit/>
        </w:trPr>
        <w:tc>
          <w:tcPr>
            <w:tcW w:type="dxa" w:w="2891"/>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Cronograma de asignación</w:t>
            </w:r>
          </w:p>
        </w:tc>
        <w:tc>
          <w:tcPr>
            <w:tcW w:type="dxa" w:w="674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Fecha de entrega de cada contenedor alineada a H1–H5.</w:t>
            </w:r>
          </w:p>
        </w:tc>
      </w:tr>
      <w:tr>
        <w:trPr>
          <w:cantSplit/>
        </w:trPr>
        <w:tc>
          <w:tcPr>
            <w:tcW w:type="dxa" w:w="2891"/>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Estado y aprobación requerida</w:t>
            </w:r>
          </w:p>
        </w:tc>
        <w:tc>
          <w:tcPr>
            <w:tcW w:type="dxa" w:w="674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Conforme a los estados del CDE (5.1).</w:t>
            </w:r>
          </w:p>
        </w:tc>
      </w:tr>
      <w:tr>
        <w:trPr>
          <w:cantSplit/>
        </w:trPr>
        <w:tc>
          <w:tcPr>
            <w:tcW w:type="dxa" w:w="2891"/>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Vínculo al Plan de Usos</w:t>
            </w:r>
          </w:p>
        </w:tc>
        <w:tc>
          <w:tcPr>
            <w:tcW w:type="dxa" w:w="674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Cada contenedor se traza al propósito activo que justifica su producción (2.3).</w:t>
            </w:r>
          </w:p>
        </w:tc>
      </w:tr>
    </w:tbl>
    <w:p>
      <w:pPr>
        <w:spacing w:after="140"/>
      </w:pPr>
    </w:p>
    <w:p>
      <w:pPr>
        <w:pStyle w:val="Heading2"/>
        <w:keepNext/>
      </w:pPr>
      <w:r>
        <w:t xml:space="preserve">6.3 Producción por tirón (pull)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6F4F1" w:color="auto" w:val="clear"/>
            <w:tcMar>
              <w:top w:type="dxa" w:w="90"/>
              <w:left w:type="dxa" w:w="180"/>
              <w:bottom w:type="dxa" w:w="90"/>
              <w:right w:type="dxa" w:w="160"/>
            </w:tcMar>
          </w:tcPr>
          <w:p>
            <w:pPr>
              <w:spacing w:after="50"/>
            </w:pPr>
            <w:r>
              <w:rPr>
                <w:b/>
                <w:bCs/>
                <w:color w:val="1B7F79"/>
                <w:sz w:val="19"/>
                <w:szCs w:val="19"/>
              </w:rPr>
              <w:t xml:space="preserve">Principio Lean: un contenedor existe porque alguien lo necesita</w:t>
            </w:r>
          </w:p>
          <w:p>
            <w:pPr>
              <w:spacing w:after="50" w:line="252"/>
            </w:pPr>
            <w:r>
              <w:rPr>
                <w:sz w:val="18"/>
                <w:szCs w:val="18"/>
              </w:rPr>
              <w:t xml:space="preserve">Un contenedor entra al MIDP cuando responde sí a las cinco preguntas: (1) ¿a qué propósito activo sirve?, (2) ¿quién lo consume?, (3) ¿qué decisión habilita y cuándo se toma?, (4) ¿qué LOIN lo define?, (5) ¿quién lo produce y en qué hito?</w:t>
            </w:r>
          </w:p>
          <w:p>
            <w:pPr>
              <w:spacing w:after="50" w:line="252"/>
            </w:pPr>
            <w:r>
              <w:rPr>
                <w:sz w:val="18"/>
                <w:szCs w:val="18"/>
              </w:rPr>
              <w:t xml:space="preserve">Si alguna pregunta no tiene respuesta, el contenedor no se produce.</w:t>
            </w:r>
          </w:p>
        </w:tc>
      </w:tr>
    </w:tbl>
    <w:p>
      <w:pPr>
        <w:pStyle w:val="Heading1"/>
        <w:keepNext/>
        <w:pageBreakBefore/>
      </w:pPr>
      <w:r>
        <w:t xml:space="preserve">7. Criterios de evaluación de la respuesta (IPP)</w:t>
      </w:r>
    </w:p>
    <w:p>
      <w:pPr>
        <w:spacing w:after="80" w:before="0" w:line="276"/>
      </w:pPr>
      <w:r>
        <w:rPr>
          <w:sz w:val="20"/>
          <w:szCs w:val="20"/>
        </w:rPr>
        <w:t xml:space="preserve">La respuesta de cada equipo a este IPR, formalizada como IPP (≡ BEP), se evalúa según los siguientes criterios.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Criterio</w:t>
            </w:r>
          </w:p>
        </w:tc>
        <w:tc>
          <w:tcPr>
            <w:tcW w:type="dxa" w:w="69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Qué se evalúa</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Capacidad técnica</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Experiencia demostrable en producción de modelos conforme a LOIN por propósito, no solo en modelado geométrico.</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Coherencia del TIDP propuesto</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Cada contenedor propuesto se traza a un propósito de uso declarado en este IPR (6.3).</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Coherencia de la configuración modular</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La configuración del IPP (2.4) activa exactamente los módulos que cada objetivo marcado en 1.1 exige, y deja registrado el motivo de los módulos no activados.</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Infraestructura y formatos</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Capacidad de operar en el CDE del proyecto y de entregar en formatos abiertos (IFC, BCF, IDS) según la sección 5.</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Gobernanza y gestión de calidad</w:t>
            </w:r>
          </w:p>
        </w:tc>
        <w:tc>
          <w:tcPr>
            <w:tcW w:type="dxa" w:w="69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7"/>
                <w:szCs w:val="17"/>
              </w:rPr>
              <w:t xml:space="preserve">Procesos de auditoría de modelos, verificación y validación, y reporte temprano de desviaciones (3.3, 4.5).</w:t>
            </w:r>
          </w:p>
        </w:tc>
      </w:tr>
      <w:tr>
        <w:trPr>
          <w:cantSplit/>
        </w:trPr>
        <w:tc>
          <w:tcPr>
            <w:tcW w:type="dxa" w:w="2698"/>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7"/>
                <w:szCs w:val="17"/>
              </w:rPr>
              <w:t xml:space="preserve">Alineación cultural con IPD/Lean</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7"/>
                <w:szCs w:val="17"/>
              </w:rPr>
              <w:t xml:space="preserve">Evidencia de mejora continua, gestión del conocimiento y trabajo colaborativo en proyectos previos.</w:t>
            </w:r>
          </w:p>
        </w:tc>
      </w:tr>
    </w:tbl>
    <w:p>
      <w:pPr>
        <w:spacing w:after="140"/>
      </w:pPr>
    </w:p>
    <w:p>
      <w:pPr>
        <w:pStyle w:val="Heading2"/>
        <w:keepNext/>
      </w:pPr>
      <w:r>
        <w:t xml:space="preserve">7.1 Requisitos comerciales asociados</w:t>
      </w:r>
    </w:p>
    <w:p>
      <w:pPr>
        <w:spacing w:after="120" w:before="0" w:line="276"/>
      </w:pPr>
      <w:r>
        <w:rPr>
          <w:sz w:val="20"/>
          <w:szCs w:val="20"/>
        </w:rPr>
        <w:t xml:space="preserve">Los criterios comerciales (honorarios, plazos, garantías) se especifican en el documento contractual correspondiente; este IPR se limita a requisitos de información.</w:t>
      </w:r>
    </w:p>
    <w:p>
      <w:pPr>
        <w:pStyle w:val="Heading1"/>
        <w:keepNext/>
        <w:pageBreakBefore/>
      </w:pPr>
      <w:r>
        <w:t xml:space="preserve">8. Requisitos de entrega integrados al 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90"/>
              <w:left w:type="dxa" w:w="180"/>
              <w:bottom w:type="dxa" w:w="90"/>
              <w:right w:type="dxa" w:w="160"/>
            </w:tcMar>
          </w:tcPr>
          <w:p>
            <w:pPr>
              <w:spacing w:after="50"/>
            </w:pPr>
            <w:r>
              <w:rPr>
                <w:b/>
                <w:bCs/>
                <w:color w:val="C98A00"/>
                <w:sz w:val="19"/>
                <w:szCs w:val="19"/>
              </w:rPr>
              <w:t xml:space="preserve">Estado normativo</w:t>
            </w:r>
          </w:p>
          <w:p>
            <w:pPr>
              <w:spacing w:after="50" w:line="252"/>
            </w:pPr>
            <w:r>
              <w:rPr>
                <w:sz w:val="18"/>
                <w:szCs w:val="18"/>
              </w:rPr>
              <w:t xml:space="preserve">Bajo la norma vigente (ISO 19650-2/-3) el modelo de información de diseño (PIM) se entrega al cliente al final del proyecto como traspaso hacia un AIM operado por separado. El DIS 2026 propone que el AIM sea el repositorio continuo desde el día uno, sin “data drops” discontinuos. Este IPR adopta ese principio como dirección de trabajo; el mecanismo contractual de entrega formal sigue el marco vigente hasta la publicación definitiva de la revisión.</w:t>
            </w:r>
          </w:p>
        </w:tc>
      </w:tr>
    </w:tbl>
    <w:p>
      <w:pPr>
        <w:spacing w:after="100"/>
      </w:pPr>
    </w:p>
    <w:p>
      <w:pPr>
        <w:pStyle w:val="Heading2"/>
        <w:keepNext/>
      </w:pPr>
      <w:r>
        <w:t xml:space="preserve">8.1 Principio aplicado</w:t>
      </w:r>
    </w:p>
    <w:p>
      <w:pPr>
        <w:pStyle w:val="ListParagraph"/>
        <w:numPr>
          <w:ilvl w:val="0"/>
          <w:numId w:val="2"/>
        </w:numPr>
        <w:spacing w:after="60" w:line="264"/>
      </w:pPr>
      <w:r>
        <w:rPr>
          <w:sz w:val="20"/>
          <w:szCs w:val="20"/>
        </w:rPr>
        <w:t xml:space="preserve">La estructura de datos, la clasificación y la nomenclatura de los Anexos A–E son directamente consumibles por el AIM, sin recaptura manual al final.</w:t>
      </w:r>
    </w:p>
    <w:p>
      <w:pPr>
        <w:pStyle w:val="ListParagraph"/>
        <w:numPr>
          <w:ilvl w:val="0"/>
          <w:numId w:val="2"/>
        </w:numPr>
        <w:spacing w:after="60" w:line="264"/>
      </w:pPr>
      <w:r>
        <w:rPr>
          <w:sz w:val="20"/>
          <w:szCs w:val="20"/>
        </w:rPr>
        <w:t xml:space="preserve">Las propiedades de metrado y de espacios usan el mismo estándar de identificación que usará el sistema de gestión de activos del cliente.</w:t>
      </w:r>
    </w:p>
    <w:p>
      <w:pPr>
        <w:pStyle w:val="ListParagraph"/>
        <w:numPr>
          <w:ilvl w:val="0"/>
          <w:numId w:val="2"/>
        </w:numPr>
        <w:spacing w:after="60" w:line="264"/>
      </w:pPr>
      <w:r>
        <w:rPr>
          <w:sz w:val="20"/>
          <w:szCs w:val="20"/>
        </w:rPr>
        <w:t xml:space="preserve">La documentación de soporte (pilar 3 del LOIN) se estructura para integrarse al archivo del AIM, no como anexo desconectado del modelo.</w:t>
      </w:r>
    </w:p>
    <w:p>
      <w:pPr>
        <w:pStyle w:val="Heading2"/>
        <w:keepNext/>
      </w:pPr>
      <w:r>
        <w:t xml:space="preserve">8.2 Responsabilidad del Appointing Party</w:t>
      </w:r>
    </w:p>
    <w:p>
      <w:pPr>
        <w:spacing w:after="120" w:before="0" w:line="276"/>
      </w:pPr>
      <w:r>
        <w:rPr>
          <w:sz w:val="20"/>
          <w:szCs w:val="20"/>
        </w:rPr>
        <w:t xml:space="preserve">El cliente declara desde la primera versión de este IPR sus requisitos de información operativa y de negocio, no solo geométricos, para que el equipo estructure los datos desde el origen. Si se marcan O6 u O7, el cliente entrega con el IPR:</w:t>
      </w:r>
    </w:p>
    <w:p>
      <w:pPr>
        <w:pStyle w:val="ListParagraph"/>
        <w:numPr>
          <w:ilvl w:val="0"/>
          <w:numId w:val="2"/>
        </w:numPr>
        <w:spacing w:after="60" w:line="264"/>
      </w:pPr>
      <w:r>
        <w:rPr>
          <w:sz w:val="20"/>
          <w:szCs w:val="20"/>
        </w:rPr>
        <w:t xml:space="preserve">El esquema de identificación de activos y espacios de su sistema de gestión (CMMS / CAFM).</w:t>
      </w:r>
    </w:p>
    <w:p>
      <w:pPr>
        <w:pStyle w:val="ListParagraph"/>
        <w:numPr>
          <w:ilvl w:val="0"/>
          <w:numId w:val="2"/>
        </w:numPr>
        <w:spacing w:after="60" w:line="264"/>
      </w:pPr>
      <w:r>
        <w:rPr>
          <w:sz w:val="20"/>
          <w:szCs w:val="20"/>
        </w:rPr>
        <w:t xml:space="preserve">El listado de sistemas y tipos de activo que desea gestionar, con los atributos requeridos por sistema (AIR).</w:t>
      </w:r>
    </w:p>
    <w:p>
      <w:pPr>
        <w:pStyle w:val="ListParagraph"/>
        <w:numPr>
          <w:ilvl w:val="0"/>
          <w:numId w:val="2"/>
        </w:numPr>
        <w:spacing w:after="60" w:line="264"/>
      </w:pPr>
      <w:r>
        <w:rPr>
          <w:sz w:val="20"/>
          <w:szCs w:val="20"/>
        </w:rPr>
        <w:t xml:space="preserve">El hito de primera entrega de datos de activos y el formato de recepción.</w:t>
      </w:r>
    </w:p>
    <w:p>
      <w:pPr>
        <w:pStyle w:val="ListParagraph"/>
        <w:numPr>
          <w:ilvl w:val="0"/>
          <w:numId w:val="2"/>
        </w:numPr>
        <w:spacing w:after="60" w:line="264"/>
      </w:pPr>
      <w:r>
        <w:rPr>
          <w:sz w:val="20"/>
          <w:szCs w:val="20"/>
        </w:rPr>
        <w:t xml:space="preserve">El propietario de cada dato de operación y la fuente de datos en tiempo real, si aplica O7.</w:t>
      </w:r>
    </w:p>
    <w:p>
      <w:pPr>
        <w:pStyle w:val="Heading2"/>
        <w:keepNext/>
      </w:pPr>
      <w:r>
        <w:t xml:space="preserve">8.3 Criterio de inclusión de activos</w:t>
      </w:r>
    </w:p>
    <w:p>
      <w:pPr>
        <w:spacing w:after="120" w:before="0" w:line="276"/>
      </w:pPr>
      <w:r>
        <w:rPr>
          <w:sz w:val="20"/>
          <w:szCs w:val="20"/>
        </w:rPr>
        <w:t xml:space="preserve">Un activo entra al AIM cuando cumple las tres condiciones: lo mantiene o controla el operador, tiene un atributo necesario para su gestión y existe un proceso de operación que lo consume. Los atributos se capturan en el momento en que se conocen (diseño, proveedor, obra) y no al cierre.</w:t>
      </w:r>
    </w:p>
    <w:p>
      <w:pPr>
        <w:sectPr>
          <w:headerReference w:type="default" r:id="rId7"/>
          <w:footerReference w:type="default" r:id="rId8"/>
          <w:pgSz w:w="11906" w:h="16838" w:orient="portrait"/>
          <w:pgMar w:top="1304" w:right="1134" w:bottom="1134" w:left="1134" w:header="567" w:footer="510" w:gutter="0"/>
          <w:pgNumType/>
          <w:docGrid w:linePitch="360"/>
        </w:sectPr>
      </w:pPr>
    </w:p>
    <w:p>
      <w:pPr>
        <w:pStyle w:val="Heading1"/>
        <w:keepNext/>
        <w:pageBreakBefore/>
      </w:pPr>
      <w:r>
        <w:t xml:space="preserve">ANEXO A — MATRIZ LOIN DE ARQUITECTURA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none" w:color="FFFFFF" w:sz="0"/>
              <w:left w:val="single" w:color="2E75B6" w:sz="24"/>
              <w:bottom w:val="none" w:color="FFFFFF" w:sz="0"/>
              <w:right w:val="none" w:color="FFFFFF" w:sz="0"/>
            </w:tcBorders>
            <w:shd w:fill="EAF2FA" w:color="auto" w:val="clear"/>
            <w:tcMar>
              <w:top w:type="dxa" w:w="90"/>
              <w:left w:type="dxa" w:w="180"/>
              <w:bottom w:type="dxa" w:w="90"/>
              <w:right w:type="dxa" w:w="160"/>
            </w:tcMar>
          </w:tcPr>
          <w:p>
            <w:pPr>
              <w:spacing w:after="50"/>
            </w:pPr>
            <w:r>
              <w:rPr>
                <w:b/>
                <w:bCs/>
                <w:color w:val="2E75B6"/>
                <w:sz w:val="19"/>
                <w:szCs w:val="19"/>
              </w:rPr>
              <w:t xml:space="preserve">Cómo leer las matrices</w:t>
            </w:r>
          </w:p>
          <w:p>
            <w:pPr>
              <w:spacing w:after="50" w:line="252"/>
            </w:pPr>
            <w:r>
              <w:rPr>
                <w:b/>
                <w:bCs/>
                <w:sz w:val="18"/>
                <w:szCs w:val="18"/>
              </w:rPr>
              <w:t xml:space="preserve">P1</w:t>
            </w:r>
            <w:r>
              <w:rPr>
                <w:sz w:val="18"/>
                <w:szCs w:val="18"/>
              </w:rPr>
              <w:t xml:space="preserve"> = análisis de interferencias · </w:t>
            </w:r>
            <w:r>
              <w:rPr>
                <w:b/>
                <w:bCs/>
                <w:sz w:val="18"/>
                <w:szCs w:val="18"/>
              </w:rPr>
              <w:t xml:space="preserve">P2</w:t>
            </w:r>
            <w:r>
              <w:rPr>
                <w:sz w:val="18"/>
                <w:szCs w:val="18"/>
              </w:rPr>
              <w:t xml:space="preserve"> = metrados. </w:t>
            </w:r>
            <w:r>
              <w:rPr>
                <w:b/>
                <w:bCs/>
                <w:sz w:val="18"/>
                <w:szCs w:val="18"/>
              </w:rPr>
              <w:t xml:space="preserve">Hito</w:t>
            </w:r>
            <w:r>
              <w:rPr>
                <w:sz w:val="18"/>
                <w:szCs w:val="18"/>
              </w:rPr>
              <w:t xml:space="preserve"> = primer hito en que el contenedor se entrega (6.1). “No aplicable” es una respuesta deliberada que previene la sobreproducción.</w:t>
            </w:r>
          </w:p>
          <w:p>
            <w:pPr>
              <w:spacing w:after="50" w:line="252"/>
            </w:pPr>
            <w:r>
              <w:rPr>
                <w:sz w:val="18"/>
                <w:szCs w:val="18"/>
              </w:rPr>
              <w:t xml:space="preserve">Cada fila de P2 se acompaña de las propiedades de metrado del Anexo D.</w:t>
            </w:r>
          </w:p>
        </w:tc>
      </w:tr>
    </w:tbl>
    <w:p>
      <w:pPr>
        <w:spacing w:after="120"/>
      </w:pPr>
    </w:p>
    <w:p>
      <w:pPr>
        <w:pStyle w:val="Heading2"/>
        <w:keepNext/>
      </w:pPr>
      <w:r>
        <w:t xml:space="preserve">A-1 Arquitectura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39"/>
        <w:gridCol w:w="728"/>
        <w:gridCol w:w="1748"/>
        <w:gridCol w:w="874"/>
        <w:gridCol w:w="1457"/>
        <w:gridCol w:w="1311"/>
        <w:gridCol w:w="1457"/>
        <w:gridCol w:w="2914"/>
        <w:gridCol w:w="1165"/>
        <w:gridCol w:w="877"/>
      </w:tblGrid>
      <w:tr>
        <w:trPr>
          <w:cantSplit/>
          <w:tblHeader/>
        </w:trPr>
        <w:tc>
          <w:tcPr>
            <w:tcW w:type="dxa" w:w="203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Grupo de objetos</w:t>
            </w:r>
          </w:p>
        </w:tc>
        <w:tc>
          <w:tcPr>
            <w:tcW w:type="dxa" w:w="7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Prop.</w:t>
            </w:r>
          </w:p>
        </w:tc>
        <w:tc>
          <w:tcPr>
            <w:tcW w:type="dxa" w:w="174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Detalle</w:t>
            </w:r>
          </w:p>
        </w:tc>
        <w:tc>
          <w:tcPr>
            <w:tcW w:type="dxa" w:w="87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Dimens.</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Ubicación</w:t>
            </w:r>
          </w:p>
        </w:tc>
        <w:tc>
          <w:tcPr>
            <w:tcW w:type="dxa" w:w="131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Apariencia</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Compor-tamiento paramétrico</w:t>
            </w:r>
          </w:p>
        </w:tc>
        <w:tc>
          <w:tcPr>
            <w:tcW w:type="dxa" w:w="291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Alfanumérica (identificación + propiedades)</w:t>
            </w:r>
          </w:p>
        </w:tc>
        <w:tc>
          <w:tcPr>
            <w:tcW w:type="dxa" w:w="11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Documentación</w:t>
            </w:r>
          </w:p>
        </w:tc>
        <w:tc>
          <w:tcPr>
            <w:tcW w:type="dxa" w:w="87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Hito</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Muros, tabiques y particiones móviles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Simplificado (volumétrico, incluye vanos)</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(sistema de coordenadas)</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Paramétrico básico (ajustable)</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nombre,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espesor, clasificación; área neta, área de vanos, volumen</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Puertas, ventanas y mamparas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Marco, panel y volumen de apertura (giro de hojas)</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Relativa (al muro contenedor)</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Paramétrico básico (según muro)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ancho y alto nominal; código comercial para conteo automático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Pisos, cielos rasos y falsos cielos rasos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Espesor real de la capa de acabado (crítico para espacios libres con MEP)</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(cota)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Área superior/inferior, perímetro; código de especificación del material</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Solaqueos, tarrajeos y revoques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No se modelan</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Parámetro asignado al muro/losa base (p. ej. “tarrajeo ambas caras”); vinculado a tabla de metrados o especificación</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Especificación técnica</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Carp. metálica, melamine, coberturas, aleros, celosías, coberturas tensionadas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Moderado o envolvente (outer shell); bounding box en melamine si solo se evita choque de espacio</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Dimensiones generales, área proyectada; tipo y peso estimado (carp. metálica)</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Luminarias (coordinación de arquitectura)</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Simplificado (caja contenedora)</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o relativa exacta frente a cielo raso y vigas</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código de fabricante; conteo unitario en tabla</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bl>
    <w:p>
      <w:pPr>
        <w:spacing w:after="200"/>
      </w:pPr>
    </w:p>
    <w:p>
      <w:pPr>
        <w:sectPr>
          <w:headerReference w:type="default" r:id="rId9"/>
          <w:footerReference w:type="default" r:id="rId10"/>
          <w:pgSz w:w="16838" w:h="11906" w:orient="landscape"/>
          <w:pgMar w:top="1304" w:right="1134" w:bottom="1134" w:left="1134" w:header="567" w:footer="510" w:gutter="0"/>
          <w:pgNumType/>
          <w:docGrid w:linePitch="360"/>
        </w:sectPr>
      </w:pPr>
    </w:p>
    <w:p>
      <w:pPr>
        <w:pStyle w:val="Heading1"/>
        <w:keepNext/>
        <w:pageBreakBefore/>
      </w:pPr>
      <w:r>
        <w:t xml:space="preserve">ANEXO B — MATRIZ LOIN DE ESTRUCTURAS</w:t>
      </w:r>
    </w:p>
    <w:p>
      <w:pPr>
        <w:pStyle w:val="Heading2"/>
        <w:keepNext/>
      </w:pPr>
      <w:r>
        <w:t xml:space="preserve">B-1 Estructuras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none" w:color="FFFFFF" w:sz="0"/>
              <w:left w:val="single" w:color="2E75B6" w:sz="24"/>
              <w:bottom w:val="none" w:color="FFFFFF" w:sz="0"/>
              <w:right w:val="none" w:color="FFFFFF" w:sz="0"/>
            </w:tcBorders>
            <w:shd w:fill="EAF2FA" w:color="auto" w:val="clear"/>
            <w:tcMar>
              <w:top w:type="dxa" w:w="90"/>
              <w:left w:type="dxa" w:w="180"/>
              <w:bottom w:type="dxa" w:w="90"/>
              <w:right w:type="dxa" w:w="160"/>
            </w:tcMar>
          </w:tcPr>
          <w:p>
            <w:pPr>
              <w:spacing w:after="50"/>
            </w:pPr>
            <w:r>
              <w:rPr>
                <w:b/>
                <w:bCs/>
                <w:color w:val="2E75B6"/>
                <w:sz w:val="19"/>
                <w:szCs w:val="19"/>
              </w:rPr>
              <w:t xml:space="preserve">Diferencia clave frente a Arquitectura</w:t>
            </w:r>
          </w:p>
          <w:p>
            <w:pPr>
              <w:spacing w:after="50" w:line="252"/>
            </w:pPr>
            <w:r>
              <w:rPr>
                <w:sz w:val="18"/>
                <w:szCs w:val="18"/>
              </w:rPr>
              <w:t xml:space="preserve">En estructuras, “detalle simplificado” no significa geometría aproximada: significa la </w:t>
            </w:r>
            <w:r>
              <w:rPr>
                <w:b/>
                <w:bCs/>
                <w:sz w:val="18"/>
                <w:szCs w:val="18"/>
              </w:rPr>
              <w:t xml:space="preserve">sección real del elemento sin el detalle de armado interno</w:t>
            </w:r>
            <w:r>
              <w:rPr>
                <w:sz w:val="18"/>
                <w:szCs w:val="18"/>
              </w:rPr>
              <w:t xml:space="preserve">. La geometría real se exige desde H2 en elementos verticales y horizontales, y desde H3 en cimentación, arriostres y juntas. Lo que se omite es el nivel de fabricación (ganchos, traslapes, estribos).</w:t>
            </w:r>
          </w:p>
        </w:tc>
      </w:tr>
    </w:tbl>
    <w:p>
      <w:pPr>
        <w:spacing w:after="8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39"/>
        <w:gridCol w:w="728"/>
        <w:gridCol w:w="1748"/>
        <w:gridCol w:w="874"/>
        <w:gridCol w:w="1457"/>
        <w:gridCol w:w="1311"/>
        <w:gridCol w:w="1457"/>
        <w:gridCol w:w="2914"/>
        <w:gridCol w:w="1165"/>
        <w:gridCol w:w="877"/>
      </w:tblGrid>
      <w:tr>
        <w:trPr>
          <w:cantSplit/>
          <w:tblHeader/>
        </w:trPr>
        <w:tc>
          <w:tcPr>
            <w:tcW w:type="dxa" w:w="203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Grupo de objetos</w:t>
            </w:r>
          </w:p>
        </w:tc>
        <w:tc>
          <w:tcPr>
            <w:tcW w:type="dxa" w:w="7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Prop.</w:t>
            </w:r>
          </w:p>
        </w:tc>
        <w:tc>
          <w:tcPr>
            <w:tcW w:type="dxa" w:w="174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Detalle</w:t>
            </w:r>
          </w:p>
        </w:tc>
        <w:tc>
          <w:tcPr>
            <w:tcW w:type="dxa" w:w="87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Dimens.</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Ubicación</w:t>
            </w:r>
          </w:p>
        </w:tc>
        <w:tc>
          <w:tcPr>
            <w:tcW w:type="dxa" w:w="131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Apariencia</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Compor-tamiento paramétrico</w:t>
            </w:r>
          </w:p>
        </w:tc>
        <w:tc>
          <w:tcPr>
            <w:tcW w:type="dxa" w:w="291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Alfanumérica (identificación + propiedades)</w:t>
            </w:r>
          </w:p>
        </w:tc>
        <w:tc>
          <w:tcPr>
            <w:tcW w:type="dxa" w:w="11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Documentación</w:t>
            </w:r>
          </w:p>
        </w:tc>
        <w:tc>
          <w:tcPr>
            <w:tcW w:type="dxa" w:w="87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Hito</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Elementos verticales (columnas, placas, muros de corte)</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Real (no bounding box): alto riesgo de interferencia con MEP</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(coordenadas y ejes estructurales)</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 (sección editable por parámetros de forma)</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Sección, resistencia de diseño (f’c o equivalente), cuantía de acero si aplica; volumen de concreto, área de encofrado, peso de acero estimado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Memoria de cálculo preliminar (referencia)</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Elementos horizontales (vigas, losas, viguetas)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Espesor y peralte reales (crítico para espacios libres con ductos y bandejas)</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relativa a ejes de apoyo</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de losa/sistema, espesor, luz libre; volumen de concreto, área de encofrado, metrado de acero por elemento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Cimentación (zapatas, plateas, vigas de cimentación)</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Profundidad y volumen reales (coordinar con instalaciones enterradas y cisternas)</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referida al NPT del proyecto</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de cimentación, capacidad portante de diseño; volumen de excavación y concreto, área de solado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Arriostres y contravientos (diagonales, X de acero)</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Simplificado tipo perfil (línea con sección extruida)</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 (línea con sección extruida)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Relativa al pórtico que arriostran</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de perfil</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de perfil, longitud, peso lineal; peso total por tipo para metrado de acero estructural</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Juntas de dilatación / sísmicas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Ancho de junta (verificar que nadie la invada)</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2D/3D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Ancho de junta, tipo de sello; longitud total por tipo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Detalles de refuerzo y armado (ganchos, empalmes, estribos)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 en esta fase</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No se modela armado en 3D</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Se resuelve por planilla de acero y especificación</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Planillas de acero</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H4</w:t>
            </w:r>
          </w:p>
        </w:tc>
      </w:tr>
    </w:tbl>
    <w:p>
      <w:pPr>
        <w:spacing w:after="200"/>
      </w:pPr>
    </w:p>
    <w:p>
      <w:pPr>
        <w:sectPr>
          <w:headerReference w:type="default" r:id="rId11"/>
          <w:footerReference w:type="default" r:id="rId12"/>
          <w:pgSz w:w="16838" w:h="11906" w:orient="landscape"/>
          <w:pgMar w:top="1304" w:right="1134" w:bottom="1134" w:left="1134" w:header="567" w:footer="510" w:gutter="0"/>
          <w:pgNumType/>
          <w:docGrid w:linePitch="360"/>
        </w:sectPr>
      </w:pPr>
    </w:p>
    <w:p>
      <w:pPr>
        <w:pStyle w:val="Heading1"/>
        <w:keepNext/>
        <w:pageBreakBefore/>
      </w:pPr>
      <w:r>
        <w:t xml:space="preserve">ANEXO C — MATRIZ LOIN DE MEP</w:t>
      </w:r>
    </w:p>
    <w:p>
      <w:pPr>
        <w:pStyle w:val="Heading2"/>
        <w:keepNext/>
      </w:pPr>
      <w:r>
        <w:t xml:space="preserve">C-1 MEP (Mecánico, Eléctrico, Sanitario)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none" w:color="FFFFFF" w:sz="0"/>
              <w:left w:val="single" w:color="2E75B6" w:sz="24"/>
              <w:bottom w:val="none" w:color="FFFFFF" w:sz="0"/>
              <w:right w:val="none" w:color="FFFFFF" w:sz="0"/>
            </w:tcBorders>
            <w:shd w:fill="EAF2FA" w:color="auto" w:val="clear"/>
            <w:tcMar>
              <w:top w:type="dxa" w:w="90"/>
              <w:left w:type="dxa" w:w="180"/>
              <w:bottom w:type="dxa" w:w="90"/>
              <w:right w:type="dxa" w:w="160"/>
            </w:tcMar>
          </w:tcPr>
          <w:p>
            <w:pPr>
              <w:spacing w:after="50"/>
            </w:pPr>
            <w:r>
              <w:rPr>
                <w:b/>
                <w:bCs/>
                <w:color w:val="2E75B6"/>
                <w:sz w:val="19"/>
                <w:szCs w:val="19"/>
              </w:rPr>
              <w:t xml:space="preserve">Regla clave</w:t>
            </w:r>
          </w:p>
          <w:p>
            <w:pPr>
              <w:spacing w:after="50" w:line="252"/>
            </w:pPr>
            <w:r>
              <w:rPr>
                <w:sz w:val="18"/>
                <w:szCs w:val="18"/>
              </w:rPr>
              <w:t xml:space="preserve">La sección o diámetro exterior real </w:t>
            </w:r>
            <w:r>
              <w:rPr>
                <w:b/>
                <w:bCs/>
                <w:sz w:val="18"/>
                <w:szCs w:val="18"/>
              </w:rPr>
              <w:t xml:space="preserve">incluyendo aislamiento</w:t>
            </w:r>
            <w:r>
              <w:rPr>
                <w:sz w:val="18"/>
                <w:szCs w:val="18"/>
              </w:rPr>
              <w:t xml:space="preserve"> es obligatoria desde el clash temprano: representar ductos o tuberías sin su volumen real produce falsos negativos. El aislamiento </w:t>
            </w:r>
            <w:r>
              <w:rPr>
                <w:b/>
                <w:bCs/>
                <w:sz w:val="18"/>
                <w:szCs w:val="18"/>
              </w:rPr>
              <w:t xml:space="preserve">no es un objeto independiente</w:t>
            </w:r>
            <w:r>
              <w:rPr>
                <w:sz w:val="18"/>
                <w:szCs w:val="18"/>
              </w:rPr>
              <w:t xml:space="preserve">: se incorpora a la sección exterior y su espesor/tipo se documenta como propiedad del elemento base.</w:t>
            </w:r>
          </w:p>
        </w:tc>
      </w:tr>
    </w:tbl>
    <w:p>
      <w:pPr>
        <w:spacing w:after="8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39"/>
        <w:gridCol w:w="728"/>
        <w:gridCol w:w="1748"/>
        <w:gridCol w:w="874"/>
        <w:gridCol w:w="1457"/>
        <w:gridCol w:w="1311"/>
        <w:gridCol w:w="1457"/>
        <w:gridCol w:w="2914"/>
        <w:gridCol w:w="1165"/>
        <w:gridCol w:w="877"/>
      </w:tblGrid>
      <w:tr>
        <w:trPr>
          <w:cantSplit/>
          <w:tblHeader/>
        </w:trPr>
        <w:tc>
          <w:tcPr>
            <w:tcW w:type="dxa" w:w="203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Grupo de objetos</w:t>
            </w:r>
          </w:p>
        </w:tc>
        <w:tc>
          <w:tcPr>
            <w:tcW w:type="dxa" w:w="7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Prop.</w:t>
            </w:r>
          </w:p>
        </w:tc>
        <w:tc>
          <w:tcPr>
            <w:tcW w:type="dxa" w:w="174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Detalle</w:t>
            </w:r>
          </w:p>
        </w:tc>
        <w:tc>
          <w:tcPr>
            <w:tcW w:type="dxa" w:w="87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Dimens.</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Ubicación</w:t>
            </w:r>
          </w:p>
        </w:tc>
        <w:tc>
          <w:tcPr>
            <w:tcW w:type="dxa" w:w="131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Apariencia</w:t>
            </w:r>
          </w:p>
        </w:tc>
        <w:tc>
          <w:tcPr>
            <w:tcW w:type="dxa" w:w="14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Compor-tamiento paramétrico</w:t>
            </w:r>
          </w:p>
        </w:tc>
        <w:tc>
          <w:tcPr>
            <w:tcW w:type="dxa" w:w="291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Alfanumérica (identificación + propiedades)</w:t>
            </w:r>
          </w:p>
        </w:tc>
        <w:tc>
          <w:tcPr>
            <w:tcW w:type="dxa" w:w="11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Documentación</w:t>
            </w:r>
          </w:p>
        </w:tc>
        <w:tc>
          <w:tcPr>
            <w:tcW w:type="dxa" w:w="87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3"/>
                <w:szCs w:val="13"/>
              </w:rPr>
              <w:t xml:space="preserve">Hito</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Ductos de climatización (HVAC) — tramos rectos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Sección real (rectangular o circular) y aislamiento si aplica</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y relativa a cielo raso/estructura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 (color por sistema, P1-7)</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sistema,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Sección, material, tipo de aislamiento; longitud desarrollada por sección equivalente; área de lámina</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Accesorios de ductos (codos, reducciones, difusores, rejillas)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Geometría real del accesorio, no genérica (cambios de sección = punto crítico de choque)</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Relativa al tramo que conectan</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dimensión nominal; conteo unitario por tipo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Tuberías de agua, desagüe y contra incendio</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Diámetro exterior real (incluye aislamiento térmico si aplica)</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pendiente relativa en desagüe por gravedad</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 (color por sistema)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sistema,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Diámetro nominal, material, presión de diseño (agua/CI); longitud desarrollada por diámetro y material</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Bandejas y canalizaciones eléctricas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Sección real de bandeja (alto volumen; compite por espacio en cielo raso)</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Relativa a la trayectoria general de cielo raso</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 (color por sistema)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Constructivo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clasificación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H2</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y dimensión de bandeja, material; longitud desarrollada por tipo de sección</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Tableros eléctricos, equipos y unidades (UMAs, bombas)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Geometría real del equipo incluyendo espacio de mantenimiento/servicio (clearance operativo)</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 código de especificación</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capacidad/potencia, código de especificación técnica; conteo por tipo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Fichas técnicas (H4)</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Puntos terminales (tomacorrientes, luminarias, sensores, rociadores)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Simplificado (caja contenedora): validar que no choquen con cielo raso, vigas o mobiliario empotrado</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3D</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Absoluta o relativa exacta</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Simbólica</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Explícito</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Identificación: tipo</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H3</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Hereda de P1: no se pide geometría adicional</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Tipo, código de fabricante o especificación; conteo por tipo</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H2–H4</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r>
              <w:rPr>
                <w:b/>
                <w:bCs/>
                <w:sz w:val="13"/>
                <w:szCs w:val="13"/>
              </w:rPr>
              <w:t xml:space="preserve">Aislamiento térmico y acústico de tuberías y ductos</w:t>
            </w:r>
          </w:p>
        </w:tc>
        <w:tc>
          <w:tcPr>
            <w:tcW w:type="dxa" w:w="7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P1</w:t>
            </w:r>
          </w:p>
        </w:tc>
        <w:tc>
          <w:tcPr>
            <w:tcW w:type="dxa" w:w="17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 como objeto independiente: se resuelve en la sección exterior del elemento base</w:t>
            </w:r>
          </w:p>
        </w:tc>
        <w:tc>
          <w:tcPr>
            <w:tcW w:type="dxa" w:w="87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3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4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29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No aplicable</w:t>
            </w:r>
          </w:p>
        </w:tc>
        <w:tc>
          <w:tcPr>
            <w:tcW w:type="dxa" w:w="116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8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3"/>
                <w:szCs w:val="13"/>
              </w:rPr>
              <w:t xml:space="preserve">—</w:t>
            </w:r>
          </w:p>
        </w:tc>
      </w:tr>
      <w:tr>
        <w:trPr>
          <w:cantSplit/>
        </w:trPr>
        <w:tc>
          <w:tcPr>
            <w:tcW w:type="dxa" w:w="2039"/>
            <w:tcBorders>
              <w:top w:val="single" w:color="BFBFBF" w:sz="4"/>
              <w:left w:val="single" w:color="BFBFBF" w:sz="4"/>
              <w:bottom w:val="single" w:color="BFBFBF" w:sz="4"/>
              <w:right w:val="single" w:color="BFBFBF" w:sz="4"/>
            </w:tcBorders>
            <w:shd w:fill="D6E4F0" w:color="auto" w:val="clear"/>
            <w:tcMar>
              <w:top w:type="dxa" w:w="50"/>
              <w:left w:type="dxa" w:w="90"/>
              <w:bottom w:type="dxa" w:w="50"/>
              <w:right w:type="dxa" w:w="90"/>
            </w:tcMar>
            <w:vAlign w:val="top"/>
          </w:tcPr>
          <w:p>
            <w:pPr>
              <w:spacing w:after="20" w:before="20" w:line="240"/>
            </w:pPr>
          </w:p>
        </w:tc>
        <w:tc>
          <w:tcPr>
            <w:tcW w:type="dxa" w:w="72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P2</w:t>
            </w:r>
          </w:p>
        </w:tc>
        <w:tc>
          <w:tcPr>
            <w:tcW w:type="dxa" w:w="174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Se resuelve por propiedad del elemento base</w:t>
            </w:r>
          </w:p>
        </w:tc>
        <w:tc>
          <w:tcPr>
            <w:tcW w:type="dxa" w:w="8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145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w:t>
            </w:r>
          </w:p>
        </w:tc>
        <w:tc>
          <w:tcPr>
            <w:tcW w:type="dxa" w:w="29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Espesor y tipo de aislamiento como propiedad; área de aislamiento por metro lineal</w:t>
            </w:r>
          </w:p>
        </w:tc>
        <w:tc>
          <w:tcPr>
            <w:tcW w:type="dxa" w:w="116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Especificación de aislamiento</w:t>
            </w:r>
          </w:p>
        </w:tc>
        <w:tc>
          <w:tcPr>
            <w:tcW w:type="dxa" w:w="8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3"/>
                <w:szCs w:val="13"/>
              </w:rPr>
              <w:t xml:space="preserve">H4</w:t>
            </w:r>
          </w:p>
        </w:tc>
      </w:tr>
    </w:tbl>
    <w:p>
      <w:pPr>
        <w:spacing w:after="12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none" w:color="FFFFFF" w:sz="0"/>
              <w:left w:val="single" w:color="1B7F79" w:sz="24"/>
              <w:bottom w:val="none" w:color="FFFFFF" w:sz="0"/>
              <w:right w:val="none" w:color="FFFFFF" w:sz="0"/>
            </w:tcBorders>
            <w:shd w:fill="E6F4F1" w:color="auto" w:val="clear"/>
            <w:tcMar>
              <w:top w:type="dxa" w:w="90"/>
              <w:left w:type="dxa" w:w="180"/>
              <w:bottom w:type="dxa" w:w="90"/>
              <w:right w:type="dxa" w:w="160"/>
            </w:tcMar>
          </w:tcPr>
          <w:p>
            <w:pPr>
              <w:spacing w:after="50"/>
            </w:pPr>
            <w:r>
              <w:rPr>
                <w:b/>
                <w:bCs/>
                <w:color w:val="1B7F79"/>
                <w:sz w:val="19"/>
                <w:szCs w:val="19"/>
              </w:rPr>
              <w:t xml:space="preserve">Sincronización entre disciplinas</w:t>
            </w:r>
          </w:p>
          <w:p>
            <w:pPr>
              <w:spacing w:after="50" w:line="252"/>
            </w:pPr>
            <w:r>
              <w:rPr>
                <w:sz w:val="18"/>
                <w:szCs w:val="18"/>
              </w:rPr>
              <w:t xml:space="preserve">Los elementos MEP se coordinan contra Arquitectura y Estructuras </w:t>
            </w:r>
            <w:r>
              <w:rPr>
                <w:b/>
                <w:bCs/>
                <w:sz w:val="18"/>
                <w:szCs w:val="18"/>
              </w:rPr>
              <w:t xml:space="preserve">en el mismo hito</w:t>
            </w:r>
            <w:r>
              <w:rPr>
                <w:sz w:val="18"/>
                <w:szCs w:val="18"/>
              </w:rPr>
              <w:t xml:space="preserve">: el clash se ejecuta sobre el modelo federado, no sobre modelos aislados. Es responsabilidad del Lead Appointed Party que los tres bloques se entreguen sincronizados al CDE.</w:t>
            </w:r>
          </w:p>
        </w:tc>
      </w:tr>
    </w:tbl>
    <w:p>
      <w:pPr>
        <w:spacing w:after="100"/>
      </w:pPr>
    </w:p>
    <w:p>
      <w:pPr>
        <w:sectPr>
          <w:headerReference w:type="default" r:id="rId13"/>
          <w:footerReference w:type="default" r:id="rId14"/>
          <w:pgSz w:w="16838" w:h="11906" w:orient="landscape"/>
          <w:pgMar w:top="1304" w:right="1134" w:bottom="1134" w:left="1134" w:header="567" w:footer="510" w:gutter="0"/>
          <w:pgNumType/>
          <w:docGrid w:linePitch="360"/>
        </w:sectPr>
      </w:pPr>
    </w:p>
    <w:p>
      <w:pPr>
        <w:pStyle w:val="Heading1"/>
        <w:keepNext/>
        <w:pageBreakBefore/>
      </w:pPr>
      <w:r>
        <w:t xml:space="preserve">ANEXO D — REQUISITOS DE CUANTIFICACIÓN (P2)</w:t>
      </w:r>
    </w:p>
    <w:p>
      <w:pPr>
        <w:spacing w:after="120" w:before="0" w:line="276"/>
      </w:pPr>
      <w:r>
        <w:rPr>
          <w:sz w:val="20"/>
          <w:szCs w:val="20"/>
        </w:rPr>
        <w:t xml:space="preserve">El cliente exige que las cantidades se extraigan del modelo desde propiedades curadas. Este anexo fija los elementos cuantificables, su unidad y los parámetros que cada elemento lleva.</w:t>
      </w:r>
    </w:p>
    <w:p>
      <w:pPr>
        <w:pStyle w:val="Heading2"/>
        <w:keepNext/>
      </w:pPr>
      <w:r>
        <w:t xml:space="preserve">D-1 Elementos cuantificables y unidad de medida por familia</w:t>
      </w:r>
    </w:p>
    <w:p>
      <w:pPr>
        <w:spacing w:after="80" w:before="0" w:line="276"/>
      </w:pPr>
      <w:r>
        <w:rPr>
          <w:sz w:val="20"/>
          <w:szCs w:val="20"/>
        </w:rPr>
        <w:t xml:space="preserve">Se marcan los elementos que el proyecto cuantifica desde el modelo; los no marcados se miden por otro medio. Todo elemento marcado tiene su fila en la matriz LOIN (propósito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734"/>
        <w:gridCol w:w="5011"/>
        <w:gridCol w:w="771"/>
        <w:gridCol w:w="1351"/>
      </w:tblGrid>
      <w:tr>
        <w:trPr>
          <w:cantSplit/>
          <w:tblHeader/>
        </w:trPr>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Activo</w:t>
            </w:r>
          </w:p>
        </w:tc>
        <w:tc>
          <w:tcPr>
            <w:tcW w:type="dxa" w:w="173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Disciplina</w:t>
            </w:r>
          </w:p>
        </w:tc>
        <w:tc>
          <w:tcPr>
            <w:tcW w:type="dxa" w:w="501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Elemento / familia</w:t>
            </w:r>
          </w:p>
        </w:tc>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Unidad</w:t>
            </w:r>
          </w:p>
        </w:tc>
        <w:tc>
          <w:tcPr>
            <w:tcW w:type="dxa" w:w="135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Magnitud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1. Arquitectura</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Acabado de pisos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Contrapiso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Contrazócalos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Zócalos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Puertas, ventanas, mamparas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Coberturas (tejas, policarbonato)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Paneles para divisiones de baños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Separadores de urinarios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m²</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Área</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Barandas y pasamanos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Persianas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Lavamanos, urinarios, inodoros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Muebles de obra</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Tapajuntas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Mobiliario urbano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2. Equipamiento</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Mobiliario y equipamiento</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3. Estructuras</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Falsas zapatas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Cimentaciones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Zapatas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Columnas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Placas / muros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Vigas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Losas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Rampas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Escaleras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Muros de contención</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Pilotes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m³</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Volumen</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Aisladores sísmicos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4. Mecánicas</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Ductos y tuberías refrigerantes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Difusores y rejillas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Equipos mecánicos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Tubería de condensación</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Termostatos, dámper</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Tubería de GLP</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Tanques de GLP</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Tubería de petróleo</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Tanques de petróleo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5. Eléctricas</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Ducto barra, colectores, montantes, tuberías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Elementos singulares (tableros, UPS, generadores)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Bandejas eléctricas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Luminarias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Pozo de tierra</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Sensor de presencia / movimiento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Cajas de pase adosadas en losa</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Tubos horizontales (de bandeja a tuberías bajantes)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6. Sanitarias</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Elementos singulares (pozos, equipos de bombeo, sumideros, aparatos sanitarios, trampa de grasa)</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Accesorios de tuberías (codos, uniones, válvulas, uniones antisísmicas)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Bombas de agua</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Tuberías de agua fría, caliente, retorno, desagüe, drenaje negro y pluvial, irrigación</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7. Sistemas especializados</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Accesorios de tuberías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Paneles solares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Tanques de oxígeno</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Tuberías de gases medicinales y técnicos, transporte neumático</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8. Seguridad anti-incendios</w:t>
            </w: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Rociadores, extintores, GCI</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Tuberías de rociadores y GCI</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Bomba ACI</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Gabinete ACI</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Accesorios de tuberías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9. Ingeniería digital (data)</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Bandejas de comunicaciones, BMS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Dispositivos de detección y alarma, sonido, telefonía, audiovisual, llamada de enfermería, radio</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Buzones de comunicaciones</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Tuberías mayores a 2"</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10. Seguridad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Dispositivos de seguridad electrónica, control de acceso y CCTV</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und</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Conteo</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 ]</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501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Tuberías mayores a 2"</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ml</w:t>
            </w: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Longitud</w:t>
            </w:r>
          </w:p>
        </w:tc>
      </w:tr>
    </w:tbl>
    <w:p>
      <w:pPr>
        <w:spacing w:after="140"/>
      </w:pPr>
    </w:p>
    <w:p>
      <w:pPr>
        <w:pStyle w:val="Heading2"/>
        <w:keepNext/>
      </w:pPr>
      <w:r>
        <w:t xml:space="preserve">D-2 Parámetros de metrado</w:t>
      </w:r>
    </w:p>
    <w:p>
      <w:pPr>
        <w:spacing w:after="80" w:before="0" w:line="276"/>
      </w:pPr>
      <w:r>
        <w:rPr>
          <w:sz w:val="20"/>
          <w:szCs w:val="20"/>
        </w:rPr>
        <w:t xml:space="preserve">Esquema de parámetros por elemento cuantificable. Los prefijos GC_, OR_ y CP_ se adaptan al esquema de la organización o del proyecto sin cambiar la función de cada parámetro.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
        <w:gridCol w:w="1734"/>
        <w:gridCol w:w="3084"/>
        <w:gridCol w:w="2122"/>
      </w:tblGrid>
      <w:tr>
        <w:trPr>
          <w:cantSplit/>
          <w:tblHeader/>
        </w:trPr>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Parámetro</w:t>
            </w:r>
          </w:p>
        </w:tc>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Tipo</w:t>
            </w:r>
          </w:p>
        </w:tc>
        <w:tc>
          <w:tcPr>
            <w:tcW w:type="dxa" w:w="173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Obligatoriedad</w:t>
            </w:r>
          </w:p>
        </w:tc>
        <w:tc>
          <w:tcPr>
            <w:tcW w:type="dxa" w:w="308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Uso</w:t>
            </w:r>
          </w:p>
        </w:tc>
        <w:tc>
          <w:tcPr>
            <w:tcW w:type="dxa" w:w="212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5"/>
                <w:szCs w:val="15"/>
              </w:rPr>
              <w:t xml:space="preserve">Verificación</w:t>
            </w:r>
          </w:p>
        </w:tc>
      </w:tr>
      <w:tr>
        <w:trPr>
          <w:cantSplit/>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GC_Item_Partida</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Código de partida del presupuesto según el paquete de trabajo.</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Existe en el catálogo de partidas.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GC_Nombre_Partida</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Nombre de la partida.</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No vacío.</w:t>
            </w:r>
          </w:p>
        </w:tc>
      </w:tr>
      <w:tr>
        <w:trPr>
          <w:cantSplit/>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Cantidad</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Número</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Cantidad del elemento.</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Número &gt; 0.</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GC_Unidad</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Unidad de medida.</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Coincide con la unidad de D-1.</w:t>
            </w:r>
          </w:p>
        </w:tc>
      </w:tr>
      <w:tr>
        <w:trPr>
          <w:cantSplit/>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GC_Nivel</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Ordenar tablas.</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Valor de lista de niveles.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GC_Paquete</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Ordenar tablas por paquete de trabajo.</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Valor de lista de paquetes.</w:t>
            </w:r>
          </w:p>
        </w:tc>
      </w:tr>
      <w:tr>
        <w:trPr>
          <w:cantSplit/>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OR_Tipo de Edificio</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Obligatorio</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Ordenar tablas.</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Valor de lista.</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CP_Item_Costos_01</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Obligatorio (presupuesto contractual)</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Vincula al presupuesto contractual.</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Existe en el presupuesto.</w:t>
            </w:r>
          </w:p>
        </w:tc>
      </w:tr>
      <w:tr>
        <w:trPr>
          <w:cantSplit/>
        </w:trPr>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GC_Bloque, GC_Elemento, GC_Sector</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Opcional</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Ordenar tablas por bloque, elemento o sector.</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5"/>
                <w:szCs w:val="15"/>
              </w:rPr>
              <w:t xml:space="preserve">—</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Familia, Tipo, Categoría</w:t>
            </w:r>
          </w:p>
        </w:tc>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Texto</w:t>
            </w:r>
          </w:p>
        </w:tc>
        <w:tc>
          <w:tcPr>
            <w:tcW w:type="dxa" w:w="17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Opcional</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Ordenar tablas.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5"/>
                <w:szCs w:val="15"/>
              </w:rPr>
              <w:t xml:space="preserve">—</w:t>
            </w:r>
          </w:p>
        </w:tc>
      </w:tr>
    </w:tbl>
    <w:p>
      <w:pPr>
        <w:spacing w:after="140"/>
      </w:pPr>
    </w:p>
    <w:p>
      <w:pPr>
        <w:pStyle w:val="Heading2"/>
        <w:keepNext/>
      </w:pPr>
      <w:r>
        <w:t xml:space="preserve">D-3 Precisión del metrado por hito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4240"/>
        <w:gridCol w:w="2122"/>
      </w:tblGrid>
      <w:tr>
        <w:trPr>
          <w:cantSplit/>
          <w:tblHeader/>
        </w:trPr>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Hito</w:t>
            </w:r>
          </w:p>
        </w:tc>
        <w:tc>
          <w:tcPr>
            <w:tcW w:type="dxa" w:w="25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Tipo de metrado</w:t>
            </w:r>
          </w:p>
        </w:tc>
        <w:tc>
          <w:tcPr>
            <w:tcW w:type="dxa" w:w="42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Se exige</w:t>
            </w:r>
          </w:p>
        </w:tc>
        <w:tc>
          <w:tcPr>
            <w:tcW w:type="dxa" w:w="212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Contenedor</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H2</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Orden de magnitud</w:t>
            </w:r>
          </w:p>
        </w:tc>
        <w:tc>
          <w:tcPr>
            <w:tcW w:type="dxa" w:w="42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Áreas, vanos y volúmenes principales.</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XLS preliminar</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H3</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Control (presupuesto de control)</w:t>
            </w:r>
          </w:p>
        </w:tc>
        <w:tc>
          <w:tcPr>
            <w:tcW w:type="dxa" w:w="4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Todas las familias marcadas con parámetros obligatorios completos.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XLS de control (Published)</w:t>
            </w:r>
          </w:p>
        </w:tc>
      </w:tr>
      <w:tr>
        <w:trPr>
          <w:cantSplit/>
        </w:trPr>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H4</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Expediente técnico</w:t>
            </w:r>
          </w:p>
        </w:tc>
        <w:tc>
          <w:tcPr>
            <w:tcW w:type="dxa" w:w="424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Todas las familias marcadas con partida, cantidad y unidad; conciliado con planos y especificaciones.</w:t>
            </w:r>
          </w:p>
        </w:tc>
        <w:tc>
          <w:tcPr>
            <w:tcW w:type="dxa" w:w="212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XLS de expediente</w:t>
            </w:r>
          </w:p>
        </w:tc>
      </w:tr>
    </w:tbl>
    <w:p>
      <w:pPr>
        <w:spacing w:after="140"/>
      </w:pPr>
    </w:p>
    <w:p>
      <w:pPr>
        <w:pStyle w:val="Heading1"/>
        <w:keepNext/>
        <w:pageBreakBefore/>
      </w:pPr>
      <w:r>
        <w:t xml:space="preserve">ANEXO E — REQUISITOS DE ESPACIOS (P3)</w:t>
      </w:r>
    </w:p>
    <w:p>
      <w:pPr>
        <w:spacing w:after="120" w:before="0" w:line="276"/>
      </w:pPr>
      <w:r>
        <w:rPr>
          <w:sz w:val="20"/>
          <w:szCs w:val="20"/>
        </w:rPr>
        <w:t xml:space="preserve">El ambiente es un objeto de información (IfcSpace) que se modela una vez, en el modelo de Arquitectura, y que consumen P2, P4 y P7.</w:t>
      </w:r>
    </w:p>
    <w:p>
      <w:pPr>
        <w:pStyle w:val="Heading2"/>
        <w:keepNext/>
      </w:pPr>
      <w:r>
        <w:t xml:space="preserve">E-1 Parámetros del espacio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1349"/>
        <w:gridCol w:w="2314"/>
      </w:tblGrid>
      <w:tr>
        <w:trPr>
          <w:cantSplit/>
          <w:tblHeader/>
        </w:trPr>
        <w:tc>
          <w:tcPr>
            <w:tcW w:type="dxa" w:w="23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Parámetro</w:t>
            </w:r>
          </w:p>
        </w:tc>
        <w:tc>
          <w:tcPr>
            <w:tcW w:type="dxa" w:w="366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Definición</w:t>
            </w:r>
          </w:p>
        </w:tc>
        <w:tc>
          <w:tcPr>
            <w:tcW w:type="dxa" w:w="13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Consumido por</w:t>
            </w:r>
          </w:p>
        </w:tc>
        <w:tc>
          <w:tcPr>
            <w:tcW w:type="dxa" w:w="231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Obligatorio si…</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Nombre</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Nombre corto del ambiente según el plano de Arquitectura.</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 P4, P7</w:t>
            </w:r>
          </w:p>
        </w:tc>
        <w:tc>
          <w:tcPr>
            <w:tcW w:type="dxa" w:w="23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P3 activo</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Número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Código único del ambiente según el plano de Arquitectura.</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P2, P4, P7</w:t>
            </w:r>
          </w:p>
        </w:tc>
        <w:tc>
          <w:tcPr>
            <w:tcW w:type="dxa" w:w="23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P3 activo</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Acabados en muro</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Acabado de muros del ambiente.</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w:t>
            </w:r>
          </w:p>
        </w:tc>
        <w:tc>
          <w:tcPr>
            <w:tcW w:type="dxa" w:w="23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 cuantifica acabados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Acabados en piso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Acabado de piso del ambiente.</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P2</w:t>
            </w:r>
          </w:p>
        </w:tc>
        <w:tc>
          <w:tcPr>
            <w:tcW w:type="dxa" w:w="23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P2 cuantifica acabados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Acabados en falso cielo raso</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Acabado de cielo raso del ambiente.</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w:t>
            </w:r>
          </w:p>
        </w:tc>
        <w:tc>
          <w:tcPr>
            <w:tcW w:type="dxa" w:w="23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 cuantifica acabados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CoBie.Space.Name</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Código y nombre del ambiente para el sistema de operación.</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P7</w:t>
            </w:r>
          </w:p>
        </w:tc>
        <w:tc>
          <w:tcPr>
            <w:tcW w:type="dxa" w:w="23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P7 activo</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[Área, altura libre, aforo, categoría de uso]</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Según las reglas normativas del proyecto.</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P4</w:t>
            </w:r>
          </w:p>
        </w:tc>
        <w:tc>
          <w:tcPr>
            <w:tcW w:type="dxa" w:w="231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P4 activo</w:t>
            </w:r>
          </w:p>
        </w:tc>
      </w:tr>
    </w:tbl>
    <w:p>
      <w:pPr>
        <w:spacing w:after="140"/>
      </w:pPr>
    </w:p>
    <w:p>
      <w:pPr>
        <w:pStyle w:val="Heading2"/>
        <w:keepNext/>
      </w:pPr>
      <w:r>
        <w:t xml:space="preserve">E-2 LOIN del espacio por propósito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662"/>
        <w:gridCol w:w="2891"/>
        <w:gridCol w:w="1543"/>
      </w:tblGrid>
      <w:tr>
        <w:trPr>
          <w:cantSplit/>
          <w:tblHeader/>
        </w:trPr>
        <w:tc>
          <w:tcPr>
            <w:tcW w:type="dxa" w:w="15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Propósito</w:t>
            </w:r>
          </w:p>
        </w:tc>
        <w:tc>
          <w:tcPr>
            <w:tcW w:type="dxa" w:w="366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Geométrica</w:t>
            </w:r>
          </w:p>
        </w:tc>
        <w:tc>
          <w:tcPr>
            <w:tcW w:type="dxa" w:w="28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Alfanumérica</w:t>
            </w:r>
          </w:p>
        </w:tc>
        <w:tc>
          <w:tcPr>
            <w:tcW w:type="dxa" w:w="154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Documentación</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P2 Cuantificación</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Detalle simplificado (límite del ambiente); 2D suficiente (área); ubicación absoluta por nivel; apariencia No aplicable.</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Nombre, número, acabados de muro, piso y cielo raso.</w:t>
            </w:r>
          </w:p>
        </w:tc>
        <w:tc>
          <w:tcPr>
            <w:tcW w:type="dxa" w:w="1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Cuadro de acabados (derivado).</w:t>
            </w:r>
          </w:p>
        </w:tc>
      </w:tr>
      <w:tr>
        <w:trPr>
          <w:cantSplit/>
        </w:trPr>
        <w:tc>
          <w:tcPr>
            <w:tcW w:type="dxa" w:w="15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6"/>
                <w:szCs w:val="16"/>
              </w:rPr>
              <w:t xml:space="preserve">P4 Normativo</w:t>
            </w:r>
          </w:p>
        </w:tc>
        <w:tc>
          <w:tcPr>
            <w:tcW w:type="dxa" w:w="366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Detalle simplificado; 3D solo si se verifica altura libre o volumen; ubicación absoluta.</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Nombre, número, categoría de uso, área y altura; aforo si aplica.</w:t>
            </w:r>
          </w:p>
        </w:tc>
        <w:tc>
          <w:tcPr>
            <w:tcW w:type="dxa" w:w="154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Informe de cumplimiento.</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6"/>
                <w:szCs w:val="16"/>
              </w:rPr>
              <w:t xml:space="preserve">P7 Activos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Detalle simplificado; ubicación absoluta (nivel y zona).</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Código de espacio (CoBie.Space.Name o esquema del cliente).</w:t>
            </w:r>
          </w:p>
        </w:tc>
        <w:tc>
          <w:tcPr>
            <w:tcW w:type="dxa" w:w="154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w:t>
            </w:r>
          </w:p>
        </w:tc>
      </w:tr>
    </w:tbl>
    <w:p>
      <w:pPr>
        <w:spacing w:after="140"/>
      </w:pPr>
    </w:p>
    <w:p>
      <w:pPr>
        <w:pStyle w:val="Heading2"/>
        <w:keepNext/>
      </w:pPr>
      <w:r>
        <w:t xml:space="preserve">E-3 Reglas verificables (IDS)</w:t>
      </w:r>
    </w:p>
    <w:p>
      <w:pPr>
        <w:pStyle w:val="ListParagraph"/>
        <w:numPr>
          <w:ilvl w:val="0"/>
          <w:numId w:val="2"/>
        </w:numPr>
        <w:spacing w:after="60" w:line="264"/>
      </w:pPr>
      <w:r>
        <w:rPr>
          <w:sz w:val="20"/>
          <w:szCs w:val="20"/>
        </w:rPr>
        <w:t xml:space="preserve">Todo IfcSpace tiene Nombre y Número.</w:t>
      </w:r>
    </w:p>
    <w:p>
      <w:pPr>
        <w:pStyle w:val="ListParagraph"/>
        <w:numPr>
          <w:ilvl w:val="0"/>
          <w:numId w:val="2"/>
        </w:numPr>
        <w:spacing w:after="60" w:line="264"/>
      </w:pPr>
      <w:r>
        <w:rPr>
          <w:sz w:val="20"/>
          <w:szCs w:val="20"/>
        </w:rPr>
        <w:t xml:space="preserve">No existen Números duplicados.</w:t>
      </w:r>
    </w:p>
    <w:p>
      <w:pPr>
        <w:pStyle w:val="ListParagraph"/>
        <w:numPr>
          <w:ilvl w:val="0"/>
          <w:numId w:val="2"/>
        </w:numPr>
        <w:spacing w:after="60" w:line="264"/>
      </w:pPr>
      <w:r>
        <w:rPr>
          <w:sz w:val="20"/>
          <w:szCs w:val="20"/>
        </w:rPr>
        <w:t xml:space="preserve">Los acabados están presentes cuando P2 los cuantifica.</w:t>
      </w:r>
    </w:p>
    <w:p>
      <w:pPr>
        <w:pStyle w:val="ListParagraph"/>
        <w:numPr>
          <w:ilvl w:val="0"/>
          <w:numId w:val="2"/>
        </w:numPr>
        <w:spacing w:after="60" w:line="264"/>
      </w:pPr>
      <w:r>
        <w:rPr>
          <w:sz w:val="20"/>
          <w:szCs w:val="20"/>
        </w:rPr>
        <w:t xml:space="preserve">Si P7 está activo, el código de espacio respeta el formato acordado.</w:t>
      </w:r>
    </w:p>
    <w:p>
      <w:pPr>
        <w:pStyle w:val="Heading1"/>
        <w:keepNext/>
        <w:pageBreakBefore/>
      </w:pPr>
      <w:r>
        <w:t xml:space="preserve">ANEXO F — TRAZABILIDAD IPR → IPP Y APROBACIÓN</w:t>
      </w:r>
    </w:p>
    <w:p>
      <w:pPr>
        <w:spacing w:after="120" w:before="0" w:line="276"/>
      </w:pPr>
      <w:r>
        <w:rPr>
          <w:sz w:val="20"/>
          <w:szCs w:val="20"/>
        </w:rPr>
        <w:t xml:space="preserve">Cada requisito de este IPR tiene un módulo del IPP que lo responde. El Lead Appointed Party completa la columna “Respuesta en el IPP” y el Appointing Party la valida.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156"/>
        <w:gridCol w:w="2505"/>
        <w:gridCol w:w="2893"/>
      </w:tblGrid>
      <w:tr>
        <w:trPr>
          <w:cantSplit/>
          <w:tblHeader/>
        </w:trPr>
        <w:tc>
          <w:tcPr>
            <w:tcW w:type="dxa" w:w="308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Requisito del IPR</w:t>
            </w:r>
          </w:p>
        </w:tc>
        <w:tc>
          <w:tcPr>
            <w:tcW w:type="dxa" w:w="11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Sección</w:t>
            </w:r>
          </w:p>
        </w:tc>
        <w:tc>
          <w:tcPr>
            <w:tcW w:type="dxa" w:w="25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Módulo del IPP que responde</w:t>
            </w:r>
          </w:p>
        </w:tc>
        <w:tc>
          <w:tcPr>
            <w:tcW w:type="dxa" w:w="289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6"/>
                <w:szCs w:val="16"/>
              </w:rPr>
              <w:t xml:space="preserve">Verificación</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Objetivos y Plan de Usos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1, 2.3</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N2</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Objetivos marcados con consumidor y decisión.</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Configuración modular</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2.4</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Parte 0 (registro de configuración)</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Cada módulo activo o no activado tiene motivo.</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Gobernanza, reporte temprano, mejora continua</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3</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N6, N7, S1</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Protocolo publicado; criticidad única; lecciones aprendidas.</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LOIN por objeto, propósito, hito y actor</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4, Anexos A–C</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N3, Anexo A, S2</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Matriz LOIN aprobada antes de modelar.</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CDE, formatos, nomenclatura, georreferencia</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5</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N5</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IFC/BCF operativos; origen común verificado.</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Hitos, TIDP y MIDP</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6</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N4, Anexo B</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Todo contenedor pasa el test de existencia (6.3).</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Metrados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Anexo D</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P2, S2</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Tablas preconfiguradas; parámetros obligatorios completos.</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Espacios</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Anexo E</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P3, S2</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Reglas IDS de espacios cumplidas.</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Verificación, validación y calidad</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4.5, 5.3</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N7, S4</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Informe por hito.</w:t>
            </w: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AIM y requisitos operativos</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8</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P7, S2, S3</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sz w:val="16"/>
                <w:szCs w:val="16"/>
              </w:rPr>
              <w:t xml:space="preserve">Datos de activos entregados en el hito acordado.</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Seguridad de la información</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5.6</w:t>
            </w: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S3</w:t>
            </w:r>
          </w:p>
        </w:tc>
        <w:tc>
          <w:tcPr>
            <w:tcW w:type="dxa" w:w="289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sz w:val="16"/>
                <w:szCs w:val="16"/>
              </w:rPr>
              <w:t xml:space="preserve">Control de acceso y trazabilidad.</w:t>
            </w:r>
          </w:p>
        </w:tc>
      </w:tr>
    </w:tbl>
    <w:p>
      <w:pPr>
        <w:spacing w:after="140"/>
      </w:pPr>
    </w:p>
    <w:p>
      <w:pPr>
        <w:spacing w:after="160"/>
      </w:pPr>
    </w:p>
    <w:p>
      <w:pPr>
        <w:pStyle w:val="Heading2"/>
        <w:keepNext/>
      </w:pPr>
      <w:r>
        <w:t xml:space="preserve">Aprobación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698"/>
        <w:gridCol w:w="2505"/>
        <w:gridCol w:w="1351"/>
      </w:tblGrid>
      <w:tr>
        <w:trPr>
          <w:cantSplit/>
          <w:tblHeader/>
        </w:trPr>
        <w:tc>
          <w:tcPr>
            <w:tcW w:type="dxa" w:w="308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Rol</w:t>
            </w:r>
          </w:p>
        </w:tc>
        <w:tc>
          <w:tcPr>
            <w:tcW w:type="dxa" w:w="2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Nombre</w:t>
            </w:r>
          </w:p>
        </w:tc>
        <w:tc>
          <w:tcPr>
            <w:tcW w:type="dxa" w:w="25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Firma</w:t>
            </w:r>
          </w:p>
        </w:tc>
        <w:tc>
          <w:tcPr>
            <w:tcW w:type="dxa" w:w="135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top"/>
          </w:tcPr>
          <w:p>
            <w:pPr>
              <w:spacing w:after="20" w:before="20" w:line="240"/>
            </w:pPr>
            <w:r>
              <w:rPr>
                <w:b/>
                <w:bCs/>
                <w:color w:val="FFFFFF"/>
                <w:sz w:val="17"/>
                <w:szCs w:val="17"/>
              </w:rPr>
              <w:t xml:space="preserve">Fecha</w:t>
            </w: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Appointing Party (Cliente)</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r>
      <w:tr>
        <w:trPr>
          <w:cantSplit/>
        </w:trPr>
        <w:tc>
          <w:tcPr>
            <w:tcW w:type="dxa" w:w="30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r>
              <w:rPr>
                <w:b/>
                <w:bCs/>
                <w:sz w:val="17"/>
                <w:szCs w:val="17"/>
              </w:rPr>
              <w:t xml:space="preserve">Information Manager</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before="20" w:line="240"/>
            </w:pPr>
          </w:p>
        </w:tc>
      </w:tr>
      <w:tr>
        <w:trPr>
          <w:cantSplit/>
        </w:trPr>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r>
              <w:rPr>
                <w:b/>
                <w:bCs/>
                <w:sz w:val="17"/>
                <w:szCs w:val="17"/>
              </w:rPr>
              <w:t xml:space="preserve">Lead Appointed Party (recepción)</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250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c>
          <w:tcPr>
            <w:tcW w:type="dxa" w:w="135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vAlign w:val="top"/>
          </w:tcPr>
          <w:p>
            <w:pPr>
              <w:spacing w:after="20" w:before="20" w:line="240"/>
            </w:pPr>
          </w:p>
        </w:tc>
      </w:tr>
    </w:tbl>
    <w:p>
      <w:pPr>
        <w:spacing w:after="140"/>
      </w:pPr>
    </w:p>
    <w:sectPr>
      <w:headerReference w:type="default" r:id="rId15"/>
      <w:footerReference w:type="default" r:id="rId16"/>
      <w:pgSz w:w="11906" w:h="16838" w:orient="portrait"/>
      <w:pgMar w:top="1304" w:right="1134" w:bottom="1134" w:left="1134" w:header="567"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color w:val="595959"/>
        <w:sz w:val="16"/>
        <w:szCs w:val="16"/>
      </w:rPr>
      <w:t xml:space="preserve">IPR — Information Product / Purpose Requirements (≡ EIR)</w:t>
    </w:r>
    <w:r>
      <w:rPr>
        <w:color w:val="595959"/>
        <w:sz w:val="16"/>
        <w:szCs w:val="16"/>
      </w:rPr>
      <w:t xml:space="preserve">	[Nombre del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4570"/>
      </w:tabs>
    </w:pPr>
    <w:r>
      <w:rPr>
        <w:color w:val="595959"/>
        <w:sz w:val="16"/>
        <w:szCs w:val="16"/>
      </w:rPr>
      <w:t xml:space="preserve">IPR — Information Product / Purpose Requirements (≡ EIR)</w:t>
    </w:r>
    <w:r>
      <w:rPr>
        <w:color w:val="595959"/>
        <w:sz w:val="16"/>
        <w:szCs w:val="16"/>
      </w:rPr>
      <w:t xml:space="preserve">	[Nombre del proyecto]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4570"/>
      </w:tabs>
    </w:pPr>
    <w:r>
      <w:rPr>
        <w:color w:val="595959"/>
        <w:sz w:val="16"/>
        <w:szCs w:val="16"/>
      </w:rPr>
      <w:t xml:space="preserve">IPR — Information Product / Purpose Requirements (≡ EIR)</w:t>
    </w:r>
    <w:r>
      <w:rPr>
        <w:color w:val="595959"/>
        <w:sz w:val="16"/>
        <w:szCs w:val="16"/>
      </w:rPr>
      <w:t xml:space="preserve">	[Nombre del proyecto]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4570"/>
      </w:tabs>
    </w:pPr>
    <w:r>
      <w:rPr>
        <w:color w:val="595959"/>
        <w:sz w:val="16"/>
        <w:szCs w:val="16"/>
      </w:rPr>
      <w:t xml:space="preserve">IPR — Information Product / Purpose Requirements (≡ EIR)</w:t>
    </w:r>
    <w:r>
      <w:rPr>
        <w:color w:val="595959"/>
        <w:sz w:val="16"/>
        <w:szCs w:val="16"/>
      </w:rPr>
      <w:t xml:space="preserve">	[Nombre del proyecto]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color w:val="595959"/>
        <w:sz w:val="16"/>
        <w:szCs w:val="16"/>
      </w:rPr>
      <w:t xml:space="preserve">IPR — Information Product / Purpose Requirements (≡ EIR)</w:t>
    </w:r>
    <w:r>
      <w:rPr>
        <w:color w:val="595959"/>
        <w:sz w:val="16"/>
        <w:szCs w:val="16"/>
      </w:rPr>
      <w:t xml:space="preserve">	[Nombre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00" w:before="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4E7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 — Information Product / Purpose Requirements</dc:title>
  <dc:creator>Information Manager</dc:creator>
  <dc:description>Requisitos de información del cliente para edificaciones privadas</dc:description>
  <cp:lastModifiedBy>Un-named</cp:lastModifiedBy>
  <cp:revision>1</cp:revision>
  <dcterms:created xsi:type="dcterms:W3CDTF">2026-10-06T00:32:26.315Z</dcterms:created>
  <dcterms:modified xsi:type="dcterms:W3CDTF">2026-10-06T00:32:26.315Z</dcterms:modified>
</cp:coreProperties>
</file>

<file path=docProps/custom.xml><?xml version="1.0" encoding="utf-8"?>
<Properties xmlns="http://schemas.openxmlformats.org/officeDocument/2006/custom-properties" xmlns:vt="http://schemas.openxmlformats.org/officeDocument/2006/docPropsVTypes"/>
</file>