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DEAJGCC23-12796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18 de junio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PRUEBAMAYO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1233333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11001079000020240009000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DIRECCIÓN EJECUTIVA SECCIONAL DE ADMINISTRACIÓN JUDICIAL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mayo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PRUEBAMAYO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123456987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5800000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PRUEBAMAYO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123456987</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11001079000020240009000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PRUEBAMAYO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123456987</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DEAJGCC23-12796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18 de junio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PRUEBAMAYO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CALLEPRUEBA123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11001079000020240009000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DIRECCIÓN EJECUTIVA SECCIONAL DE ADMINISTRACIÓN JUDICIAL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mayo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PRUEBAMAYO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123456987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5800000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PRUEBAMAYO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123456987</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11001079000020240009000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PRUEBAMAYO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123456987</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